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2025年度和2026年1-7月，公司研发支出分别为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据公司管理层提供的未经审计数据，2025年度和2026年1-7月，公司销售收入分别为5,278.54万元和11,467.06万元，2026年1-7月的收入已达2025年全年的2.17倍。公司分产品类别的收入构成如下表所示：</w:t>
      </w:r>
    </w:p>
    <w:p>
      <w:pPr>
        <w:spacing w:before="120" w:after="60"/>
        <w:jc w:val="center"/>
        <w:keepNext/>
      </w:pPr>
      <w:r>
        <w:rPr>
          <w:rFonts w:ascii="Times New Roman" w:hAnsi="Times New Roman" w:eastAsia="宋体"/>
          <w:b/>
          <w:sz w:val="21"/>
        </w:rPr>
        <w:t>表3  公司分产品类别销售情况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350"/>
        <w:gridCol w:w="1715"/>
        <w:gridCol w:w="1263"/>
        <w:gridCol w:w="1715"/>
        <w:gridCol w:w="1263"/>
      </w:tblGrid>
      <w:tr>
        <w:trPr>
          <w:cantSplit/>
          <w:trHeight w:val="397"/>
          <w:tblHeader/>
          <w:jc w:val="center"/>
        </w:trPr>
        <w:tc>
          <w:tcPr>
            <w:tcW w:w="2350" w:type="dxa"/>
            <w:vMerge w:val="restart"/>
            <w:vAlign w:val="center"/>
          </w:tcPr>
          <w:p>
            <w:pPr>
              <w:spacing w:before="0" w:after="0"/>
              <w:jc w:val="center"/>
              <w:keepNext/>
            </w:pPr>
            <w:r>
              <w:rPr>
                <w:rFonts w:ascii="Times New Roman" w:hAnsi="Times New Roman" w:eastAsia="宋体"/>
                <w:b/>
                <w:sz w:val="21"/>
              </w:rPr>
              <w:t>产品类别</w:t>
            </w:r>
          </w:p>
        </w:tc>
        <w:tc>
          <w:tcPr>
            <w:tcW w:w="2978" w:type="dxa"/>
            <w:gridSpan w:val="2"/>
            <w:vAlign w:val="center"/>
          </w:tcPr>
          <w:p>
            <w:pPr>
              <w:spacing w:before="0" w:after="0"/>
              <w:jc w:val="center"/>
              <w:keepNext/>
            </w:pPr>
            <w:r>
              <w:rPr>
                <w:rFonts w:ascii="Times New Roman" w:hAnsi="Times New Roman" w:eastAsia="宋体"/>
                <w:b/>
                <w:sz w:val="21"/>
              </w:rPr>
              <w:t>2025年度</w:t>
            </w:r>
          </w:p>
        </w:tc>
        <w:tc>
          <w:tcPr>
            <w:tcW w:w="2978" w:type="dxa"/>
            <w:gridSpan w:val="2"/>
            <w:vAlign w:val="center"/>
          </w:tcPr>
          <w:p>
            <w:pPr>
              <w:spacing w:before="0" w:after="0"/>
              <w:jc w:val="center"/>
              <w:keepNext/>
            </w:pPr>
            <w:r>
              <w:rPr>
                <w:rFonts w:ascii="Times New Roman" w:hAnsi="Times New Roman" w:eastAsia="宋体"/>
                <w:b/>
                <w:sz w:val="21"/>
              </w:rPr>
              <w:t>2026年1-7月</w:t>
            </w:r>
          </w:p>
        </w:tc>
      </w:tr>
      <w:tr>
        <w:trPr>
          <w:cantSplit/>
          <w:trHeight w:val="397"/>
          <w:tblHeader/>
          <w:jc w:val="center"/>
        </w:trPr>
        <w:tc>
          <w:tcPr>
            <w:tcW w:w="2350" w:type="dxa"/>
            <w:vMerge/>
            <w:vAlign w:val="center"/>
          </w:tcPr>
          <w:p/>
        </w:tc>
        <w:tc>
          <w:tcPr>
            <w:tcW w:w="1715" w:type="dxa"/>
            <w:vAlign w:val="center"/>
          </w:tcPr>
          <w:p>
            <w:pPr>
              <w:spacing w:before="0" w:after="0"/>
              <w:jc w:val="center"/>
              <w:keepNext/>
            </w:pPr>
            <w:r>
              <w:rPr>
                <w:rFonts w:ascii="Times New Roman" w:hAnsi="Times New Roman" w:eastAsia="宋体"/>
                <w:b/>
                <w:sz w:val="21"/>
              </w:rPr>
              <w:t>销售收入</w:t>
              <w:br/>
              <w:t>（万元）</w:t>
            </w:r>
          </w:p>
        </w:tc>
        <w:tc>
          <w:tcPr>
            <w:tcW w:w="1263" w:type="dxa"/>
            <w:vAlign w:val="center"/>
          </w:tcPr>
          <w:p>
            <w:pPr>
              <w:spacing w:before="0" w:after="0"/>
              <w:jc w:val="center"/>
              <w:keepNext/>
            </w:pPr>
            <w:r>
              <w:rPr>
                <w:rFonts w:ascii="Times New Roman" w:hAnsi="Times New Roman" w:eastAsia="宋体"/>
                <w:b/>
                <w:sz w:val="21"/>
              </w:rPr>
              <w:t>占比</w:t>
            </w:r>
          </w:p>
        </w:tc>
        <w:tc>
          <w:tcPr>
            <w:tcW w:w="1715" w:type="dxa"/>
            <w:vAlign w:val="center"/>
          </w:tcPr>
          <w:p>
            <w:pPr>
              <w:spacing w:before="0" w:after="0"/>
              <w:jc w:val="center"/>
              <w:keepNext/>
            </w:pPr>
            <w:r>
              <w:rPr>
                <w:rFonts w:ascii="Times New Roman" w:hAnsi="Times New Roman" w:eastAsia="宋体"/>
                <w:b/>
                <w:sz w:val="21"/>
              </w:rPr>
              <w:t>销售收入</w:t>
              <w:br/>
              <w:t>（万元）</w:t>
            </w:r>
          </w:p>
        </w:tc>
        <w:tc>
          <w:tcPr>
            <w:tcW w:w="1263"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350" w:type="dxa"/>
            <w:vAlign w:val="center"/>
          </w:tcPr>
          <w:p>
            <w:pPr>
              <w:spacing w:before="0" w:after="0"/>
            </w:pPr>
            <w:r>
              <w:rPr>
                <w:rFonts w:ascii="Times New Roman" w:hAnsi="Times New Roman" w:eastAsia="宋体"/>
                <w:b w:val="0"/>
                <w:sz w:val="21"/>
              </w:rPr>
              <w:t>一体化关节模组</w:t>
            </w:r>
          </w:p>
        </w:tc>
        <w:tc>
          <w:tcPr>
            <w:tcW w:w="1715" w:type="dxa"/>
            <w:vAlign w:val="center"/>
          </w:tcPr>
          <w:p>
            <w:pPr>
              <w:spacing w:before="0" w:after="0"/>
            </w:pPr>
            <w:r>
              <w:rPr>
                <w:rFonts w:ascii="Times New Roman" w:hAnsi="Times New Roman" w:eastAsia="宋体"/>
                <w:b w:val="0"/>
                <w:sz w:val="21"/>
              </w:rPr>
              <w:t>2,426.48</w:t>
            </w:r>
          </w:p>
        </w:tc>
        <w:tc>
          <w:tcPr>
            <w:tcW w:w="1263" w:type="dxa"/>
            <w:vAlign w:val="center"/>
          </w:tcPr>
          <w:p>
            <w:pPr>
              <w:spacing w:before="0" w:after="0"/>
            </w:pPr>
            <w:r>
              <w:rPr>
                <w:rFonts w:ascii="Times New Roman" w:hAnsi="Times New Roman" w:eastAsia="宋体"/>
                <w:b w:val="0"/>
                <w:sz w:val="21"/>
              </w:rPr>
              <w:t>45.97%</w:t>
            </w:r>
          </w:p>
        </w:tc>
        <w:tc>
          <w:tcPr>
            <w:tcW w:w="1715" w:type="dxa"/>
            <w:vAlign w:val="center"/>
          </w:tcPr>
          <w:p>
            <w:pPr>
              <w:spacing w:before="0" w:after="0"/>
            </w:pPr>
            <w:r>
              <w:rPr>
                <w:rFonts w:ascii="Times New Roman" w:hAnsi="Times New Roman" w:eastAsia="宋体"/>
                <w:b w:val="0"/>
                <w:sz w:val="21"/>
              </w:rPr>
              <w:t>9,428.17</w:t>
            </w:r>
          </w:p>
        </w:tc>
        <w:tc>
          <w:tcPr>
            <w:tcW w:w="1263" w:type="dxa"/>
            <w:vAlign w:val="center"/>
          </w:tcPr>
          <w:p>
            <w:pPr>
              <w:spacing w:before="0" w:after="0"/>
            </w:pPr>
            <w:r>
              <w:rPr>
                <w:rFonts w:ascii="Times New Roman" w:hAnsi="Times New Roman" w:eastAsia="宋体"/>
                <w:b w:val="0"/>
                <w:sz w:val="21"/>
              </w:rPr>
              <w:t>82.22%</w:t>
            </w:r>
          </w:p>
        </w:tc>
      </w:tr>
      <w:tr>
        <w:trPr>
          <w:cantSplit/>
          <w:trHeight w:val="397"/>
          <w:jc w:val="center"/>
        </w:trPr>
        <w:tc>
          <w:tcPr>
            <w:tcW w:w="2350" w:type="dxa"/>
            <w:vAlign w:val="center"/>
          </w:tcPr>
          <w:p>
            <w:pPr>
              <w:spacing w:before="0" w:after="0"/>
            </w:pPr>
            <w:r>
              <w:rPr>
                <w:rFonts w:ascii="Times New Roman" w:hAnsi="Times New Roman" w:eastAsia="宋体"/>
                <w:b w:val="0"/>
                <w:sz w:val="21"/>
              </w:rPr>
              <w:t>谐波减速机及传动总成</w:t>
            </w:r>
          </w:p>
        </w:tc>
        <w:tc>
          <w:tcPr>
            <w:tcW w:w="1715" w:type="dxa"/>
            <w:vAlign w:val="center"/>
          </w:tcPr>
          <w:p>
            <w:pPr>
              <w:spacing w:before="0" w:after="0"/>
            </w:pPr>
            <w:r>
              <w:rPr>
                <w:rFonts w:ascii="Times New Roman" w:hAnsi="Times New Roman" w:eastAsia="宋体"/>
                <w:b w:val="0"/>
                <w:sz w:val="21"/>
              </w:rPr>
              <w:t>517.91</w:t>
            </w:r>
          </w:p>
        </w:tc>
        <w:tc>
          <w:tcPr>
            <w:tcW w:w="1263" w:type="dxa"/>
            <w:vAlign w:val="center"/>
          </w:tcPr>
          <w:p>
            <w:pPr>
              <w:spacing w:before="0" w:after="0"/>
            </w:pPr>
            <w:r>
              <w:rPr>
                <w:rFonts w:ascii="Times New Roman" w:hAnsi="Times New Roman" w:eastAsia="宋体"/>
                <w:b w:val="0"/>
                <w:sz w:val="21"/>
              </w:rPr>
              <w:t>9.81%</w:t>
            </w:r>
          </w:p>
        </w:tc>
        <w:tc>
          <w:tcPr>
            <w:tcW w:w="1715" w:type="dxa"/>
            <w:vAlign w:val="center"/>
          </w:tcPr>
          <w:p>
            <w:pPr>
              <w:spacing w:before="0" w:after="0"/>
            </w:pPr>
            <w:r>
              <w:rPr>
                <w:rFonts w:ascii="Times New Roman" w:hAnsi="Times New Roman" w:eastAsia="宋体"/>
                <w:b w:val="0"/>
                <w:sz w:val="21"/>
              </w:rPr>
              <w:t>520.69</w:t>
            </w:r>
          </w:p>
        </w:tc>
        <w:tc>
          <w:tcPr>
            <w:tcW w:w="1263" w:type="dxa"/>
            <w:vAlign w:val="center"/>
          </w:tcPr>
          <w:p>
            <w:pPr>
              <w:spacing w:before="0" w:after="0"/>
            </w:pPr>
            <w:r>
              <w:rPr>
                <w:rFonts w:ascii="Times New Roman" w:hAnsi="Times New Roman" w:eastAsia="宋体"/>
                <w:b w:val="0"/>
                <w:sz w:val="21"/>
              </w:rPr>
              <w:t>4.54%</w:t>
            </w:r>
          </w:p>
        </w:tc>
      </w:tr>
      <w:tr>
        <w:trPr>
          <w:cantSplit/>
          <w:trHeight w:val="397"/>
          <w:jc w:val="center"/>
        </w:trPr>
        <w:tc>
          <w:tcPr>
            <w:tcW w:w="2350" w:type="dxa"/>
            <w:vAlign w:val="center"/>
          </w:tcPr>
          <w:p>
            <w:pPr>
              <w:spacing w:before="0" w:after="0"/>
            </w:pPr>
            <w:r>
              <w:rPr>
                <w:rFonts w:ascii="Times New Roman" w:hAnsi="Times New Roman" w:eastAsia="宋体"/>
                <w:b w:val="0"/>
                <w:sz w:val="21"/>
              </w:rPr>
              <w:t>精密传动平台及专用模组</w:t>
            </w:r>
          </w:p>
        </w:tc>
        <w:tc>
          <w:tcPr>
            <w:tcW w:w="1715" w:type="dxa"/>
            <w:vAlign w:val="center"/>
          </w:tcPr>
          <w:p>
            <w:pPr>
              <w:spacing w:before="0" w:after="0"/>
            </w:pPr>
            <w:r>
              <w:rPr>
                <w:rFonts w:ascii="Times New Roman" w:hAnsi="Times New Roman" w:eastAsia="宋体"/>
                <w:b w:val="0"/>
                <w:sz w:val="21"/>
              </w:rPr>
              <w:t>926.66</w:t>
            </w:r>
          </w:p>
        </w:tc>
        <w:tc>
          <w:tcPr>
            <w:tcW w:w="1263" w:type="dxa"/>
            <w:vAlign w:val="center"/>
          </w:tcPr>
          <w:p>
            <w:pPr>
              <w:spacing w:before="0" w:after="0"/>
            </w:pPr>
            <w:r>
              <w:rPr>
                <w:rFonts w:ascii="Times New Roman" w:hAnsi="Times New Roman" w:eastAsia="宋体"/>
                <w:b w:val="0"/>
                <w:sz w:val="21"/>
              </w:rPr>
              <w:t>17.56%</w:t>
            </w:r>
          </w:p>
        </w:tc>
        <w:tc>
          <w:tcPr>
            <w:tcW w:w="1715" w:type="dxa"/>
            <w:vAlign w:val="center"/>
          </w:tcPr>
          <w:p>
            <w:pPr>
              <w:spacing w:before="0" w:after="0"/>
            </w:pPr>
            <w:r>
              <w:rPr>
                <w:rFonts w:ascii="Times New Roman" w:hAnsi="Times New Roman" w:eastAsia="宋体"/>
                <w:b w:val="0"/>
                <w:sz w:val="21"/>
              </w:rPr>
              <w:t>651.10</w:t>
            </w:r>
          </w:p>
        </w:tc>
        <w:tc>
          <w:tcPr>
            <w:tcW w:w="1263" w:type="dxa"/>
            <w:vAlign w:val="center"/>
          </w:tcPr>
          <w:p>
            <w:pPr>
              <w:spacing w:before="0" w:after="0"/>
            </w:pPr>
            <w:r>
              <w:rPr>
                <w:rFonts w:ascii="Times New Roman" w:hAnsi="Times New Roman" w:eastAsia="宋体"/>
                <w:b w:val="0"/>
                <w:sz w:val="21"/>
              </w:rPr>
              <w:t>5.68%</w:t>
            </w:r>
          </w:p>
        </w:tc>
      </w:tr>
      <w:tr>
        <w:trPr>
          <w:cantSplit/>
          <w:trHeight w:val="397"/>
          <w:jc w:val="center"/>
        </w:trPr>
        <w:tc>
          <w:tcPr>
            <w:tcW w:w="2350" w:type="dxa"/>
            <w:vAlign w:val="center"/>
          </w:tcPr>
          <w:p>
            <w:pPr>
              <w:spacing w:before="0" w:after="0"/>
            </w:pPr>
            <w:r>
              <w:rPr>
                <w:rFonts w:ascii="Times New Roman" w:hAnsi="Times New Roman" w:eastAsia="宋体"/>
                <w:b w:val="0"/>
                <w:sz w:val="21"/>
              </w:rPr>
              <w:t>机械臂及机器人本体</w:t>
            </w:r>
          </w:p>
        </w:tc>
        <w:tc>
          <w:tcPr>
            <w:tcW w:w="1715" w:type="dxa"/>
            <w:vAlign w:val="center"/>
          </w:tcPr>
          <w:p>
            <w:pPr>
              <w:spacing w:before="0" w:after="0"/>
            </w:pPr>
            <w:r>
              <w:rPr>
                <w:rFonts w:ascii="Times New Roman" w:hAnsi="Times New Roman" w:eastAsia="宋体"/>
                <w:b w:val="0"/>
                <w:sz w:val="21"/>
              </w:rPr>
              <w:t>407.98</w:t>
            </w:r>
          </w:p>
        </w:tc>
        <w:tc>
          <w:tcPr>
            <w:tcW w:w="1263" w:type="dxa"/>
            <w:vAlign w:val="center"/>
          </w:tcPr>
          <w:p>
            <w:pPr>
              <w:spacing w:before="0" w:after="0"/>
            </w:pPr>
            <w:r>
              <w:rPr>
                <w:rFonts w:ascii="Times New Roman" w:hAnsi="Times New Roman" w:eastAsia="宋体"/>
                <w:b w:val="0"/>
                <w:sz w:val="21"/>
              </w:rPr>
              <w:t>7.73%</w:t>
            </w:r>
          </w:p>
        </w:tc>
        <w:tc>
          <w:tcPr>
            <w:tcW w:w="1715" w:type="dxa"/>
            <w:vAlign w:val="center"/>
          </w:tcPr>
          <w:p>
            <w:pPr>
              <w:spacing w:before="0" w:after="0"/>
            </w:pPr>
            <w:r>
              <w:rPr>
                <w:rFonts w:ascii="Times New Roman" w:hAnsi="Times New Roman" w:eastAsia="宋体"/>
                <w:b w:val="0"/>
                <w:sz w:val="21"/>
              </w:rPr>
              <w:t>406.86</w:t>
            </w:r>
          </w:p>
        </w:tc>
        <w:tc>
          <w:tcPr>
            <w:tcW w:w="1263" w:type="dxa"/>
            <w:vAlign w:val="center"/>
          </w:tcPr>
          <w:p>
            <w:pPr>
              <w:spacing w:before="0" w:after="0"/>
            </w:pPr>
            <w:r>
              <w:rPr>
                <w:rFonts w:ascii="Times New Roman" w:hAnsi="Times New Roman" w:eastAsia="宋体"/>
                <w:b w:val="0"/>
                <w:sz w:val="21"/>
              </w:rPr>
              <w:t>3.55%</w:t>
            </w:r>
          </w:p>
        </w:tc>
      </w:tr>
      <w:tr>
        <w:trPr>
          <w:cantSplit/>
          <w:trHeight w:val="397"/>
          <w:jc w:val="center"/>
        </w:trPr>
        <w:tc>
          <w:tcPr>
            <w:tcW w:w="2350" w:type="dxa"/>
            <w:vAlign w:val="center"/>
          </w:tcPr>
          <w:p>
            <w:pPr>
              <w:spacing w:before="0" w:after="0"/>
            </w:pPr>
            <w:r>
              <w:rPr>
                <w:rFonts w:ascii="Times New Roman" w:hAnsi="Times New Roman" w:eastAsia="宋体"/>
                <w:b w:val="0"/>
                <w:sz w:val="21"/>
              </w:rPr>
              <w:t>其他</w:t>
            </w:r>
          </w:p>
        </w:tc>
        <w:tc>
          <w:tcPr>
            <w:tcW w:w="1715" w:type="dxa"/>
            <w:vAlign w:val="center"/>
          </w:tcPr>
          <w:p>
            <w:pPr>
              <w:spacing w:before="0" w:after="0"/>
            </w:pPr>
            <w:r>
              <w:rPr>
                <w:rFonts w:ascii="Times New Roman" w:hAnsi="Times New Roman" w:eastAsia="宋体"/>
                <w:b w:val="0"/>
                <w:sz w:val="21"/>
              </w:rPr>
              <w:t>999.50</w:t>
            </w:r>
          </w:p>
        </w:tc>
        <w:tc>
          <w:tcPr>
            <w:tcW w:w="1263" w:type="dxa"/>
            <w:vAlign w:val="center"/>
          </w:tcPr>
          <w:p>
            <w:pPr>
              <w:spacing w:before="0" w:after="0"/>
            </w:pPr>
            <w:r>
              <w:rPr>
                <w:rFonts w:ascii="Times New Roman" w:hAnsi="Times New Roman" w:eastAsia="宋体"/>
                <w:b w:val="0"/>
                <w:sz w:val="21"/>
              </w:rPr>
              <w:t>18.94%</w:t>
            </w:r>
          </w:p>
        </w:tc>
        <w:tc>
          <w:tcPr>
            <w:tcW w:w="1715" w:type="dxa"/>
            <w:vAlign w:val="center"/>
          </w:tcPr>
          <w:p>
            <w:pPr>
              <w:spacing w:before="0" w:after="0"/>
            </w:pPr>
            <w:r>
              <w:rPr>
                <w:rFonts w:ascii="Times New Roman" w:hAnsi="Times New Roman" w:eastAsia="宋体"/>
                <w:b w:val="0"/>
                <w:sz w:val="21"/>
              </w:rPr>
              <w:t>460.24</w:t>
            </w:r>
          </w:p>
        </w:tc>
        <w:tc>
          <w:tcPr>
            <w:tcW w:w="1263" w:type="dxa"/>
            <w:vAlign w:val="center"/>
          </w:tcPr>
          <w:p>
            <w:pPr>
              <w:spacing w:before="0" w:after="0"/>
            </w:pPr>
            <w:r>
              <w:rPr>
                <w:rFonts w:ascii="Times New Roman" w:hAnsi="Times New Roman" w:eastAsia="宋体"/>
                <w:b w:val="0"/>
                <w:sz w:val="21"/>
              </w:rPr>
              <w:t>4.01%</w:t>
            </w:r>
          </w:p>
        </w:tc>
      </w:tr>
      <w:tr>
        <w:trPr>
          <w:cantSplit/>
          <w:trHeight w:val="397"/>
          <w:jc w:val="center"/>
        </w:trPr>
        <w:tc>
          <w:tcPr>
            <w:tcW w:w="2350" w:type="dxa"/>
            <w:vAlign w:val="center"/>
          </w:tcPr>
          <w:p>
            <w:pPr>
              <w:spacing w:before="0" w:after="0"/>
            </w:pPr>
            <w:r>
              <w:rPr>
                <w:rFonts w:ascii="Times New Roman" w:hAnsi="Times New Roman" w:eastAsia="宋体"/>
                <w:b w:val="0"/>
                <w:sz w:val="21"/>
              </w:rPr>
              <w:t>合计</w:t>
            </w:r>
          </w:p>
        </w:tc>
        <w:tc>
          <w:tcPr>
            <w:tcW w:w="1715" w:type="dxa"/>
            <w:vAlign w:val="center"/>
          </w:tcPr>
          <w:p>
            <w:pPr>
              <w:spacing w:before="0" w:after="0"/>
            </w:pPr>
            <w:r>
              <w:rPr>
                <w:rFonts w:ascii="Times New Roman" w:hAnsi="Times New Roman" w:eastAsia="宋体"/>
                <w:b w:val="0"/>
                <w:sz w:val="21"/>
              </w:rPr>
              <w:t>5,278.54</w:t>
            </w:r>
          </w:p>
        </w:tc>
        <w:tc>
          <w:tcPr>
            <w:tcW w:w="1263" w:type="dxa"/>
            <w:vAlign w:val="center"/>
          </w:tcPr>
          <w:p>
            <w:pPr>
              <w:spacing w:before="0" w:after="0"/>
            </w:pPr>
            <w:r>
              <w:rPr>
                <w:rFonts w:ascii="Times New Roman" w:hAnsi="Times New Roman" w:eastAsia="宋体"/>
                <w:b w:val="0"/>
                <w:sz w:val="21"/>
              </w:rPr>
              <w:t>100.00%</w:t>
            </w:r>
          </w:p>
        </w:tc>
        <w:tc>
          <w:tcPr>
            <w:tcW w:w="1715" w:type="dxa"/>
            <w:vAlign w:val="center"/>
          </w:tcPr>
          <w:p>
            <w:pPr>
              <w:spacing w:before="0" w:after="0"/>
            </w:pPr>
            <w:r>
              <w:rPr>
                <w:rFonts w:ascii="Times New Roman" w:hAnsi="Times New Roman" w:eastAsia="宋体"/>
                <w:b w:val="0"/>
                <w:sz w:val="21"/>
              </w:rPr>
              <w:t>11,467.06</w:t>
            </w:r>
          </w:p>
        </w:tc>
        <w:tc>
          <w:tcPr>
            <w:tcW w:w="1263"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资料来源：收入大表-2025-2026年1-7月</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表4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表5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表6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表7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表8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表9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表10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