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712720"/>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712720"/>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公司处于中游环节，以一体化关节模组为主要产品形态。</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资料来源：公开资料整理</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者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销售收入的比重分别为45.97%和82.22%，谐波减速机及传动总成的比重分别为9.81%和4.54%，产品结构已由核心零部件与多品类模组并重转为以一体化关节模组为主。上述一体化关节模组包含人形关节模组、一体化模组及其定制产品，谐波减速机及传动总成包含谐波减速机、水平与垂直谐波传动总成及环视一体机谐波模组。</w:t>
      </w:r>
    </w:p>
    <w:p>
      <w:pPr>
        <w:spacing w:line="360" w:lineRule="auto" w:before="120"/>
        <w:ind w:firstLine="480"/>
        <w:jc w:val="both"/>
      </w:pPr>
      <w:r>
        <w:rPr>
          <w:rFonts w:ascii="Times New Roman" w:hAnsi="Times New Roman" w:eastAsia="宋体"/>
          <w:b w:val="0"/>
          <w:sz w:val="24"/>
        </w:rPr>
        <w:t>公司2025年收入低于1亿元，与独立关节模组供应商的行业普遍规模相当。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