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本环节的集中度普遍高于设备整机，细分品类尤甚。本环节的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77%。公司所处的金属路线在全球市场中占比较小，却是国内企业切入较早的一类。就公开披露而言，富创精密与先锋精科均将匀气盘列为其半导体零部件的主要产品，先锋精科 2023 年匀气盘收入 4,287.18 万元、销量 6,034 件。</w:t>
      </w:r>
    </w:p>
    <w:p>
      <w:pPr>
        <w:keepNext/>
        <w:spacing w:before="120" w:after="60"/>
        <w:jc w:val="center"/>
      </w:pPr>
      <w:r>
        <w:rPr>
          <w:rFonts w:ascii="Times New Roman" w:hAnsi="Times New Roman" w:eastAsia="宋体"/>
          <w:b/>
          <w:sz w:val="21"/>
        </w:rPr>
        <w:t xml:space="preserve">表2  国内主要厂商气体喷淋头的进展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气体喷淋头（匀气盘）的进展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富创精密</w:t>
            </w:r>
          </w:p>
        </w:tc>
        <w:tc>
          <w:tcPr>
            <w:tcW w:w="6978" w:type="dxa"/>
            <w:vAlign w:val="center"/>
          </w:tcPr>
          <w:p>
            <w:pPr>
              <w:spacing w:before="40" w:after="40" w:line="260" w:lineRule="auto"/>
              <w:jc w:val="left"/>
            </w:pPr>
            <w:r>
              <w:rPr>
                <w:rFonts w:ascii="Times New Roman" w:hAnsi="Times New Roman" w:eastAsia="宋体"/>
                <w:b w:val="0"/>
                <w:sz w:val="21"/>
              </w:rPr>
              <w:t xml:space="preserve">报告期内完成多款高度集成化新型匀气盘产品研发落地，多层钎焊内腔匀气盘实现全流程自主可控生产；匀气盘业务同比翻倍，高难度、复杂结构产品已在国内先进制程领域导入与推广</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匀气盘为其半导体类主要产品之一，微孔加工的孔径标准差可达 0.3 微米；真空扩散焊与真空钎焊应用于多层复杂构造匀气盘的生产</w:t>
            </w:r>
          </w:p>
        </w:tc>
      </w:tr>
    </w:tbl>
    <w:p>
      <w:pPr>
        <w:spacing w:before="0" w:after="120"/>
        <w:jc w:val="both"/>
      </w:pPr>
      <w:r>
        <w:rPr>
          <w:rFonts w:ascii="Times New Roman" w:hAnsi="Times New Roman" w:eastAsia="宋体"/>
          <w:b w:val="0"/>
          <w:sz w:val="21"/>
        </w:rPr>
        <w:t xml:space="preserve">资料来源：各公司 2026 年半年度报告。注：江丰电子 2026 年半年度报告将气体分配盘列为国内供应链仍处于持续突破阶段的金属零部件之一。</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表3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年半年度报告。注：该品类由日系企业主导，2024 年日本碍子约占全球 48%（QYResearch）。</w:t>
      </w:r>
    </w:p>
    <w:p>
      <w:pPr>
        <w:spacing w:line="360" w:lineRule="auto" w:before="120"/>
        <w:ind w:firstLine="480"/>
        <w:jc w:val="both"/>
      </w:pPr>
      <w:r>
        <w:rPr>
          <w:rFonts w:ascii="Times New Roman" w:hAnsi="Times New Roman" w:eastAsia="宋体"/>
          <w:b w:val="0"/>
          <w:sz w:val="24"/>
        </w:rPr>
        <w:t xml:space="preserve">半导体级全氟醚橡胶密封件的境外集中度更高，据行业普遍估计，其国产化率不足 10%。国内厂商中，芯密科技进入较早，其刻蚀用密封圈 2022 年至 2024 年收入由 1,121.70 万元增至 9,109.84 万元，销量由 8,840 个增至 113,918 个。三年间收入增至约八倍，该品类已出现成规模供货的国内厂商。</w:t>
      </w:r>
    </w:p>
    <w:p>
      <w:pPr>
        <w:spacing w:line="360" w:lineRule="auto" w:before="120"/>
        <w:ind w:firstLine="480"/>
        <w:jc w:val="both"/>
      </w:pPr>
      <w:r>
        <w:rPr>
          <w:rFonts w:ascii="Times New Roman" w:hAnsi="Times New Roman" w:eastAsia="宋体"/>
          <w:b w:val="0"/>
          <w:sz w:val="24"/>
        </w:rPr>
        <w:t xml:space="preserve">据行业普遍估计，三个品类的国产化程度依次递减：金属结构件约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就氮化铝陶瓷加热盘而言，公司已实现量产，与同样已量产的同行处于同一阶段，快于仍在客户端验证的先锋精科。</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国产替代的窗口在供需两端同时打开。资金端，国家集成电路产业投资基金三期于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27%。境外设备厂商对华业务同步承压，与国内晶圆厂直接采购比例的提升相叠加，本环节国产替代所面对的供应链环境较此前宽松，其驱动因素已不限于价格，还包括交期与供应连续性。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较此前缩短，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技术要求沿三个方向提升。气体喷淋头的演进集中于内部流道的微结构优化与耐等离子体侵蚀涂层的应用；加热盘的材料由氧化铝转向氮化铝，后者导热性与高温稳定性更优，可在最高 1,600℃ 的环境中运行，在先进制程中的应用占比持续提升；两类部件均需适配更大尺寸的晶圆，据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公司的客户覆盖设备整机厂商与晶圆制造厂商两类，分别对应新机配套与产线备件两条供货路径。同时进入两端，公司的收入不依赖单一端的周期波动。</w:t>
      </w:r>
    </w:p>
    <w:p>
      <w:pPr>
        <w:keepNext/>
        <w:spacing w:before="120" w:after="60"/>
        <w:jc w:val="center"/>
      </w:pPr>
      <w:r>
        <w:rPr>
          <w:rFonts w:ascii="Times New Roman" w:hAnsi="Times New Roman" w:eastAsia="宋体"/>
          <w:b/>
          <w:sz w:val="21"/>
        </w:rPr>
        <w:t xml:space="preserve">表4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反映其已进入具体机型的配套位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公司在无锡、合肥与武汉设有生产基地，均位于国内主要存储晶圆制造厂商的配套半径之内。零部件属高频更换的耗材，交付响应时效直接影响客户的停机时间，就近配套因而是客户的现实偏好。</w:t>
      </w:r>
    </w:p>
    <w:p>
      <w:pPr>
        <w:spacing w:line="360" w:lineRule="auto" w:before="120"/>
        <w:ind w:firstLine="480"/>
        <w:jc w:val="both"/>
      </w:pPr>
      <w:r>
        <w:rPr>
          <w:rFonts w:ascii="Times New Roman" w:hAnsi="Times New Roman" w:eastAsia="宋体"/>
          <w:b w:val="0"/>
          <w:sz w:val="24"/>
        </w:rPr>
        <w:t xml:space="preserve">据此可以认为，公司已进入设备端与晶圆端两类客户的供应体系。后续增长取决于单一客户份额的提升与产品线的横向扩展，而非从零开始的客户开发。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加热盘的技术集中于材料与控温。氮化铝的导热性显著优于氧化铝，其热膨胀系数与硅匹配，为先进制程的主流材料选择之一。难点在于粉体纯度，以及加热电路与陶瓷基体的高温共烧匹配。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表5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其中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产业化阶段已经完成，氮化铝陶瓷加热盘进入量产。公司的“半导体薄膜沉积设备高精密气体喷淋头”列入《江苏省重点推广应用的新技术新产品目录（2025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从公开信息看，同时覆盖上述三类产品的企业相对少见。三者分属机械、无机非金属与高分子三个学科，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