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较高的导入壁垒对应较高的市场集中度。零部件行业整体集中度约 50%，细分品类普遍高于这一水平。本环节的机会因而在于单一品类的突破，而非规模上的全面比拼。公司所对应的三个品类，其竞争格局与国产化程度各不相同。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三个品类中，气体喷淋头的市场规模最大，国产供给的形成亦最早。喷淋头按材质可分为硅质、金属与其他三类。据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77%。公司所处的金属路线在全球市场中占比较小，却是国内企业切入较早的一类，富创精密、新莱应材、江丰电子、先锋精科、安徽博芯微等均已形成供货，先锋精科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氮化铝陶瓷加热盘加工能力的厂商数量有限。该缺口已有所收窄，珂玛科技的陶瓷加热器已实现量产，中瓷电子已突破多区控温并进入存储厂验证。</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10%。国内厂商中，芯密科技进入较早，其刻蚀用密封圈 2022 年至 2024 年收入由 1,121.70 万元增至 9,109.84 万元，销量由 8,840 个增至 113,918 个。三年间收入增至约八倍，该品类的国产供给已具备一定规模。</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在市场规模之外，采购路径亦在发生转移。2024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27%。境外供给收缩与国内需求上行同时发生，国产替代的驱动因素因而不限于价格，亦包括交期与供应连续性。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上述开放存在边界：头部设备商在先进制程的静电卡盘与加热盘上仍以自研为主，对外采购集中于成熟制程，零部件企业的上限因而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英寸随先进制程扩产而增长。本地化供应链建设亦已列为本环节的主要趋势之一。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而由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公司的客户覆盖设备整机厂商与晶圆制造厂商两类，分别对应新机配套与产线备件两条供货路径。两类客户的采购节奏并不同步，同时进入两端，使公司收入不依赖单一端的周期波动。</w:t>
      </w:r>
    </w:p>
    <w:p>
      <w:pPr>
        <w:keepNext/>
        <w:spacing w:before="120" w:after="60"/>
        <w:jc w:val="center"/>
      </w:pPr>
      <w:r>
        <w:rPr>
          <w:rFonts w:ascii="Times New Roman" w:hAnsi="Times New Roman" w:eastAsia="宋体"/>
          <w:b/>
          <w:sz w:val="21"/>
        </w:rPr>
        <w:t xml:space="preserve">表2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构成客户导入已经完成的直接证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交付能力是维持客户关系的另一项条件。公司在无锡、合肥与武汉设有生产基地，均位于国内主要存储晶圆制造厂商的配套半径之内。零部件属高频更换的耗材，交付响应时效直接影响客户的停机时间，就近配套因而成为客户在同等技术条件下的现实偏好。</w:t>
      </w:r>
    </w:p>
    <w:p>
      <w:pPr>
        <w:spacing w:line="360" w:lineRule="auto" w:before="120"/>
        <w:ind w:firstLine="480"/>
        <w:jc w:val="both"/>
      </w:pPr>
      <w:r>
        <w:rPr>
          <w:rFonts w:ascii="Times New Roman" w:hAnsi="Times New Roman" w:eastAsia="宋体"/>
          <w:b w:val="0"/>
          <w:sz w:val="24"/>
        </w:rPr>
        <w:t xml:space="preserve">据此可以认为，公司已完成客户导入中门槛最高的阶段。设备端与晶圆端的供应体系均已进入，并以机型对位的方式实现供货。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表3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配方类专利的技术含量高于结构类，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同时具备三类技术的企业，在同等规模的零部件厂商中并不多见。三者分属机械、无机非金属与高分子三个学科，多数同行仅涉及其中之一。公司因而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