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pageBreakBefore w:val="0"/>
      </w:pPr>
      <w:r>
        <w:rPr>
          <w:rFonts w:hint="eastAsia"/>
          <w:b w:val="0"/>
        </w:rPr>
        <w:t>无限宇航融资参考案例</w:t>
      </w:r>
    </w:p>
    <w:p>
      <w:pPr>
        <w:pStyle w:val="004"/>
      </w:pPr>
      <w:r>
        <w:rPr>
          <w:rFonts w:hint="eastAsia"/>
          <w:b/>
        </w:rPr>
        <w:t>1、未来宇航（同行业公司，OTV整机研制，A+轮）</w:t>
      </w:r>
    </w:p>
    <w:p>
      <w:pPr>
        <w:pStyle w:val="005"/>
      </w:pPr>
      <w:r>
        <w:rPr>
          <w:rFonts w:hint="eastAsia"/>
          <w:b w:val="0"/>
        </w:rPr>
        <w:t>未来宇航的经营主体为北京未来宇航空间科技研究院有限公司，成立于2017年7月，法定代表人牛旼，注册地北京市海淀区。公司注册资本361.6699万元，实缴322.9195万元，2025年报参保人数20人。公司控股10家子公司，分布于北京、雄安、海南、西安、上海、南京、绵阳、深圳、武汉，其中河北雄安未来宇航科技有限公司对应雄安生产基地。</w:t>
      </w:r>
    </w:p>
    <w:p>
      <w:pPr>
        <w:pStyle w:val="005"/>
      </w:pPr>
      <w:r>
        <w:rPr>
          <w:rFonts w:hint="eastAsia"/>
          <w:b w:val="0"/>
        </w:rPr>
        <w:t>2026年4月28日，未来宇航发布FX锋行系列空间飞行器，覆盖300公斤至4000公斤级多任务平台，锋行一号计划于2026年下半年首飞。公司雄安空间飞行器总装集成测试工厂计划2026年投产，同步启用太空4S店，规划年产60台飞行器。</w:t>
      </w:r>
    </w:p>
    <w:p>
      <w:pPr>
        <w:pStyle w:val="005"/>
      </w:pPr>
      <w:r>
        <w:rPr>
          <w:rFonts w:hint="eastAsia"/>
          <w:b w:val="0"/>
        </w:rPr>
        <w:t>企查查未收录未来宇航的融资事件。根据工商登记，公司近两年的增资情况如下：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w="8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工商变更日</w:t>
            </w:r>
          </w:p>
        </w:tc>
        <w:tc>
          <w:tcPr>
            <w:tcW w:w="11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21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</w:t>
            </w:r>
          </w:p>
        </w:tc>
        <w:tc>
          <w:tcPr>
            <w:tcW w:w="1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2026-06-03</w:t>
            </w:r>
          </w:p>
        </w:tc>
        <w:tc>
          <w:tcPr>
            <w:tcW w:w="11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322.9195→352.2401</w:t>
            </w:r>
          </w:p>
        </w:tc>
        <w:tc>
          <w:tcPr>
            <w:tcW w:w="21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雄安科技创新天使基金一期、嘉兴源益股权投资、深圳逐星者投资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8.2142%</w:t>
            </w:r>
          </w:p>
        </w:tc>
      </w:tr>
      <w:tr>
        <w:trPr>
          <w:cantSplit/>
        </w:trPr>
        <w:tc>
          <w:tcPr>
            <w:tcW w:w="8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2026-08-13</w:t>
            </w:r>
          </w:p>
        </w:tc>
        <w:tc>
          <w:tcPr>
            <w:tcW w:w="11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352.2401→361.6699</w:t>
            </w:r>
          </w:p>
        </w:tc>
        <w:tc>
          <w:tcPr>
            <w:tcW w:w="21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原股东海南未来共赢增资</w:t>
            </w:r>
          </w:p>
        </w:tc>
        <w:tc>
          <w:tcPr>
            <w:tcW w:w="10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—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2026年4月发布会期间，媒体报道未来宇航A+轮融资即将完成，估值约10亿元。以三家新进机构合计持股8.2142%与该估值测算，本轮融资金额约8200万元。工商增资时点为2026年6月，三家机构首次持股日期为2026年7月7日，与上述报道时点衔接。估值口径来自媒体报道，未经公司确认。</w:t>
      </w:r>
    </w:p>
    <w:p>
      <w:pPr>
        <w:pStyle w:val="004"/>
      </w:pPr>
      <w:r>
        <w:rPr>
          <w:rFonts w:hint="eastAsia"/>
          <w:b/>
        </w:rPr>
        <w:t>2、国宇星辰（同行业公司，空间在轨服务，Pre-A+轮）</w:t>
      </w:r>
    </w:p>
    <w:p>
      <w:pPr>
        <w:pStyle w:val="005"/>
      </w:pPr>
      <w:r>
        <w:rPr>
          <w:rFonts w:hint="eastAsia"/>
          <w:b w:val="0"/>
        </w:rPr>
        <w:t>国宇星辰（上海）航天科技有限公司成立于2022年4月，曾用名国宇星辰（山东）航天科技有限公司，法定代表人张龙，注册地上海市松江区。公司注册资本451.5714万元，实缴265.5714万元，2025年报参保人数为0人。</w:t>
      </w:r>
    </w:p>
    <w:p>
      <w:pPr>
        <w:pStyle w:val="005"/>
      </w:pPr>
      <w:r>
        <w:rPr>
          <w:rFonts w:hint="eastAsia"/>
          <w:b w:val="0"/>
        </w:rPr>
        <w:t>公司核心业务覆盖在轨验证、在轨延寿、在轨清理，构建微纳、中型、大型轨道飞行器产品矩阵，自主研发空间组合动力系统。自研星迹源一号于2025年5月完成入轨验证。</w:t>
      </w:r>
    </w:p>
    <w:p>
      <w:pPr>
        <w:pStyle w:val="005"/>
      </w:pPr>
      <w:r>
        <w:rPr>
          <w:rFonts w:hint="eastAsia"/>
          <w:b w:val="0"/>
        </w:rPr>
        <w:t>公司累计融资3次，具体情况如下：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w="6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融资时间</w:t>
            </w:r>
          </w:p>
        </w:tc>
        <w:tc>
          <w:tcPr>
            <w:tcW w:w="5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轮次</w:t>
            </w:r>
          </w:p>
        </w:tc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融资金额</w:t>
            </w:r>
          </w:p>
        </w:tc>
        <w:tc>
          <w:tcPr>
            <w:tcW w:w="13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投资方</w:t>
            </w:r>
          </w:p>
        </w:tc>
        <w:tc>
          <w:tcPr>
            <w:tcW w:w="1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8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2022-10-28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天使轮</w:t>
            </w:r>
          </w:p>
        </w:tc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3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青岛元禾原点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300→342.8571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12.5000%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2025-02-28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Pre-A轮</w:t>
            </w:r>
          </w:p>
        </w:tc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3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厚雪资本旗下三只基金、侯昊翔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342.8571→414.2857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17.2414%</w:t>
            </w:r>
          </w:p>
        </w:tc>
      </w:tr>
      <w:tr>
        <w:trPr>
          <w:cantSplit/>
        </w:trPr>
        <w:tc>
          <w:tcPr>
            <w:tcW w:w="6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2025-08-20</w:t>
            </w:r>
          </w:p>
        </w:tc>
        <w:tc>
          <w:tcPr>
            <w:tcW w:w="5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Pre-A+轮</w:t>
            </w:r>
          </w:p>
        </w:tc>
        <w:tc>
          <w:tcPr>
            <w:tcW w:w="6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数千万元</w:t>
            </w:r>
          </w:p>
        </w:tc>
        <w:tc>
          <w:tcPr>
            <w:tcW w:w="13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马鞍山尚颀智能创业投资基金</w:t>
            </w:r>
          </w:p>
        </w:tc>
        <w:tc>
          <w:tcPr>
            <w:tcW w:w="10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414.2857→451.5714</w:t>
            </w:r>
          </w:p>
        </w:tc>
        <w:tc>
          <w:tcPr>
            <w:tcW w:w="8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8.2569%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以Pre-A+轮新进股东持股8.2569%测算，若融资金额为3000万元，对应投后估值约3.6亿元；若为5000万元，对应投后估值约6.1亿元。天使轮与Pre-A轮金额未披露，无法测算。</w:t>
      </w:r>
    </w:p>
    <w:p>
      <w:pPr>
        <w:pStyle w:val="004"/>
      </w:pPr>
      <w:r>
        <w:rPr>
          <w:rFonts w:hint="eastAsia"/>
          <w:b/>
        </w:rPr>
        <w:t>3、三垣航天（同行业公司，在轨操作与碎片清理，Pre-A+轮）</w:t>
      </w:r>
    </w:p>
    <w:p>
      <w:pPr>
        <w:pStyle w:val="005"/>
      </w:pPr>
      <w:r>
        <w:rPr>
          <w:rFonts w:hint="eastAsia"/>
          <w:b w:val="0"/>
        </w:rPr>
        <w:t>苏州三垣航天科技有限公司成立于2022年6月，法定代表人赵磊，注册地江苏省苏州市太仓市。公司注册资本1871.506万元，2025年报参保人数19人，分支机构参保2人。第一大股东为北京航天驭星科技股份有限公司，持股51.4539%，三垣航天为其控股子公司。</w:t>
      </w:r>
    </w:p>
    <w:p>
      <w:pPr>
        <w:pStyle w:val="005"/>
      </w:pPr>
      <w:r>
        <w:rPr>
          <w:rFonts w:hint="eastAsia"/>
          <w:b w:val="0"/>
        </w:rPr>
        <w:t>公司以空间操作技术研发、空间操作装备研制、空间在轨服务运营为核心业务，应用场景包括空间碎片清理、航天器在轨延寿与加注、在轨维修。公司首发技术验证星命名为星西垣0号，于2026年3月入轨，为国内首颗由商业公司研制的柔性机械臂在轨操作卫星，在轨完成程控模拟加注、遥操作模拟加注、视觉伺服模拟加注等操作验证。</w:t>
      </w:r>
    </w:p>
    <w:p>
      <w:pPr>
        <w:pStyle w:val="005"/>
      </w:pPr>
      <w:r>
        <w:rPr>
          <w:rFonts w:hint="eastAsia"/>
          <w:b w:val="0"/>
        </w:rPr>
        <w:t>公司累计融资情况如下：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w="6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融资时间</w:t>
            </w:r>
          </w:p>
        </w:tc>
        <w:tc>
          <w:tcPr>
            <w:tcW w:w="5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轮次</w:t>
            </w:r>
          </w:p>
        </w:tc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融资金额</w:t>
            </w:r>
          </w:p>
        </w:tc>
        <w:tc>
          <w:tcPr>
            <w:tcW w:w="13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投资方</w:t>
            </w:r>
          </w:p>
        </w:tc>
        <w:tc>
          <w:tcPr>
            <w:tcW w:w="1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8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2022-11-01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天使轮</w:t>
            </w:r>
          </w:p>
        </w:tc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数千万元</w:t>
            </w:r>
          </w:p>
        </w:tc>
        <w:tc>
          <w:tcPr>
            <w:tcW w:w="13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元航资本、银杏谷资本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1600→1671.9577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11.3924%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2024-03-04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Pre-A轮</w:t>
            </w:r>
          </w:p>
        </w:tc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数千万元</w:t>
            </w:r>
          </w:p>
        </w:tc>
        <w:tc>
          <w:tcPr>
            <w:tcW w:w="13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太仓鑫六号（领投）、太仓智汇科创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1671.9577→1809.1225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8.5060%</w:t>
            </w:r>
          </w:p>
        </w:tc>
      </w:tr>
      <w:tr>
        <w:trPr>
          <w:cantSplit/>
        </w:trPr>
        <w:tc>
          <w:tcPr>
            <w:tcW w:w="6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2024-09-10</w:t>
            </w:r>
          </w:p>
        </w:tc>
        <w:tc>
          <w:tcPr>
            <w:tcW w:w="5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Pre-A+轮</w:t>
            </w:r>
          </w:p>
        </w:tc>
        <w:tc>
          <w:tcPr>
            <w:tcW w:w="6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数千万元</w:t>
            </w:r>
          </w:p>
        </w:tc>
        <w:tc>
          <w:tcPr>
            <w:tcW w:w="13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深圳高新投旗下两只基金</w:t>
            </w:r>
          </w:p>
        </w:tc>
        <w:tc>
          <w:tcPr>
            <w:tcW w:w="10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1809.1225→1871.506</w:t>
            </w:r>
          </w:p>
        </w:tc>
        <w:tc>
          <w:tcPr>
            <w:tcW w:w="8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3.3333%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三轮融资金额均披露为数千万元，未披露具体数值。以Pre-A+轮新进股东持股3.3333%测算，若融资金额为3000万元，对应投后估值约9亿元；若为5000万元，对应投后估值约15亿元。该轮持股比例较低，测算结果对金额高度敏感，区间较宽。此外，天使轮与Pre-A轮的新进股东认缴出资额高于当期注册资本增加额，两轮存在增资与老股受让并行的情形，表中持股比例取自工商登记的持股变动记录，与注册资本增加额不构成直接对应；Pre-A+轮新进股东认缴出资额与当期注册资本增加额一致。</w:t>
      </w:r>
    </w:p>
    <w:p>
      <w:pPr>
        <w:pStyle w:val="004"/>
      </w:pPr>
      <w:r>
        <w:rPr>
          <w:rFonts w:hint="eastAsia"/>
          <w:b/>
        </w:rPr>
        <w:t>4、遨天科技（同行业公司，空间动力与在轨服务，B+轮）</w:t>
      </w:r>
    </w:p>
    <w:p>
      <w:pPr>
        <w:pStyle w:val="005"/>
      </w:pPr>
      <w:r>
        <w:rPr>
          <w:rFonts w:hint="eastAsia"/>
          <w:b w:val="0"/>
        </w:rPr>
        <w:t>遨天科技（北京）有限公司成立于2018年6月，法定代表人王红霞，注册地北京市海淀区。公司注册资本4251.0383万元，已全额实缴，2025年报参保人数128人，企查查标注企业规模为中型。公司共有29名股东，累计融资11轮。</w:t>
      </w:r>
    </w:p>
    <w:p>
      <w:pPr>
        <w:pStyle w:val="005"/>
      </w:pPr>
      <w:r>
        <w:rPr>
          <w:rFonts w:hint="eastAsia"/>
          <w:b w:val="0"/>
        </w:rPr>
        <w:t>公司核心产品和服务涵盖卫星动力系统的研发生产销售、空间碎片监测及空间轨道服务。公开招投标记录显示，公司于2025年11月中标中国星网网络系统研究院有限公司、中国星网易联供应链有限公司的低轨星座卫星电推进仿真系统项目，2024年10月中标无锡市梁天溪引航天工业有限公司LX630星座系统项目，2023年9月中标武汉大学卫星电推进设备项目，中标金额14.52万元。</w:t>
      </w:r>
    </w:p>
    <w:p>
      <w:pPr>
        <w:pStyle w:val="005"/>
      </w:pPr>
      <w:r>
        <w:rPr>
          <w:rFonts w:hint="eastAsia"/>
          <w:b w:val="0"/>
        </w:rPr>
        <w:t>公司2023年10月27日注册资本由185.6651万元增至3567.5675万元，增幅约18倍，属资本公积转增，非按市价增资。该时点前后每单位注册资本对应的权益不可比，估值测算仅适用于此后各轮。转增后的增资情况如下：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w="6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融资时间</w:t>
            </w:r>
          </w:p>
        </w:tc>
        <w:tc>
          <w:tcPr>
            <w:tcW w:w="5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轮次</w:t>
            </w:r>
          </w:p>
        </w:tc>
        <w:tc>
          <w:tcPr>
            <w:tcW w:w="5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融资金额</w:t>
            </w:r>
          </w:p>
        </w:tc>
        <w:tc>
          <w:tcPr>
            <w:tcW w:w="14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投资方</w:t>
            </w:r>
          </w:p>
        </w:tc>
        <w:tc>
          <w:tcPr>
            <w:tcW w:w="1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8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2024-02-04</w:t>
            </w:r>
          </w:p>
        </w:tc>
        <w:tc>
          <w:tcPr>
            <w:tcW w:w="5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B轮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4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国开科创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3567.5675→3755.3342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5.0000%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2025-04-11</w:t>
            </w:r>
          </w:p>
        </w:tc>
        <w:tc>
          <w:tcPr>
            <w:tcW w:w="5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B+轮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4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无锡梁溪空天、天津远翼景昊、嘉兴晨金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3755.3342→4125.8605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8.9806%</w:t>
            </w:r>
          </w:p>
        </w:tc>
      </w:tr>
      <w:tr>
        <w:trPr>
          <w:cantSplit/>
        </w:trPr>
        <w:tc>
          <w:tcPr>
            <w:tcW w:w="6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2025-06-11</w:t>
            </w:r>
          </w:p>
        </w:tc>
        <w:tc>
          <w:tcPr>
            <w:tcW w:w="5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未记录轮次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4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未记录</w:t>
            </w:r>
          </w:p>
        </w:tc>
        <w:tc>
          <w:tcPr>
            <w:tcW w:w="10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4125.8605→4251.0383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2.9446%</w:t>
            </w:r>
          </w:p>
        </w:tc>
      </w:tr>
      <w:tr>
        <w:trPr>
          <w:cantSplit/>
        </w:trPr>
        <w:tc>
          <w:tcPr>
            <w:tcW w:w="6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2025-11-21</w:t>
            </w:r>
          </w:p>
        </w:tc>
        <w:tc>
          <w:tcPr>
            <w:tcW w:w="5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B+轮</w:t>
            </w:r>
          </w:p>
        </w:tc>
        <w:tc>
          <w:tcPr>
            <w:tcW w:w="5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4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北科中发展启航基金、复琢投资</w:t>
            </w:r>
          </w:p>
        </w:tc>
        <w:tc>
          <w:tcPr>
            <w:tcW w:w="10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注册资本未变动</w:t>
            </w:r>
          </w:p>
        </w:tc>
        <w:tc>
          <w:tcPr>
            <w:tcW w:w="8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—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公司11轮融资的金额全部未披露，无法测算估值。2025年11月21日一轮注册资本未发生变动，为老股转让，与企查查记录的B+轮口径不一致。2025年4月11日一轮的新进股东认缴出资额合计高于当期注册资本增加额，存在增资与老股受让并行的情形。</w:t>
      </w:r>
    </w:p>
    <w:p>
      <w:pPr>
        <w:pStyle w:val="004"/>
      </w:pPr>
      <w:r>
        <w:rPr>
          <w:rFonts w:hint="eastAsia"/>
          <w:b/>
        </w:rPr>
        <w:t>5、鸿擎科技（同行业公司，空间动力系统，Pre-B轮）</w:t>
      </w:r>
    </w:p>
    <w:p>
      <w:pPr>
        <w:pStyle w:val="005"/>
      </w:pPr>
      <w:r>
        <w:rPr>
          <w:rFonts w:hint="eastAsia"/>
          <w:b w:val="0"/>
        </w:rPr>
        <w:t>北京蓝箭鸿擎科技有限公司成立于2017年11月，曾用名上海蓝箭鸿擎科技有限公司、上海意想网络科技有限公司，法定代表人万军，注册地北京经济技术开发区。公司注册资本4680.6916万元，实缴3848.079万元，2025年报参保人数61人，分支机构参保9人。公司共有31名股东，累计融资12轮。蓝箭航天空间科技股份有限公司持股14.9551%。</w:t>
      </w:r>
    </w:p>
    <w:p>
      <w:pPr>
        <w:pStyle w:val="005"/>
      </w:pPr>
      <w:r>
        <w:rPr>
          <w:rFonts w:hint="eastAsia"/>
          <w:b w:val="0"/>
        </w:rPr>
        <w:t>公司为空间动力解决方案供应商，面向低轨互联网、物联网星座，满足小卫星轨道提升、在轨位置保持、离轨等任务的动力需求。</w:t>
      </w:r>
    </w:p>
    <w:p>
      <w:pPr>
        <w:pStyle w:val="005"/>
      </w:pPr>
      <w:r>
        <w:rPr>
          <w:rFonts w:hint="eastAsia"/>
          <w:b w:val="0"/>
        </w:rPr>
        <w:t>公司近两年的融资及对应增资情况如下：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融资时间</w:t>
            </w:r>
          </w:p>
        </w:tc>
        <w:tc>
          <w:tcPr>
            <w:tcW w:w="4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轮次</w:t>
            </w:r>
          </w:p>
        </w:tc>
        <w:tc>
          <w:tcPr>
            <w:tcW w:w="5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融资金额</w:t>
            </w:r>
          </w:p>
        </w:tc>
        <w:tc>
          <w:tcPr>
            <w:tcW w:w="1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投资方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7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</w:tr>
      <w:tr>
        <w:trPr>
          <w:cantSplit/>
        </w:trPr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2024-12-26</w:t>
            </w:r>
          </w:p>
        </w:tc>
        <w:tc>
          <w:tcPr>
            <w:tcW w:w="4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A+轮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3.4亿元</w:t>
            </w:r>
          </w:p>
        </w:tc>
        <w:tc>
          <w:tcPr>
            <w:tcW w:w="17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通宇通讯、昆仑资本、北京市先进制造和智能装备产业投资基金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2234.2538→2552.2053</w:t>
            </w:r>
          </w:p>
        </w:tc>
        <w:tc>
          <w:tcPr>
            <w:tcW w:w="7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12.4577%</w:t>
            </w:r>
          </w:p>
        </w:tc>
      </w:tr>
      <w:tr>
        <w:trPr>
          <w:cantSplit/>
        </w:trPr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2025-01-23</w:t>
            </w:r>
          </w:p>
        </w:tc>
        <w:tc>
          <w:tcPr>
            <w:tcW w:w="4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A+轮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3亿元</w:t>
            </w:r>
          </w:p>
        </w:tc>
        <w:tc>
          <w:tcPr>
            <w:tcW w:w="17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昆仑资本（领投）、白云基金、广电平云资本、北京京国管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2552.2053→2852.9703</w:t>
            </w:r>
          </w:p>
        </w:tc>
        <w:tc>
          <w:tcPr>
            <w:tcW w:w="7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10.5421%</w:t>
            </w:r>
          </w:p>
        </w:tc>
      </w:tr>
      <w:tr>
        <w:trPr>
          <w:cantSplit/>
        </w:trPr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2025-02-11</w:t>
            </w:r>
          </w:p>
        </w:tc>
        <w:tc>
          <w:tcPr>
            <w:tcW w:w="4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A+轮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约1亿元</w:t>
            </w:r>
          </w:p>
        </w:tc>
        <w:tc>
          <w:tcPr>
            <w:tcW w:w="17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雄安科技创新成长股权投资基金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2852.9703→2990.4628</w:t>
            </w:r>
          </w:p>
        </w:tc>
        <w:tc>
          <w:tcPr>
            <w:tcW w:w="7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4.5977%</w:t>
            </w:r>
          </w:p>
        </w:tc>
      </w:tr>
      <w:tr>
        <w:trPr>
          <w:cantSplit/>
        </w:trPr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2025-07-25</w:t>
            </w:r>
          </w:p>
        </w:tc>
        <w:tc>
          <w:tcPr>
            <w:tcW w:w="4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A+轮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7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湖北长江中信科移动通信技术产业投资基金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2990.4628→3521.5342</w:t>
            </w:r>
          </w:p>
        </w:tc>
        <w:tc>
          <w:tcPr>
            <w:tcW w:w="7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15.0806%</w:t>
            </w:r>
          </w:p>
        </w:tc>
      </w:tr>
      <w:tr>
        <w:trPr>
          <w:cantSplit/>
        </w:trPr>
        <w:tc>
          <w:tcPr>
            <w:tcW w:w="6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2025-12-29</w:t>
            </w:r>
          </w:p>
        </w:tc>
        <w:tc>
          <w:tcPr>
            <w:tcW w:w="4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A+轮</w:t>
            </w:r>
          </w:p>
        </w:tc>
        <w:tc>
          <w:tcPr>
            <w:tcW w:w="5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未披露</w:t>
            </w:r>
          </w:p>
        </w:tc>
        <w:tc>
          <w:tcPr>
            <w:tcW w:w="17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亦庄产投二期、北京汇瀛金丰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3521.5342→3848.079</w:t>
            </w:r>
          </w:p>
        </w:tc>
        <w:tc>
          <w:tcPr>
            <w:tcW w:w="7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8.4860%</w:t>
            </w:r>
          </w:p>
        </w:tc>
      </w:tr>
      <w:tr>
        <w:trPr>
          <w:cantSplit/>
        </w:trPr>
        <w:tc>
          <w:tcPr>
            <w:tcW w:w="6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2026-07-02</w:t>
            </w:r>
          </w:p>
        </w:tc>
        <w:tc>
          <w:tcPr>
            <w:tcW w:w="4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Pre-B轮</w:t>
            </w:r>
          </w:p>
        </w:tc>
        <w:tc>
          <w:tcPr>
            <w:tcW w:w="5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超13亿元</w:t>
            </w:r>
          </w:p>
        </w:tc>
        <w:tc>
          <w:tcPr>
            <w:tcW w:w="17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建信投资、工银投资、上海金融科技股权投资基金（联合领投），国泰海通、中银证券等共24家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3848.079→4680.6916</w:t>
            </w:r>
          </w:p>
        </w:tc>
        <w:tc>
          <w:tcPr>
            <w:tcW w:w="7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17.7883%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2025年2月11日一轮的对应关系最为清晰：雄安科技创新成长股权投资基金认缴出资额137.4925万元，与当期注册资本增加额完全一致，占增资后注册资本4.5977%，按融资额约1亿元测算，对应投后估值约21.7亿元。</w:t>
      </w:r>
    </w:p>
    <w:p>
      <w:pPr>
        <w:pStyle w:val="005"/>
      </w:pPr>
      <w:r>
        <w:rPr>
          <w:rFonts w:hint="eastAsia"/>
          <w:b w:val="0"/>
        </w:rPr>
        <w:t>2026年7月Pre-B轮新进股东合计持股17.7883%，按融资额13亿元测算，对应投后估值约73亿元。该轮工商变更日期为2026年6月26日，早于企查查记录的融资日期。</w:t>
      </w:r>
    </w:p>
    <w:p>
      <w:pPr>
        <w:pStyle w:val="005"/>
      </w:pPr>
      <w:r>
        <w:rPr>
          <w:rFonts w:hint="eastAsia"/>
          <w:b w:val="0"/>
        </w:rPr>
        <w:t>需要说明的是，公司部分轮次同时存在增资与老股转让。例如北京市先进制造和智能装备产业投资基金认缴出资额343.7314万元，高于其进入当期的注册资本增加额317.9515万元，差额部分为受让老股。仅以注册资本增加额测算会低估该轮估值，2025年1月23日与2025年2月11日两轮测算结果的倒挂即源于此。通宇通讯（002792.SZ）为上市公司，2024年12月投资、2026年2月转让退出均应履行公告义务，可据其公告核对交易对价与持股比例。</w:t>
      </w:r>
    </w:p>
    <w:p>
      <w:pPr>
        <w:pStyle w:val="004"/>
      </w:pPr>
      <w:r>
        <w:rPr>
          <w:rFonts w:hint="eastAsia"/>
          <w:b/>
        </w:rPr>
        <w:t>6、往返九霄（同行业公司，动力系统研制阶段）</w:t>
      </w:r>
    </w:p>
    <w:p>
      <w:pPr>
        <w:pStyle w:val="005"/>
      </w:pPr>
      <w:r>
        <w:rPr>
          <w:rFonts w:hint="eastAsia"/>
          <w:b w:val="0"/>
        </w:rPr>
        <w:t>北京往返九霄航空航天科技有限公司成立于2024年8月，注册资本500万元并已全额实缴，唯一股东为苏州往返九霄航空航天科技有限公司，持股100%，2025年报参保人数6人，分支机构参保12人。该主体为全资子公司，无独立融资记录，融资发生在苏州母公司层面。</w:t>
      </w:r>
    </w:p>
    <w:p>
      <w:pPr>
        <w:pStyle w:val="005"/>
      </w:pPr>
      <w:r>
        <w:rPr>
          <w:rFonts w:hint="eastAsia"/>
          <w:b w:val="0"/>
        </w:rPr>
        <w:t>公司拥有专利20项、软件著作权10项。公开招聘记录共41条，岗位集中于火箭发动机推力室设计、发动机阀门设计、发动机系统设计、火箭发动机工艺设计，未见飞行器总体设计、导航制导与控制等整机岗位。公开资料对该公司所处阶段的表述为，以发动机自主研发为切入点，OTV整机尚在研发中。</w:t>
      </w:r>
    </w:p>
    <w:p>
      <w:pPr>
        <w:pStyle w:val="004"/>
      </w:pPr>
      <w:r>
        <w:rPr>
          <w:rFonts w:hint="eastAsia"/>
          <w:b/>
        </w:rPr>
        <w:t>7、Momentus（同行业公司，美国纳斯达克上市）</w:t>
      </w:r>
    </w:p>
    <w:p>
      <w:pPr>
        <w:pStyle w:val="005"/>
      </w:pPr>
      <w:r>
        <w:rPr>
          <w:rFonts w:hint="eastAsia"/>
          <w:b w:val="0"/>
        </w:rPr>
        <w:t>Momentus Inc.成立于2017年，主要产品为Vigoride系列轨道转移飞行器，2021年8月通过特殊目的收购公司（SPAC）方式在纳斯达克上市，证券代码MNTS。</w:t>
      </w:r>
    </w:p>
    <w:p>
      <w:pPr>
        <w:pStyle w:val="005"/>
      </w:pPr>
      <w:r>
        <w:rPr>
          <w:rFonts w:hint="eastAsia"/>
          <w:b w:val="0"/>
        </w:rPr>
        <w:t>根据Momentus年度报告（Form 10-K）披露的经审计合并利润表，2022年至2025年财务数据如下：</w:t>
      </w:r>
    </w:p>
    <w:p>
      <w:pPr>
        <w:pStyle w:val="a5"/>
      </w:pPr>
      <w:r>
        <w:rPr>
          <w:rFonts w:hint="eastAsia"/>
          <w:b w:val="0"/>
          <w:sz w:val="21"/>
        </w:rPr>
        <w:t>单位：千美元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/>
        </w:trPr>
        <w:tc>
          <w:tcPr>
            <w:tcW w:w="12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2025年度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2024年度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2023年度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2022年度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营业收入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1,110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2,114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3,089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299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净亏损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(30,468)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(34,946)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(68,920)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(95,444)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研发费用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9,190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9,782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34,351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41,721</w:t>
            </w:r>
          </w:p>
        </w:tc>
      </w:tr>
      <w:tr>
        <w:trPr>
          <w:cantSplit/>
        </w:trPr>
        <w:tc>
          <w:tcPr>
            <w:tcW w:w="12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销售及管理费用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19,173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21,949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36,055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49,827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公司2022年至2025年累计净亏损2.30亿美元。研发费用由2022年的4172.1万美元降至2025年的919.0万美元，降幅78%；销售及管理费用同期由4982.7万美元降至1917.3万美元。营业收入2023年见顶后连续两年下滑。</w:t>
      </w:r>
    </w:p>
    <w:p>
      <w:pPr>
        <w:pStyle w:val="005"/>
      </w:pPr>
      <w:r>
        <w:rPr>
          <w:rFonts w:hint="eastAsia"/>
          <w:b w:val="0"/>
        </w:rPr>
        <w:t>收入构成方面，年报载明2025年度与2024年度收入主要来自美国国防高级研究计划局（DARPA）的NOM4D、BRIDGES项目及太空发展局（SDA）的HALO项目的工程服务。2025年度111.0万美元收入中，90万美元为工程服务收入，20万美元为客户合同到期后没收的定金。2023年度308.9万美元收入中，170万美元来自Vigoride 5与Vigoride 6的客户履约，30万美元为太空发展局工程服务。</w:t>
      </w:r>
    </w:p>
    <w:p>
      <w:pPr>
        <w:pStyle w:val="005"/>
      </w:pPr>
      <w:r>
        <w:rPr>
          <w:rFonts w:hint="eastAsia"/>
          <w:b w:val="0"/>
        </w:rPr>
        <w:t>融资方面，公司2021年通过SPAC合并上市。2025年9月发行本金160万美元的次级担保可转换债券，年利率8%，转股价19.92美元/股，扣除费用后实际取得款项约150万美元。</w:t>
      </w:r>
    </w:p>
    <w:p>
      <w:pPr>
        <w:pStyle w:val="004"/>
      </w:pPr>
      <w:r>
        <w:rPr>
          <w:rFonts w:hint="eastAsia"/>
          <w:b/>
        </w:rPr>
        <w:t>8、Astroscale（同行业公司，日本东京证券交易所上市）</w:t>
      </w:r>
    </w:p>
    <w:p>
      <w:pPr>
        <w:pStyle w:val="005"/>
      </w:pPr>
      <w:r>
        <w:rPr>
          <w:rFonts w:hint="eastAsia"/>
          <w:b w:val="0"/>
        </w:rPr>
        <w:t>株式会社アストロスケールホールディングス（Astroscale Holdings Inc.）成立于2013年，以空间碎片清理起家，业务延伸至在轨延寿与在轨加注，2024年6月在东京证券交易所成长市场上市，证券代码186A。公司会计年度为每年5月1日至次年4月30日。</w:t>
      </w:r>
    </w:p>
    <w:p>
      <w:pPr>
        <w:pStyle w:val="005"/>
      </w:pPr>
      <w:r>
        <w:rPr>
          <w:rFonts w:hint="eastAsia"/>
          <w:b w:val="0"/>
        </w:rPr>
        <w:t>根据公司有価証券報告書披露的国际财务报告准则合并数据，最近四个会计年度财务数据如下：</w:t>
      </w:r>
    </w:p>
    <w:p>
      <w:pPr>
        <w:pStyle w:val="a5"/>
      </w:pPr>
      <w:r>
        <w:rPr>
          <w:rFonts w:hint="eastAsia"/>
          <w:b w:val="0"/>
          <w:sz w:val="21"/>
        </w:rPr>
        <w:t>单位：千日元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/>
        </w:trPr>
        <w:tc>
          <w:tcPr>
            <w:tcW w:w="12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2026年4月期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2025年4月期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2024年4月期</w:t>
            </w:r>
          </w:p>
        </w:tc>
        <w:tc>
          <w:tcPr>
            <w:tcW w:w="9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2023年4月期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营业收入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5,940,615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2,456,956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2,852,561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1,792,991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归母净亏损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(7,114,985)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(21,551,603)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(9,181,329)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(9,264,266)</w:t>
            </w:r>
          </w:p>
        </w:tc>
      </w:tr>
      <w:tr>
        <w:trPr>
          <w:cantSplit/>
        </w:trPr>
        <w:tc>
          <w:tcPr>
            <w:tcW w:w="12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研发费用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7,533,569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10,923,701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5,001,878</w:t>
            </w:r>
          </w:p>
        </w:tc>
        <w:tc>
          <w:tcPr>
            <w:tcW w:w="9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2,861,203</w:t>
            </w:r>
          </w:p>
        </w:tc>
      </w:tr>
      <w:tr>
        <w:trPr>
          <w:cantSplit/>
        </w:trPr>
        <w:tc>
          <w:tcPr>
            <w:tcW w:w="12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员工人数（人）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593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577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494</w:t>
            </w:r>
          </w:p>
        </w:tc>
        <w:tc>
          <w:tcPr>
            <w:tcW w:w="9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394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最新会计年度营业收入59.41亿日元，同比增长141.8%；归母净亏损71.15亿日元，较上一年度的215.52亿日元大幅收窄。四个年度中，研发费用均高于营业收入，倍数区间为1.3倍至4.4倍。</w:t>
      </w:r>
    </w:p>
    <w:p>
      <w:pPr>
        <w:pStyle w:val="005"/>
      </w:pPr>
      <w:r>
        <w:rPr>
          <w:rFonts w:hint="eastAsia"/>
          <w:b w:val="0"/>
        </w:rPr>
        <w:t>研发费用口径需注意两点。其一，公司自2026年4月期起将延寿服务卫星首发星LEXI-P的开发费用资本化，计入费用的研发额较上一年度下降，为会计处理变化。其二，2026年4月期研发费用75.34亿日元中，68.93亿日元为政府补助金项目的开发费用，2.58亿日元为未接单的先行开发费用，3.83亿日元为其他自主研发费用。</w:t>
      </w:r>
    </w:p>
    <w:p>
      <w:pPr>
        <w:pStyle w:val="005"/>
      </w:pPr>
      <w:r>
        <w:rPr>
          <w:rFonts w:hint="eastAsia"/>
          <w:b w:val="0"/>
        </w:rPr>
        <w:t>融资方面，公司上市前完成A种至G种优先股多轮融资，2024年6月上市公开发行，2025年5月实施海外公开发行，2026年5月实施海外一般募集及第三方配售。</w:t>
      </w:r>
    </w:p>
    <w:p>
      <w:pPr>
        <w:pStyle w:val="004"/>
      </w:pPr>
      <w:r>
        <w:rPr>
          <w:rFonts w:hint="eastAsia"/>
          <w:b/>
        </w:rPr>
        <w:t>9、D-Orbit（同行业公司，意大利，未上市）</w:t>
      </w:r>
    </w:p>
    <w:p>
      <w:pPr>
        <w:pStyle w:val="005"/>
      </w:pPr>
      <w:r>
        <w:rPr>
          <w:rFonts w:hint="eastAsia"/>
          <w:b w:val="0"/>
        </w:rPr>
        <w:t>D-Orbit为意大利公司，核心产品ION飞行器采用模块化、可堆叠设计，提供发射入轨与在轨分发一站式服务，按部署卫星数量与轨道位置收费，深度绑定SpaceX的Transporter拼车任务。截至2026年4月，公司已执行22次轨道运输任务，累计部署141颗卫星、79台托管载荷。公司披露其服务可使卫星发射成本降低约40%，从发射到在轨运行的时间缩短85%。2025年，公司与意大利Planetek集团合并。</w:t>
      </w:r>
    </w:p>
    <w:p>
      <w:pPr>
        <w:pStyle w:val="005"/>
      </w:pPr>
      <w:r>
        <w:rPr>
          <w:rFonts w:hint="eastAsia"/>
          <w:b w:val="0"/>
        </w:rPr>
        <w:t>经营数据方面，公司营业收入由2020年的123万美元增至2024年的1963万美元，年复合增长率99.9%。</w:t>
      </w:r>
    </w:p>
    <w:p>
      <w:pPr>
        <w:pStyle w:val="005"/>
      </w:pPr>
      <w:r>
        <w:rPr>
          <w:rFonts w:hint="eastAsia"/>
          <w:b w:val="0"/>
        </w:rPr>
        <w:t>融资方面，公司2024年完成C轮1.68亿美元。2026年1月完成D轮首笔交易，意大利Azimut集团投入1.28亿美元，其中5300万美元为新增融资，7500万美元为受让原股东股权。累计融资金额各来源口径不一致：公司资料口径为3.3亿美元，PitchBook口径为4.08亿美元，CB Insights口径为3.0984亿美元。三者统计范围与截止时点不同，未作合并。</w:t>
      </w:r>
    </w:p>
    <w:p>
      <w:pPr>
        <w:pStyle w:val="004"/>
      </w:pPr>
      <w:r>
        <w:rPr>
          <w:rFonts w:hint="eastAsia"/>
          <w:b/>
        </w:rPr>
        <w:t>10、Impulse Space（同行业公司，美国，未上市）</w:t>
      </w:r>
    </w:p>
    <w:p>
      <w:pPr>
        <w:pStyle w:val="005"/>
      </w:pPr>
      <w:r>
        <w:rPr>
          <w:rFonts w:hint="eastAsia"/>
          <w:b w:val="0"/>
        </w:rPr>
        <w:t>Impulse Space由SpaceX创始成员汤姆·穆勒（Tom Mueller）创立，主攻大推力化学推进路线。其Helios飞行器为高能上面级与轨道转移飞行器的融合产品，可在24小时之内将多个载荷从近地轨道送至地球静止轨道。公司于2023年首飞，截至2025年11月完成3次飞行任务，订单规模2亿美元。</w:t>
      </w:r>
    </w:p>
    <w:p>
      <w:pPr>
        <w:pStyle w:val="005"/>
      </w:pPr>
      <w:r>
        <w:rPr>
          <w:rFonts w:hint="eastAsia"/>
          <w:b w:val="0"/>
        </w:rPr>
        <w:t>融资方面，公司于2026年完成D轮融资5亿美元，投后估值42.6亿美元。</w:t>
      </w:r>
    </w:p>
    <w:p>
      <w:pPr>
        <w:pStyle w:val="004"/>
      </w:pPr>
      <w:r>
        <w:rPr>
          <w:rFonts w:hint="eastAsia"/>
          <w:b/>
        </w:rPr>
        <w:t>附：无限宇航历次增资的工商登记情况</w:t>
      </w:r>
    </w:p>
    <w:p>
      <w:pPr>
        <w:pStyle w:val="005"/>
      </w:pPr>
      <w:r>
        <w:rPr>
          <w:rFonts w:hint="eastAsia"/>
          <w:b w:val="0"/>
        </w:rPr>
        <w:t>北京无限宇航科技有限公司工商登记成立日期为2019年3月20日，曾用名北京尚享煦航科技有限公司。2023年3月31日，李健入股并出任法定代表人，公司同日完成名称变更，经营范围变更为火箭发动机研发与制造、火箭控制系统研发、微小卫星生产制造等。公司注册资本739.6027万元，实缴270.672733万元，2025年报参保人数21人。注册地址于2024年12月18日由北京经济技术开发区变更至北京市海淀区。</w:t>
      </w:r>
    </w:p>
    <w:p>
      <w:pPr>
        <w:pStyle w:val="005"/>
      </w:pPr>
      <w:r>
        <w:rPr>
          <w:rFonts w:hint="eastAsia"/>
          <w:b w:val="0"/>
        </w:rPr>
        <w:t>公司历次增资的工商登记情况如下：</w:t>
      </w:r>
    </w:p>
    <w:p>
      <w:pPr>
        <w:pStyle w:val="a5"/>
      </w:pPr>
      <w:r>
        <w:rPr>
          <w:rFonts w:hint="eastAsia"/>
          <w:b w:val="0"/>
          <w:sz w:val="21"/>
        </w:rPr>
        <w:t>单位：万元</w:t>
      </w:r>
    </w:p>
    <w:tbl>
      <w:tblPr>
        <w:tblW w:w="5000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/>
        </w:trPr>
        <w:tc>
          <w:tcPr>
            <w:tcW w:w="8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工商变更日</w:t>
            </w:r>
          </w:p>
        </w:tc>
        <w:tc>
          <w:tcPr>
            <w:tcW w:w="8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注册资本变更</w:t>
            </w:r>
          </w:p>
        </w:tc>
        <w:tc>
          <w:tcPr>
            <w:tcW w:w="1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</w:t>
            </w:r>
          </w:p>
        </w:tc>
        <w:tc>
          <w:tcPr>
            <w:tcW w:w="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新进股东合计持股</w:t>
            </w:r>
          </w:p>
        </w:tc>
        <w:tc>
          <w:tcPr>
            <w:tcW w:w="10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/>
                <w:sz w:val="21"/>
              </w:rPr>
              <w:t>对应融资轮次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2023-09-01至2023-10-08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100→510.2041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无为空间、无相空间、无界空间、何佳丽、霍甲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51.0000%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创始团队与员工持股平台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2024-06-11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510.2041→535.7143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广州溪航科技（溪山天使会）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4.7619%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企查查记为股权转让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2024-12-31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535.7143→589.2857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北京九合深宏（九合创投）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9.0909%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天使轮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2025-03-21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589.2857→626.7857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深圳英诺科技创新（英诺天使基金）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5.9829%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天使轮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2025-10-31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626.7857→683.7663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台州守仁共创、深圳红灰十一号、深圳中小担创投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8.3333%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Pre-A轮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2025-11-13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683.7663→726.6726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天使共赢二号、深圳市天使二号、湖州南浔启真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5.9044%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Pre-A轮</w:t>
            </w:r>
          </w:p>
        </w:tc>
      </w:tr>
      <w:tr>
        <w:trPr>
          <w:cantSplit/>
        </w:trPr>
        <w:tc>
          <w:tcPr>
            <w:tcW w:w="8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2026-01-27</w:t>
            </w:r>
          </w:p>
        </w:tc>
        <w:tc>
          <w:tcPr>
            <w:tcW w:w="85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726.6726→739.6027</w:t>
            </w:r>
          </w:p>
        </w:tc>
        <w:tc>
          <w:tcPr>
            <w:tcW w:w="160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厉延琳、刘建奇、固安泽润（方富创投）</w:t>
            </w:r>
          </w:p>
        </w:tc>
        <w:tc>
          <w:tcPr>
            <w:tcW w:w="700" w:type="pct"/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1.7482%</w:t>
            </w:r>
          </w:p>
        </w:tc>
        <w:tc>
          <w:tcPr>
            <w:tcW w:w="1050" w:type="pct"/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Pre-A轮</w:t>
            </w:r>
          </w:p>
        </w:tc>
      </w:tr>
      <w:tr>
        <w:trPr>
          <w:cantSplit/>
        </w:trPr>
        <w:tc>
          <w:tcPr>
            <w:tcW w:w="8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2026-08-12</w:t>
            </w:r>
          </w:p>
        </w:tc>
        <w:tc>
          <w:tcPr>
            <w:tcW w:w="8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未变更</w:t>
            </w:r>
          </w:p>
        </w:tc>
        <w:tc>
          <w:tcPr>
            <w:tcW w:w="16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鼎峰科创（领投）、云鼎资本、泰亚投资、深圳担保、松禾资本、台州守仁共创</w:t>
            </w:r>
          </w:p>
        </w:tc>
        <w:tc>
          <w:tcPr>
            <w:tcW w:w="70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hint="eastAsia"/>
                <w:b w:val="0"/>
                <w:sz w:val="21"/>
              </w:rPr>
              <w:t>—</w:t>
            </w:r>
          </w:p>
        </w:tc>
        <w:tc>
          <w:tcPr>
            <w:tcW w:w="1050" w:type="pct"/>
            <w:tcBorders>
              <w:bottom w:val="single" w:sz="12" w:space="0" w:color="010000"/>
            </w:tcBorders>
            <w:vAlign w:val="center"/>
          </w:tcPr>
          <w:p>
            <w:pPr>
              <w:keepNext/>
              <w:jc w:val="left"/>
            </w:pPr>
            <w:r>
              <w:rPr>
                <w:rFonts w:hint="eastAsia"/>
                <w:b w:val="0"/>
                <w:sz w:val="21"/>
              </w:rPr>
              <w:t>A轮，近亿元</w:t>
            </w:r>
          </w:p>
        </w:tc>
      </w:tr>
    </w:tbl>
    <w:p>
      <w:pPr>
        <w:pStyle w:val="005"/>
      </w:pPr>
      <w:r>
        <w:rPr>
          <w:rFonts w:hint="eastAsia"/>
          <w:b w:val="0"/>
        </w:rPr>
        <w:t>天使轮由2024年12月与2025年3月两次增资构成，新进股东在增资后合计持股14.5297%。Pre-A轮由2025年10月、2025年11月两次增资构成，新进股东合计持股13.7457%；2026年1月增资的新进方含两名自然人，该部分是否属于融资尚需确认。</w:t>
      </w:r>
    </w:p>
    <w:p>
      <w:pPr>
        <w:pStyle w:val="005"/>
      </w:pPr>
      <w:r>
        <w:rPr>
          <w:rFonts w:hint="eastAsia"/>
          <w:b w:val="0"/>
        </w:rPr>
        <w:t>2026年8月12日披露的A轮融资近亿元，截至本材料出具日尚未办理工商变更，最新核准日期为2026年1月27日，股权比例未体现，无法据工商登记测算估值。</w:t>
      </w:r>
    </w:p>
    <w:p>
      <w:pPr>
        <w:pStyle w:val="004"/>
      </w:pPr>
      <w:r>
        <w:rPr>
          <w:rFonts w:hint="eastAsia"/>
          <w:b/>
        </w:rPr>
        <w:t>资料来源与口径说明</w:t>
      </w:r>
    </w:p>
    <w:p>
      <w:pPr>
        <w:pStyle w:val="005"/>
      </w:pPr>
      <w:r>
        <w:rPr>
          <w:rFonts w:hint="eastAsia"/>
          <w:b w:val="0"/>
        </w:rPr>
        <w:t>一、国内公司的成立日期、注册资本、实缴资本、股东持股比例、注册资本变更记录、参保人数、招投标与招聘记录，取自企查查企业信用报告专业版，报告生成日期为2026年8月27日。</w:t>
      </w:r>
    </w:p>
    <w:p>
      <w:pPr>
        <w:pStyle w:val="005"/>
      </w:pPr>
      <w:r>
        <w:rPr>
          <w:rFonts w:hint="eastAsia"/>
          <w:b w:val="0"/>
        </w:rPr>
        <w:t>二、投后估值的测算方法为：投后估值＝本轮融资金额÷本轮新进股东合计持股比例。该方法假设本轮为纯增资、无老股转让，且新进股东出资全部计入本次注册资本增加额。存在增资与老股转让并行的情形时，测算结果会低估估值。凡以该方法得出的数值，均在文中注明为测算值。</w:t>
      </w:r>
    </w:p>
    <w:p>
      <w:pPr>
        <w:pStyle w:val="005"/>
      </w:pPr>
      <w:r>
        <w:rPr>
          <w:rFonts w:hint="eastAsia"/>
          <w:b w:val="0"/>
        </w:rPr>
        <w:t>三、Momentus财务数据取自其Form 10-K（FY2025、FY2023），为经审计合并利润表数据。Astroscale财务数据取自其有価証券報告書（第八期、第六期），为国际财务报告准则合并数据，会计年度为5月1日至次年4月30日，与国内公司的自然年口径不同，未作换算或合并。</w:t>
      </w:r>
    </w:p>
    <w:p>
      <w:pPr>
        <w:pStyle w:val="005"/>
      </w:pPr>
      <w:r>
        <w:rPr>
          <w:rFonts w:hint="eastAsia"/>
          <w:b w:val="0"/>
        </w:rPr>
        <w:t>四、D-Orbit与Impulse Space的经营与融资数据取自公开报道，未经审计。D-Orbit累计融资金额存在三个不同来源口径，已并列列示并说明差异，未取平均值。</w:t>
      </w:r>
    </w:p>
    <w:p>
      <w:pPr>
        <w:pStyle w:val="005"/>
      </w:pPr>
      <w:r>
        <w:rPr>
          <w:rFonts w:hint="eastAsia"/>
          <w:b w:val="0"/>
        </w:rPr>
        <w:t>五、未来宇航的估值取自2026年4月媒体报道，为公司在发布会期间的表述，未经审计或公告确认。</w:t>
      </w:r>
    </w:p>
    <w:sectPr w:rsidR="00D608E7" w:rsidRPr="00772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3317B" w14:textId="77777777" w:rsidR="00B26CD7" w:rsidRDefault="00B26CD7" w:rsidP="00032B45">
      <w:r>
        <w:separator/>
      </w:r>
    </w:p>
  </w:endnote>
  <w:endnote w:type="continuationSeparator" w:id="0">
    <w:p w14:paraId="2AB520D0" w14:textId="77777777" w:rsidR="00B26CD7" w:rsidRDefault="00B26CD7" w:rsidP="0003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3673" w14:textId="77777777" w:rsidR="00B26CD7" w:rsidRDefault="00B26CD7" w:rsidP="00032B45">
      <w:r>
        <w:separator/>
      </w:r>
    </w:p>
  </w:footnote>
  <w:footnote w:type="continuationSeparator" w:id="0">
    <w:p w14:paraId="0532037D" w14:textId="77777777" w:rsidR="00B26CD7" w:rsidRDefault="00B26CD7" w:rsidP="00032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CC6"/>
    <w:multiLevelType w:val="multilevel"/>
    <w:tmpl w:val="85243032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9164594">
    <w:abstractNumId w:val="0"/>
  </w:num>
  <w:num w:numId="2" w16cid:durableId="339822164">
    <w:abstractNumId w:val="0"/>
  </w:num>
  <w:num w:numId="3" w16cid:durableId="1134715502">
    <w:abstractNumId w:val="0"/>
  </w:num>
  <w:num w:numId="4" w16cid:durableId="638071662">
    <w:abstractNumId w:val="0"/>
  </w:num>
  <w:num w:numId="5" w16cid:durableId="1859539850">
    <w:abstractNumId w:val="0"/>
  </w:num>
  <w:num w:numId="6" w16cid:durableId="963076571">
    <w:abstractNumId w:val="0"/>
  </w:num>
  <w:num w:numId="7" w16cid:durableId="1411731689">
    <w:abstractNumId w:val="0"/>
  </w:num>
  <w:num w:numId="8" w16cid:durableId="1902323912">
    <w:abstractNumId w:val="0"/>
  </w:num>
  <w:num w:numId="9" w16cid:durableId="2026051146">
    <w:abstractNumId w:val="0"/>
  </w:num>
  <w:num w:numId="10" w16cid:durableId="1991711474">
    <w:abstractNumId w:val="0"/>
  </w:num>
  <w:num w:numId="11" w16cid:durableId="1323922385">
    <w:abstractNumId w:val="0"/>
  </w:num>
  <w:num w:numId="12" w16cid:durableId="1659920292">
    <w:abstractNumId w:val="0"/>
  </w:num>
  <w:num w:numId="13" w16cid:durableId="353461354">
    <w:abstractNumId w:val="0"/>
  </w:num>
  <w:num w:numId="14" w16cid:durableId="1726875278">
    <w:abstractNumId w:val="0"/>
  </w:num>
  <w:num w:numId="15" w16cid:durableId="2030908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45"/>
    <w:rsid w:val="00003434"/>
    <w:rsid w:val="00012CE2"/>
    <w:rsid w:val="00032B45"/>
    <w:rsid w:val="0003667D"/>
    <w:rsid w:val="00047D7D"/>
    <w:rsid w:val="00056BA6"/>
    <w:rsid w:val="00075A78"/>
    <w:rsid w:val="00087737"/>
    <w:rsid w:val="000A4048"/>
    <w:rsid w:val="00120D4F"/>
    <w:rsid w:val="0012597C"/>
    <w:rsid w:val="00157F98"/>
    <w:rsid w:val="001A2596"/>
    <w:rsid w:val="001D5664"/>
    <w:rsid w:val="001E7971"/>
    <w:rsid w:val="002003CE"/>
    <w:rsid w:val="002117AC"/>
    <w:rsid w:val="00221BF8"/>
    <w:rsid w:val="002275FA"/>
    <w:rsid w:val="00252422"/>
    <w:rsid w:val="002919E1"/>
    <w:rsid w:val="002A5932"/>
    <w:rsid w:val="002B1F84"/>
    <w:rsid w:val="00301862"/>
    <w:rsid w:val="00307FFA"/>
    <w:rsid w:val="0031037B"/>
    <w:rsid w:val="00323F3C"/>
    <w:rsid w:val="00324F72"/>
    <w:rsid w:val="00331DDE"/>
    <w:rsid w:val="00340763"/>
    <w:rsid w:val="00370753"/>
    <w:rsid w:val="003778B0"/>
    <w:rsid w:val="00382926"/>
    <w:rsid w:val="003A3C28"/>
    <w:rsid w:val="003C1E07"/>
    <w:rsid w:val="003D363D"/>
    <w:rsid w:val="003E2E84"/>
    <w:rsid w:val="00425BB5"/>
    <w:rsid w:val="00426C91"/>
    <w:rsid w:val="004317BB"/>
    <w:rsid w:val="00460ACC"/>
    <w:rsid w:val="004A09A3"/>
    <w:rsid w:val="004B1074"/>
    <w:rsid w:val="004D142A"/>
    <w:rsid w:val="004E5CB3"/>
    <w:rsid w:val="00510AEF"/>
    <w:rsid w:val="00543AA2"/>
    <w:rsid w:val="00556977"/>
    <w:rsid w:val="0056049C"/>
    <w:rsid w:val="00565C78"/>
    <w:rsid w:val="0058586B"/>
    <w:rsid w:val="00586D7E"/>
    <w:rsid w:val="005A592B"/>
    <w:rsid w:val="005D2F41"/>
    <w:rsid w:val="00614719"/>
    <w:rsid w:val="00617713"/>
    <w:rsid w:val="00630214"/>
    <w:rsid w:val="00647EBA"/>
    <w:rsid w:val="00651980"/>
    <w:rsid w:val="00697992"/>
    <w:rsid w:val="006A2E9F"/>
    <w:rsid w:val="006A3ECA"/>
    <w:rsid w:val="006A3ECB"/>
    <w:rsid w:val="006B6478"/>
    <w:rsid w:val="006C17A0"/>
    <w:rsid w:val="006C23CC"/>
    <w:rsid w:val="006D4DBB"/>
    <w:rsid w:val="006E0FD6"/>
    <w:rsid w:val="006E15DD"/>
    <w:rsid w:val="006F29C5"/>
    <w:rsid w:val="006F5EA9"/>
    <w:rsid w:val="00701130"/>
    <w:rsid w:val="007279B8"/>
    <w:rsid w:val="00734BE6"/>
    <w:rsid w:val="00746AB1"/>
    <w:rsid w:val="0076144B"/>
    <w:rsid w:val="007650DC"/>
    <w:rsid w:val="00772338"/>
    <w:rsid w:val="00797315"/>
    <w:rsid w:val="007C0D6A"/>
    <w:rsid w:val="007E13FD"/>
    <w:rsid w:val="007E1548"/>
    <w:rsid w:val="007F11C3"/>
    <w:rsid w:val="007F3296"/>
    <w:rsid w:val="008308A2"/>
    <w:rsid w:val="00836BBC"/>
    <w:rsid w:val="00842733"/>
    <w:rsid w:val="008778C5"/>
    <w:rsid w:val="0088215C"/>
    <w:rsid w:val="008B42A3"/>
    <w:rsid w:val="008C2120"/>
    <w:rsid w:val="008C54B6"/>
    <w:rsid w:val="008E4294"/>
    <w:rsid w:val="00914A2B"/>
    <w:rsid w:val="00934D41"/>
    <w:rsid w:val="0096788A"/>
    <w:rsid w:val="009B1F00"/>
    <w:rsid w:val="009B4D25"/>
    <w:rsid w:val="009B7F1B"/>
    <w:rsid w:val="009D1834"/>
    <w:rsid w:val="009E33F5"/>
    <w:rsid w:val="00A0229E"/>
    <w:rsid w:val="00A10F3E"/>
    <w:rsid w:val="00A21B70"/>
    <w:rsid w:val="00A3142C"/>
    <w:rsid w:val="00A36504"/>
    <w:rsid w:val="00A41BDE"/>
    <w:rsid w:val="00A548F4"/>
    <w:rsid w:val="00A54B60"/>
    <w:rsid w:val="00A57224"/>
    <w:rsid w:val="00A615D0"/>
    <w:rsid w:val="00A730E8"/>
    <w:rsid w:val="00A73D06"/>
    <w:rsid w:val="00AA47C9"/>
    <w:rsid w:val="00AB2B57"/>
    <w:rsid w:val="00AC7233"/>
    <w:rsid w:val="00AD0821"/>
    <w:rsid w:val="00AF2045"/>
    <w:rsid w:val="00B06A78"/>
    <w:rsid w:val="00B16710"/>
    <w:rsid w:val="00B26CD7"/>
    <w:rsid w:val="00B339CB"/>
    <w:rsid w:val="00B45C73"/>
    <w:rsid w:val="00B62C71"/>
    <w:rsid w:val="00B9703A"/>
    <w:rsid w:val="00BA65E3"/>
    <w:rsid w:val="00BB37A4"/>
    <w:rsid w:val="00C1198B"/>
    <w:rsid w:val="00C33045"/>
    <w:rsid w:val="00C43905"/>
    <w:rsid w:val="00C97EBD"/>
    <w:rsid w:val="00CB4A41"/>
    <w:rsid w:val="00CB5808"/>
    <w:rsid w:val="00CB6D32"/>
    <w:rsid w:val="00CD2729"/>
    <w:rsid w:val="00CE5A5C"/>
    <w:rsid w:val="00CF567A"/>
    <w:rsid w:val="00D0340A"/>
    <w:rsid w:val="00D21F90"/>
    <w:rsid w:val="00D370BC"/>
    <w:rsid w:val="00D608E7"/>
    <w:rsid w:val="00D72A84"/>
    <w:rsid w:val="00D96BA1"/>
    <w:rsid w:val="00DA0CEA"/>
    <w:rsid w:val="00DB61BD"/>
    <w:rsid w:val="00DB6713"/>
    <w:rsid w:val="00DC5D00"/>
    <w:rsid w:val="00DE236F"/>
    <w:rsid w:val="00E05704"/>
    <w:rsid w:val="00E3283D"/>
    <w:rsid w:val="00E37D3F"/>
    <w:rsid w:val="00E80272"/>
    <w:rsid w:val="00E93E8C"/>
    <w:rsid w:val="00E96A8C"/>
    <w:rsid w:val="00EA14F1"/>
    <w:rsid w:val="00EE0117"/>
    <w:rsid w:val="00F02DE8"/>
    <w:rsid w:val="00F03CE5"/>
    <w:rsid w:val="00F05EF2"/>
    <w:rsid w:val="00F1454F"/>
    <w:rsid w:val="00F14848"/>
    <w:rsid w:val="00F22152"/>
    <w:rsid w:val="00F576E7"/>
    <w:rsid w:val="00FA36D7"/>
    <w:rsid w:val="00FC5D63"/>
    <w:rsid w:val="00FD666B"/>
    <w:rsid w:val="00F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1CD0A"/>
  <w15:chartTrackingRefBased/>
  <w15:docId w15:val="{CA2E4DCE-AB1B-47DF-957A-D9B2802F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B45"/>
    <w:pPr>
      <w:widowControl w:val="0"/>
      <w:jc w:val="both"/>
    </w:pPr>
  </w:style>
  <w:style w:type="paragraph" w:styleId="1">
    <w:name w:val="heading 1"/>
    <w:next w:val="a0"/>
    <w:link w:val="10"/>
    <w:autoRedefine/>
    <w:uiPriority w:val="1"/>
    <w:qFormat/>
    <w:rsid w:val="00630214"/>
    <w:pPr>
      <w:keepNext/>
      <w:keepLines/>
      <w:pageBreakBefore/>
      <w:spacing w:beforeLines="50" w:before="50" w:afterLines="50" w:after="50" w:line="360" w:lineRule="auto"/>
      <w:jc w:val="center"/>
      <w:outlineLvl w:val="0"/>
    </w:pPr>
    <w:rPr>
      <w:rFonts w:eastAsia="黑体" w:cs="Times New Roman"/>
      <w:bCs/>
      <w:kern w:val="0"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630214"/>
    <w:pPr>
      <w:keepNext/>
      <w:keepLines/>
      <w:spacing w:beforeLines="50" w:before="50" w:afterLines="50" w:line="360" w:lineRule="auto"/>
      <w:jc w:val="both"/>
      <w:outlineLvl w:val="1"/>
    </w:pPr>
    <w:rPr>
      <w:rFonts w:eastAsia="黑体" w:cs="Times New Roman"/>
      <w:bCs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630214"/>
    <w:pPr>
      <w:keepNext/>
      <w:keepLines/>
      <w:spacing w:beforeLines="50" w:before="50" w:afterLines="50" w:line="360" w:lineRule="auto"/>
      <w:jc w:val="both"/>
      <w:outlineLvl w:val="2"/>
    </w:pPr>
    <w:rPr>
      <w:rFonts w:eastAsia="黑体" w:cs="Times New Roman"/>
      <w:bCs/>
      <w:color w:val="000000"/>
      <w:kern w:val="0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630214"/>
    <w:pPr>
      <w:keepNext/>
      <w:keepLines/>
      <w:spacing w:beforeLines="50" w:before="50" w:afterLines="50" w:after="50" w:line="360" w:lineRule="auto"/>
      <w:jc w:val="both"/>
      <w:outlineLvl w:val="3"/>
    </w:pPr>
    <w:rPr>
      <w:rFonts w:cs="Times New Roman"/>
      <w:b/>
      <w:bCs/>
      <w:szCs w:val="28"/>
    </w:rPr>
  </w:style>
  <w:style w:type="paragraph" w:styleId="5">
    <w:name w:val="heading 5"/>
    <w:next w:val="a0"/>
    <w:link w:val="50"/>
    <w:autoRedefine/>
    <w:uiPriority w:val="1"/>
    <w:qFormat/>
    <w:rsid w:val="00630214"/>
    <w:pPr>
      <w:keepNext/>
      <w:keepLines/>
      <w:spacing w:beforeLines="50" w:before="50" w:afterLines="50" w:after="50" w:line="360" w:lineRule="auto"/>
      <w:outlineLvl w:val="4"/>
    </w:pPr>
    <w:rPr>
      <w:rFonts w:cs="Times New Roman"/>
      <w:bCs/>
      <w:szCs w:val="28"/>
    </w:rPr>
  </w:style>
  <w:style w:type="paragraph" w:styleId="6">
    <w:name w:val="heading 6"/>
    <w:next w:val="a0"/>
    <w:link w:val="60"/>
    <w:autoRedefine/>
    <w:uiPriority w:val="1"/>
    <w:qFormat/>
    <w:rsid w:val="00630214"/>
    <w:pPr>
      <w:spacing w:beforeLines="50" w:before="50" w:afterLines="50" w:after="50" w:line="360" w:lineRule="auto"/>
      <w:jc w:val="both"/>
      <w:outlineLvl w:val="5"/>
    </w:pPr>
    <w:rPr>
      <w:rFonts w:cs="Times New Roman"/>
      <w:bCs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630214"/>
    <w:pPr>
      <w:keepNext/>
      <w:keepLines/>
      <w:spacing w:beforeLines="50" w:before="50" w:afterLines="50" w:after="50" w:line="360" w:lineRule="auto"/>
      <w:outlineLvl w:val="6"/>
    </w:pPr>
    <w:rPr>
      <w:rFonts w:cs="Times New Roman"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B4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B4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1"/>
    <w:rsid w:val="009D1834"/>
    <w:rPr>
      <w:rFonts w:ascii="Times New Roman" w:eastAsia="黑体" w:hAnsi="Times New Roman" w:cs="Times New Roman"/>
      <w:bCs/>
      <w:kern w:val="0"/>
      <w:sz w:val="32"/>
      <w:szCs w:val="44"/>
    </w:rPr>
  </w:style>
  <w:style w:type="paragraph" w:styleId="a0">
    <w:name w:val="Normal Indent"/>
    <w:autoRedefine/>
    <w:qFormat/>
    <w:rsid w:val="00003434"/>
    <w:pPr>
      <w:spacing w:beforeLines="50" w:before="50" w:line="360" w:lineRule="auto"/>
      <w:ind w:firstLineChars="200" w:firstLine="200"/>
      <w:jc w:val="both"/>
    </w:pPr>
    <w:rPr>
      <w:rFonts w:cs="Times New Roman"/>
      <w:szCs w:val="23"/>
    </w:rPr>
  </w:style>
  <w:style w:type="character" w:customStyle="1" w:styleId="20">
    <w:name w:val="标题 2 字符"/>
    <w:basedOn w:val="a1"/>
    <w:link w:val="2"/>
    <w:uiPriority w:val="1"/>
    <w:rsid w:val="009D1834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9D1834"/>
    <w:rPr>
      <w:rFonts w:ascii="Times New Roman" w:eastAsia="黑体" w:hAnsi="Times New Roman" w:cs="Times New Roman"/>
      <w:bCs/>
      <w:color w:val="000000"/>
      <w:kern w:val="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34076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1"/>
    <w:rsid w:val="0063021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60">
    <w:name w:val="标题 6 字符"/>
    <w:basedOn w:val="a1"/>
    <w:link w:val="6"/>
    <w:uiPriority w:val="1"/>
    <w:rsid w:val="009E33F5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70">
    <w:name w:val="标题 7 字符"/>
    <w:basedOn w:val="a1"/>
    <w:link w:val="7"/>
    <w:uiPriority w:val="2"/>
    <w:rsid w:val="009D1834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4">
    <w:name w:val="表格后说明"/>
    <w:next w:val="a0"/>
    <w:autoRedefine/>
    <w:uiPriority w:val="3"/>
    <w:qFormat/>
    <w:rsid w:val="00F03CE5"/>
    <w:pPr>
      <w:jc w:val="both"/>
    </w:pPr>
    <w:rPr>
      <w:rFonts w:cs="Times New Roman"/>
      <w:szCs w:val="24"/>
    </w:rPr>
  </w:style>
  <w:style w:type="paragraph" w:customStyle="1" w:styleId="a5">
    <w:name w:val="表格前单位"/>
    <w:next w:val="a0"/>
    <w:autoRedefine/>
    <w:uiPriority w:val="2"/>
    <w:qFormat/>
    <w:rsid w:val="003778B0"/>
    <w:pPr>
      <w:keepNext/>
      <w:jc w:val="right"/>
    </w:pPr>
    <w:rPr>
      <w:rFonts w:cs="Times New Roman"/>
      <w:sz w:val="21"/>
    </w:rPr>
  </w:style>
  <w:style w:type="table" w:customStyle="1" w:styleId="a6">
    <w:name w:val="报告表格"/>
    <w:basedOn w:val="a2"/>
    <w:uiPriority w:val="99"/>
    <w:rsid w:val="00F22152"/>
    <w:rPr>
      <w:sz w:val="18"/>
    </w:rPr>
    <w:tblPr/>
  </w:style>
  <w:style w:type="paragraph" w:styleId="TOC">
    <w:name w:val="TOC Heading"/>
    <w:basedOn w:val="1"/>
    <w:next w:val="a"/>
    <w:uiPriority w:val="39"/>
    <w:unhideWhenUsed/>
    <w:qFormat/>
    <w:rsid w:val="00EE0117"/>
    <w:pPr>
      <w:pageBreakBefore w:val="0"/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E0117"/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EE0117"/>
    <w:pPr>
      <w:ind w:leftChars="200" w:left="42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EE0117"/>
    <w:pPr>
      <w:ind w:leftChars="400" w:left="840"/>
    </w:pPr>
    <w:rPr>
      <w:rFonts w:eastAsia="黑体"/>
    </w:rPr>
  </w:style>
  <w:style w:type="paragraph" w:styleId="a7">
    <w:name w:val="Body Text"/>
    <w:basedOn w:val="a"/>
    <w:link w:val="a8"/>
    <w:autoRedefine/>
    <w:qFormat/>
    <w:rsid w:val="00DB6713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a8">
    <w:name w:val="正文文本 字符"/>
    <w:basedOn w:val="a1"/>
    <w:link w:val="a7"/>
    <w:rsid w:val="00DB6713"/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80">
    <w:name w:val="标题 8 字符"/>
    <w:basedOn w:val="a1"/>
    <w:link w:val="8"/>
    <w:uiPriority w:val="9"/>
    <w:semiHidden/>
    <w:rsid w:val="00032B4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32B45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032B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1"/>
    <w:link w:val="a9"/>
    <w:uiPriority w:val="10"/>
    <w:rsid w:val="0003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032B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1"/>
    <w:link w:val="ab"/>
    <w:uiPriority w:val="11"/>
    <w:rsid w:val="00032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032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1"/>
    <w:link w:val="ad"/>
    <w:uiPriority w:val="29"/>
    <w:rsid w:val="00032B45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032B45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032B45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032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1"/>
    <w:link w:val="af1"/>
    <w:uiPriority w:val="30"/>
    <w:rsid w:val="00032B45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032B45"/>
    <w:rPr>
      <w:b/>
      <w:bCs/>
      <w:smallCaps/>
      <w:color w:val="0F4761" w:themeColor="accent1" w:themeShade="BF"/>
      <w:spacing w:val="5"/>
    </w:rPr>
  </w:style>
  <w:style w:type="paragraph" w:customStyle="1" w:styleId="005">
    <w:name w:val="005正文"/>
    <w:qFormat/>
    <w:rsid w:val="00032B45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rFonts w:cs="Times New Roman"/>
      <w:szCs w:val="22"/>
    </w:rPr>
  </w:style>
  <w:style w:type="paragraph" w:customStyle="1" w:styleId="002">
    <w:name w:val="002二级标题"/>
    <w:qFormat/>
    <w:rsid w:val="00032B45"/>
    <w:pPr>
      <w:keepNext/>
      <w:keepLines/>
      <w:widowControl w:val="0"/>
      <w:spacing w:beforeLines="50" w:before="50" w:afterLines="50" w:after="50" w:line="360" w:lineRule="auto"/>
      <w:jc w:val="both"/>
      <w:outlineLvl w:val="1"/>
    </w:pPr>
    <w:rPr>
      <w:rFonts w:eastAsia="黑体" w:cs="Times New Roman"/>
      <w:b/>
      <w:bCs/>
      <w:sz w:val="28"/>
      <w:szCs w:val="28"/>
    </w:rPr>
  </w:style>
  <w:style w:type="paragraph" w:customStyle="1" w:styleId="004">
    <w:name w:val="004四级标题"/>
    <w:qFormat/>
    <w:rsid w:val="00032B45"/>
    <w:pPr>
      <w:keepNext/>
      <w:keepLines/>
      <w:widowControl w:val="0"/>
      <w:spacing w:beforeLines="50" w:before="50" w:afterLines="50" w:after="50" w:line="360" w:lineRule="auto"/>
      <w:ind w:firstLineChars="200" w:firstLine="200"/>
      <w:jc w:val="both"/>
      <w:outlineLvl w:val="3"/>
    </w:pPr>
    <w:rPr>
      <w:rFonts w:cs="Times New Roman"/>
      <w:b/>
      <w:bCs/>
      <w:szCs w:val="28"/>
      <w:lang w:val="zh-CN"/>
    </w:rPr>
  </w:style>
  <w:style w:type="paragraph" w:styleId="af4">
    <w:name w:val="footnote text"/>
    <w:basedOn w:val="a"/>
    <w:link w:val="af5"/>
    <w:uiPriority w:val="99"/>
    <w:semiHidden/>
    <w:unhideWhenUsed/>
    <w:rsid w:val="00032B45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1"/>
    <w:link w:val="af4"/>
    <w:uiPriority w:val="99"/>
    <w:semiHidden/>
    <w:rsid w:val="00032B45"/>
    <w:rPr>
      <w:sz w:val="18"/>
      <w:szCs w:val="18"/>
    </w:rPr>
  </w:style>
  <w:style w:type="character" w:styleId="af6">
    <w:name w:val="footnote reference"/>
    <w:basedOn w:val="a1"/>
    <w:uiPriority w:val="99"/>
    <w:semiHidden/>
    <w:unhideWhenUsed/>
    <w:rsid w:val="00032B45"/>
    <w:rPr>
      <w:vertAlign w:val="superscript"/>
    </w:rPr>
  </w:style>
  <w:style w:type="table" w:styleId="af7">
    <w:name w:val="Table Grid"/>
    <w:basedOn w:val="a2"/>
    <w:uiPriority w:val="39"/>
    <w:rsid w:val="003778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"/>
    <w:link w:val="af9"/>
    <w:uiPriority w:val="99"/>
    <w:unhideWhenUsed/>
    <w:rsid w:val="00047D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1"/>
    <w:link w:val="af8"/>
    <w:uiPriority w:val="99"/>
    <w:rsid w:val="00047D7D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047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1"/>
    <w:link w:val="afa"/>
    <w:uiPriority w:val="99"/>
    <w:rsid w:val="00047D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6B157-2724-4E2A-8B65-7B00C204A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4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2026-02-05T07:38:00Z</dcterms:created>
  <dcterms:modified xsi:type="dcterms:W3CDTF">2026-04-08T09:23:00Z</dcterms:modified>
  <cp:category/>
</cp:coreProperties>
</file>