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④中发邢台生产经营所使用土地的权属登记在燕京啤酒名下，详见本节4、土地收购。同业竞争的解决方案需与土地权属整合统筹安排。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同时改变两个层面的股权结构。中发邢台层面，燕京啤酒持有的67.00%股权转由发行人持有，与发行人原已持有的33.00%合并，中发邢台由发行人的参股公司变为全资子公司，纳入合并报表范围。发行人层面，由于对价系发行人向燕京啤酒定向增发自身股权，发行人的注册资本相应增加，燕京啤酒因取得新增股权而持股比例上升，燕京集团及食品发酵研究院未参与本次出资、持股比例被动稀释，但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尽调了解，中发邢台生产经营实际使用的土地合计约300亩，共涉及四宗宗地、四本权属证书，权属均登记在燕京啤酒名下，中发邢台不拥有该等土地的使用权。四宗宗地的构成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00"/>
        <w:gridCol w:w="1300"/>
        <w:gridCol w:w="1800"/>
        <w:gridCol w:w="4725"/>
      </w:tblGrid>
      <w:tr>
        <w:trPr>
          <w:trHeight w:val="397" w:hRule="atLeast"/>
          <w:jc w:val="center"/>
        </w:trPr>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宗地类别</w:t>
            </w:r>
          </w:p>
        </w:tc>
        <w:tc>
          <w:tcPr>
            <w:tcW w:w="13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宗数</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取得方式</w:t>
            </w:r>
          </w:p>
        </w:tc>
        <w:tc>
          <w:tcPr>
            <w:tcW w:w="4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主要用途</w:t>
            </w:r>
          </w:p>
        </w:tc>
      </w:tr>
      <w:tr>
        <w:trPr>
          <w:trHeight w:val="397" w:hRule="atLeast"/>
          <w:jc w:val="center"/>
        </w:trPr>
        <w:tc>
          <w:tcPr>
            <w:tcW w:w="2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3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3宗</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4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纳豆生产厂房等主要生产经营用途</w:t>
            </w:r>
          </w:p>
        </w:tc>
      </w:tr>
      <w:tr>
        <w:trPr>
          <w:trHeight w:val="397" w:hRule="atLeast"/>
          <w:jc w:val="center"/>
        </w:trPr>
        <w:tc>
          <w:tcPr>
            <w:tcW w:w="2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集体土地</w:t>
            </w:r>
          </w:p>
        </w:tc>
        <w:tc>
          <w:tcPr>
            <w:tcW w:w="13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1宗</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划拨</w:t>
            </w:r>
          </w:p>
        </w:tc>
        <w:tc>
          <w:tcPr>
            <w:tcW w:w="4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污水处理设施</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注：上述构成系根据公司说明整理。截至目前，公司尚未提供四宗宗地的不动产权证书等权属文件，各宗地的证载面积、宗地编号、四至范围、土地用途、使用年限及权利限制情况尚待核实。</w:t>
      </w:r>
      <w:commentRangeStart w:id="0"/>
      <w:r>
        <w:rPr>
          <w:rFonts w:hint="eastAsia" w:ascii="Times New Roman" w:hAnsi="Times New Roman" w:cs="Times New Roman"/>
        </w:rPr>
        <w:t xml:space="preserve">其中第四宗，集体所有与划拨系两种不同的权属属性，划拨系国有土地的供应方式，集体土地不适用划拨，该宗地的实际权属性质应以不动产权证书的记载为准。</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厂房钢结构检测鉴定费、岩土工程勘察费、建筑消防安全评估费、航拍服务费及冻干机设备预付款等，通过其他应收款—单位、预付账款科目核算。上述事项反映三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纳豆生产厂房及在建工程均坐落于前三宗出让工业用地之上，若上市主体（含拟纳入合并范围的中发邢台）不拥有该等土地的使用权，将影响对资产完整性的判断并形成对控股股东的依赖，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国资程序及税费。由中发邢台向燕京啤酒购入土地构成关联交易，同时属于国有资产转让，须以经备案的评估结果作为定价基础并履行内部决策及国资审批程序，燕京啤酒作为A股上市公司还需履行审议及披露程序。四宗宗地目前均未提供不动产权证书，权属文件的取得是启动交易的前提。出让用地的使用权转让涉及土地增值税、增值税及附加、契税、印花税及企业所得税，税负与评估增值幅度直接相关，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第四宗宗地的处置路径与前三宗不同。根据《中华人民共和国城市房地产管理法》，以划拨方式取得土地使用权的，转让房地产时须报有批准权的人民政府审批，准予转让的由受让方办理土地使用权出让手续并缴纳土地使用权出让金；划拨用地还存在因公共利益需要被依法收回的可能，且不能直接用于抵押融资。若该宗地实际为集体土地，则不属于国有土地，其流转适用《中华人民共和国土地管理法》关于集体经营性建设用地的规定，路径与国有土地差异较大。考虑到该宗地主要用作污水处理设施，属于配套设施用地，不承载主要生产经营，其权属问题对资产完整性的影响程度低于前三宗，可在权属核实后另行确定处理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购入其实际占用的土地使用权，实现房、地权属统一，并与本节3、同业竞争项下的股权重组统筹推进。考虑到四宗宗地的取得方式不同，建议区分处理：前三宗出让工业用地承载纳豆生产厂房及在建工程，属于必须解决的核心资产，纳入本次收购范围；第四宗划拨用地主要用作污水处理设施，处置程序相对复杂且不承载主要生产经营，是否纳入收购范围可待权属核实后另行确定。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完成权属确认。取得四宗宗地的权属文件，逐宗核实权利人、宗地编号、四至范围、证载面积、土地用途、取得方式、使用年限及剩余年限，以及是否存在抵押、查封等权利限制；重点核实第四宗宗地究竟为国有划拨用地还是集体建设用地，据以确定其处置路径。同时核实中发邢台实际占用范围与权属证载范围是否一致，是否存在超占或与其他主体混用的情形。若相关权证尚在办理中，需了解办理进度及预计取得时间，并取得自然资源主管部门出具的相关证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收购范围及与股权重组的衔接。交易标的为前三宗出让工业用地的使用权及地上附着物（如有），受让方为中发邢台，出让方为燕京啤酒。建议先完成土地权属过户，再实施发行人对中发邢台的股权收购，使注入上市主体的中发邢台已实现房、地权属统一；若两项交易难以先后进行，亦可同步交割，但需在协议中明确交割条件的先后顺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审批程序及税费测算。聘请具有证券期货相关业务资格的评估机构出具土地评估报告并完成国资备案，以经备案的评估值作为定价依据；履行双方内部决策程序及北控集团、北京市国资委的审批程序，燕京啤酒同步履行审议及披露程序。根据32号令，同一国家出资企业内部各级子企业之间的资产转让可采取非公开协议方式，具体适用性建议事先与国资监管部门沟通确认。按出让用地口径，出让方需就土地增值额缴纳土地增值税、就转让行为缴纳增值税及附加、就转让所得缴纳企业所得税，受让方需按成交价格缴纳契税，双方就产权转移书据分别缴纳印花税；其中土地增值税采用四级超率累进税率，是本次交易税费的主要构成，建议在取得评估结果后测算并在协议中明确承担方式，同时就是否可适用企业改制重组有关土地增值税、契税优惠政策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完成过户、办证及款项清理。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对发行人为中发邢台代垫、代付的各项费用及设备款进行梳理，补充签署书面协议、完善审批手续，并在申报基准日前完成结清，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第四宗宗地的处理及过渡期安排。该宗地待权属性质核实后确定处理方式：如为国有划拨用地，可由燕京啤酒先行办理补缴土地使用权出让金转为出让用地的手续后再行转让，亦可维持权属不变，由双方签署书面协议约定污水处理设施的使用方式及费用分担；如为集体土地，则不宜纳入本次收购，建议以协议方式明确使用安排。无论采取何种方式，均需核查该宗地上污水处理设施的建设手续及环保验收是否完备，并就该宗地未纳入上市主体对生产经营的影响作出说明。此外，若前三宗宗地的过户在申报基准日前无法完成，建议先由燕京啤酒与中发邢台签署书面的土地及厂房租赁协议并办理租赁备案，明确租金定价依据及公允性，同时取得燕京啤酒出具的承诺函，承诺保障中发邢台持续、稳定使用该等土地并在约定期限内完成权属转移。租赁方案属于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19T07:46:46Z" w:initials="YJ">
    <w:p w14:paraId="324FB097" w14:textId="77777777">
      <w:pPr>
        <w:pStyle w:val="CommentText"/>
      </w:pPr>
      <w:r>
        <w:rPr>
          <w:rStyle w:val="CommentReference"/>
        </w:rPr>
        <w:annotationRef/>
      </w:r>
      <w:r>
        <w:rPr>
          <w:rFonts w:hint="eastAsia" w:ascii="Times New Roman" w:hAnsi="Times New Roman" w:eastAsia="宋体"/>
          <w:color w:val="000000"/>
          <w:sz w:val="20"/>
          <w:szCs w:val="20"/>
        </w:rPr>
        <w:t xml:space="preserve">四宗宗地的构成系根据公司说明整理，权证尚未取得，需在取得后逐宗复核。需提示的是：划拨系国有土地的供应方式，集体土地属于农民集体所有、不适用划拨，两者不能并存，第四宗宗地究竟为国有划拨用地还是集体建设用地，应以不动产权证书的记载为准。两种情形下的处置路径差异较大：如为国有划拨用地，可由燕京啤酒补缴土地使用权出让金转为出让用地后再行转让；如为集体土地，则不能直接转让给公司，须先行征收转为国有或按集体经营性建设用地入市，周期长、不确定性高，通常不宜纳入上市主体。取得四本权证后需据此复核本节的解决方案及税费口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4FB0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67C8E71B" w16cex:dateUtc="2026-08-19T07:46:4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4FB097" w16cid:durableId="67C8E7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