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成本方面，据觅途咨询测算，2025年特斯拉Optimus Gen2整机硬件成本约29万元，其中关节模组约15.8万元、占比约54%；该机型使用约28个关节模组，单个模组的平均成本约4,000元至6,500元。该机构同时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图4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4" name="Picture 4"/>
            <wp:cNvGraphicFramePr>
              <a:graphicFrameLocks noChangeAspect="1"/>
            </wp:cNvGraphicFramePr>
            <a:graphic>
              <a:graphicData uri="http://schemas.openxmlformats.org/drawingml/2006/picture">
                <pic:pic>
                  <pic:nvPicPr>
                    <pic:cNvPr id="0" name="fig0.png"/>
                    <pic:cNvPicPr/>
                  </pic:nvPicPr>
                  <pic:blipFill>
                    <a:blip r:embed="rId39"/>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因而直接转化为本环节的需求增长，人形机器人的产业化进程构成本环节最主要的成长来源。</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条曲线的交叉意味着，在连续作业的岗位上，购置一台人形机器人的一次性投入已低于雇佣一名工人一年的支出，机器替代人工开始具备经济性。成本的持续下行同时打开了此前因价格门槛而无法覆盖的场景，可经济性替代的岗位范围随之扩大，构成本行业长期增长的基础。</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执行器领域尚未出现类似汽车发动机供应商的专业角色，行业仍处于前模块化阶段。整机厂商选择自研，主要是因为可选供应商有限、需要自行把控成本与性能、保护知识产权并加快迭代，并非长期的战略偏好。整机厂商目前也难以给出供应商投入大规模研发与工装所需的长期采购量承诺。自研格局因此会延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产业价值中心的迁移可分为三个阶段：2025年以前为技术验证阶段，价值集中在整机厂；2026年至2030年为规模量产阶段，整机厂与关节模组厂商共同主导；2030年以后进入产业成熟阶段，由关节模组一级供应商主导。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尚未锁定的窗口期以价格争夺早期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