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w:t>
      </w:r>
    </w:p>
    <w:p>
      <w:pPr>
        <w:spacing w:before="120" w:after="60"/>
        <w:jc w:val="center"/>
        <w:keepNext/>
      </w:pPr>
      <w:r>
        <w:rPr>
          <w:rFonts w:ascii="Times New Roman" w:hAnsi="Times New Roman" w:eastAsia="宋体"/>
          <w:b/>
          <w:sz w:val="21"/>
        </w:rPr>
        <w:t>图1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1" name="Picture 1"/>
            <wp:cNvGraphicFramePr>
              <a:graphicFrameLocks noChangeAspect="1"/>
            </wp:cNvGraphicFramePr>
            <a:graphic>
              <a:graphicData uri="http://schemas.openxmlformats.org/drawingml/2006/picture">
                <pic:pic>
                  <pic:nvPicPr>
                    <pic:cNvPr id="0" name="fig0.png"/>
                    <pic:cNvPicPr/>
                  </pic:nvPicPr>
                  <pic:blipFill>
                    <a:blip r:embed="rId36"/>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0"/>
        <w:jc w:val="both"/>
      </w:pPr>
      <w:r>
        <w:rPr>
          <w:rFonts w:ascii="Times New Roman" w:hAnsi="Times New Roman" w:eastAsia="宋体"/>
          <w:b w:val="0"/>
          <w:sz w:val="24"/>
        </w:rPr>
        <w:t>公司处于中游环节，以一体化关节模组为主要产品形态。</w:t>
      </w:r>
    </w:p>
    <w:p>
      <w:pPr>
        <w:spacing w:line="360" w:lineRule="auto" w:before="120"/>
        <w:ind w:firstLine="482"/>
        <w:jc w:val="both"/>
      </w:pPr>
      <w:r>
        <w:rPr>
          <w:rFonts w:ascii="Times New Roman" w:hAnsi="Times New Roman" w:eastAsia="宋体"/>
          <w:b/>
          <w:sz w:val="24"/>
        </w:rPr>
        <w:t>2、一体化关节模组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成本方面，据觅途咨询测算，2025年特斯拉Optimus Gen2整机硬件成本约29万元，其中关节模组约15.8万元、占比约54%；该机型使用约28个关节模组，单个模组的平均成本约4,000元至6,500元。该机构同时判断，随着核心零部件国产化、结构集成化与装配自动化的推进，一体化关节模组的成本较当前水平仍有40%至60%的下降空间。</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3、谐波减速机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4、下游行业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需求放量的前提是人形机器人相对于人工岗位具备经济替代性。随着执行器自研、关键零部件垂直整合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从产业阶段看，觅途咨询将2025年界定为人形机器人小批量产元年、2026年为规模量产元年。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觅途咨询将产业价值中心的迁移划分为三个阶段：2025年以前为技术验证阶段，价值中心在整机厂；2026年至2030年为规模量产阶段，整机厂与关节模组厂商共同主导；2030年以后进入产业成熟阶段，由关节模组一级供应商主导。这一转变的成立需要三个前提：下游出货量达到可预测的规模、关节模组的接口与规格形成一定程度的标准化、供应商具备稳定的批量交付与一致性保障能力。更可能的形态是自研与外购并行，整机厂商在差异化环节保留自研，在标准化程度较高的规格上转向外购。对公司而言，未来数年是进入头部整机厂商供应体系的窗口期。</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准直驱方案已完成工程化验证，预计2027年至2028年将占据下肢关节30%以上的份额；肩、肘、腕等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表明本环节的竞争已转向规模与成本，对企业的供应链管理和量产成本控制能力提出了更高要求。</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觅途咨询则将一体化关节模组的核心壁垒归纳为设计、工艺、标定和供应链四个方面。就新进入者而言，本行业的主要壁垒体现为以下五类。</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进入规模化量产阶段后，自动化装配能力和良品率水平直接决定产品一致性与成本，高精度加工设备、自动化装配产线和检测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占执行器成本的30%至50%，具备谐波减速机自研与量产能力的关节模组厂商在成本控制上具有起点优势；公司在谐波减速机之外进一步实现了驱动器、编码器和力传感器组件的自研，自研范围覆盖关节模组的主要构成部件。</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