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统一社会信用代码</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系发行人控股股东燕京啤酒控制的企业，同时为发行人参股公司；发行人持有其33.00%股权并按权益法核算，未纳入合并报表范围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根据其2025年第二次临时股东会决议，已于2025年12月变更为兰善锋，同期撤销监事或监事会并重新制定公司章程。其2025年度审计报告所载法定代表人为变更前的孟庆民，引用时需注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受同一控股股东燕京啤酒控制，属于《首次公开发行股票注册管理办法》第十二条所述控股股东、实际控制人控制的其他企业范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其中纳福多肽类3,187.67万元、肠溶型（纳豆）胶囊类4,450.05万元、羊乳粉类1,595.44万元、纳豆胶囊688.14万元、大粒纳豆119.40万元，与发行人在售的燕京纳福多肽、1*2肠溶型胶囊礼盒（80粒）、有机全脂羊乳粉、大粒36盒等产品属于同类产品，双方产品线高度重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尽调过程中另发现，发行人对中发邢台33.00%股权的长期股权投资采用权益法核算，截至2026年6月30日账面余额为3,311.41万元，其中投资成本3,300.00万元、损益调整11.41万元。该损益调整金额系按中发邢台2024年度净利润34.57万元的33.00%确认，与权益法要求一致；但2025年度及2026年1-6月，发行人未就应享有的中发邢台净损益份额确认投资收益。按中发邢台2025年度净利润2,213.62万元、2026年1-6月净利润601.51万元测算，发行人应补计的投资收益分别约为730.49万元和198.50万元，累计约928.99万元，相应少计长期股权投资、净利润及净资产（上述测算未考虑双方内部交易未实现损益的抵销影响）。该事项应作为前期差错更正处理，具体金额需在会计师进场后核实。本次重组完成后，中发邢台纳入合并报表范围，上述权益法核算问题将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10,923.51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注：发行人2026年1-6月毛利根据营业收入20,814.62万元及毛利率52.48%测算；中发邢台2024年度、2025年度数据取自其审计报告，2026年1-6月数据取自其财务报表，未经审计。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针对上述同业竞争情形，建议按照将竞争业务整体纳入上市主体的思路予以彻底解决，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在法律形式上表现为燕京啤酒以其持有的中发邢台67.00%股权作价出资、对发行人进行非货币资产增资（股权出资），在交易实质上为发行人以定向增发股权作为支付对价收购中发邢台控股权，全程不涉及现金支付。交易完成后，中发邢台由发行人持股100%，成为发行人全资子公司；燕京啤酒在发行人层面的持股比例相应提升，燕京集团、食品发酵研究院持股比例被动稀释，发行人控股股东、实际控制人均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相较于以现金支付对价的股权收购方案，股权支付方案具有以下优势：一是无需占用发行人经营资金，避免为支付收购款而增加负债或影响在建产能投入；二是股权支付比例达到100%，可满足企业重组特殊性税务处理关于股权支付比例不低于85%的条件，燕京啤酒转让所得可暂不确认、实现企业所得税递延（详见④税费测算）；三是进一步提升控股股东持股比例，有利于分拆上市后控制权的稳定。因此，建议优先采用股权支付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此外，本次重组仅涉及中发邢台股权的划入，不涉及发行人现有业务、资产的划出，交易结构简单、边界清晰，无需通过分立、资产剥离等复杂路径实现，重组周期相对可控。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本次新增出资额为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请注意的是，本次重组将使燕京啤酒在发行人层面的持股比例由80.00%提升至约84.35%，燕京集团、食品发酵研究院的持股比例相应下降。鉴于发行人后续拟通过混合所有制改革引入战略投资者并实施员工持股，两项交易均涉及发行人股权结构变动，建议统筹安排先后顺序：先实施中发邢台股权注入，再实施混改增资。理由在于，一是股权注入完成后上市主体业务、资产完整，战略投资者的估值基础更为真实，有利于混改定价的公允性论证；二是可避免战略投资者及员工持股平台入股后再由控股股东注入关联资产，引发新股东权益稀释争议并需重新履行审批程序；三是可将两项交易的审计、评估基准日统一，一次审计评估同时服务于中发邢台股权注入与混改清产核资，节约时间及中介成本。</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本次交易的双方均为国有控股企业，交易标的为国有股权，须严格履行审计、评估、备案及国资审批程序，主要环节如下：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考虑到发行人混改事项拟以2026年7月底为清产核资审计基准日，建议将本次重组的审计基准日与之统一，避免重复审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的规定，企业发生非上市公司国有股东股权比例变动、以非货币资产对外投资等行为的，应当对相关资产进行评估，评估项目实行核准制和备案制。本次交易同时涉及发行人国有股东股权比例变动及燕京啤酒以非货币资产（股权）对外投资，须聘请具有证券期货相关业务资格的评估机构，对中发邢台股东全部权益价值出具资产评估报告，并报国资监管部门备案，以经备案的评估结果作为交易定价依据。评估方法建议采用资产基础法与收益法相结合，考虑到中发邢台在建工程金额较大、产能尚未完全释放，需在评估中充分反映其后续盈利能力。</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的规定，企业增资原则上应当通过产权交易机构公开进行；但因国有资本布局结构调整需要、由特定的国有及国有控股企业参与增资的，经国家出资企业审议决策后可以采取非公开协议方式进行。本次由控股股东燕京啤酒以其持有的股权对发行人增资，属于同一国家出资企业体系内部的资源整合，具备采取非公开协议方式增资的政策基础。建议在方案启动前即就交易方式的适用性与北控集团、北京市国资委及北京产权交易所进行专项沟通并取得明确意见，避免因需公开挂牌征集投资方而延长重组周期。该环节系本次重组的关键路径，建议尽早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同时，燕京啤酒作为A股上市公司，本次以其持有的子公司股权对控股子公司增资，需按照上市公司信息披露相关规定履行内部审议及披露程序。需说明的是，该交易对燕京啤酒而言属于合并报表范围内部的架构调整，对发行人而言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以中发邢台2026年6月30日账面净资产12,849.70万元的67.00%即8,609.30万元作为模拟交易作价，燕京啤酒取得该部分股权的计税基础为其实缴出资额6,700.00万元，本次交易涉及的主要税种及测算情况如下：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企业重组中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商业目的：本次重组系为消除同业竞争、夯实上市主体独立性与资产完整性，商业目的合理，非以避税为主要目的；②收购比例：本次收购中发邢台67.00%股权，高于50%；③经营连续性：重组后中发邢台继续从事纳豆及纳豆制品的生产销售，不改变原实质性经营活动；④股权支付比例：本次对价100%以发行人自身股权支付，高于85%；⑤股权锁定：燕京啤酒取得的发行人股权在重组后12个月内不得转让，与分拆上市的持股安排不冲突。综上，本次交易预计可满足特殊性税务处理条件。</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若满足全部条件：燕京啤酒暂不确认股权转让所得，其取得的发行人股权计税基础以被转让的中发邢台股权原计税基础确定，实现所得税递延；②若不满足条件：燕京啤酒需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企业所得税为0万元；②适用一般性税务处理的，燕京啤酒股权转让所得为1,909.30万元，预计企业所得税为477.32万元。建议在方案报批前就特殊性税务处理的适用性与主管税务机关进行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本次交易为股权转让，中发邢台名下的房屋建筑物及在建工程的权属未发生转移，且中发邢台账面无土地使用权，不属于土地增值税征税范围。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预计为0万元。需注意，若先行实施土地收购事项（详见本节4、土地收购），该项交易将单独涉及土地增值税，应分别测算。</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本次增资涉及股权转让书据及发行人资金账簿。就本次交易能否适用企业改制重组印花税优惠政策，需与主管税务机关确认。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按模拟作价8,609.30万元测算，双方各需缴纳约4.30万元，合计约8.61万元。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适用特殊性税务处理的，预计税费合计约8.61万元；适用一般性税务处理的，预计税费合计约485.93万元。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注：上述测算系以账面净资产为基础的模拟测算，仅供参考。本次交易的实际税务成本，应以经备案的评估结果确定的交易作价为基础，并参考主管税务机关的意见另行测算。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除税费成本外，本次重组还将发生审计费、评估费、法律服务费及工商变更服务费等中介机构费用，预计整体成本约100万元，属一次性支出，具体以各中介机构最终报价为准。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应按照被合并方在最终控制方合并财务报表中的账面价值计量，不产生商誉，并对合并财务报表的比较期间进行追溯调整。以简单加总方式模拟合并后，发行人主要财务数据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由于中发邢台自2024年5月设立起即由燕京啤酒控制，追溯调整后各期归属于母公司股东的净利润为中发邢台100%的净利润。根据《公开发行证券的公司信息披露解释性公告第1号——非经常性损益》的规定，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资产总额、营业收入及净利润占发行人相应指标的比例分别为33.73%、23.12%和16.59%，均低于100%，初步判断本次重组无需在完成后运行一个完整会计年度。但需提请注意，以2026年6月末数据测算，中发邢台资产总额占发行人资产总额的比例已升至54.85%，主要系其2026年上半年其他应收款（内部资金往来）由3,952.53万元大幅增加至16,640.95万元所致。建议在重组实施前先行清理中发邢台与集团内部的资金往来，清理后中发邢台资产总额约为10,587.40万元、占比降至约21.33%，既可降低相关比例、避免触及重大资产重组认定标准，亦有利于同步解决资金占用及独立性问题。最终认定应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建议按以下四个阶段推进，全程留痕、规范落地，确保重组完成后运营稳定、合规可核查：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全套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确保财务核算连续、准确；整合双方的采购、生产、销售、研发体系及内控制度，实现统一管理；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按上述安排，本次重组可在发行人股改基准日（2026年10月31日）前后完成主体程序，最迟应于2026年12月股份制改造完成前实施完毕，使股份制改造以整合后的主体架构为基础，避免报告期内发生重大架构变动。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除中发邢台外，应对燕京啤酒、燕京集团、北控集团及其控制的其他企业进行全面排查，核查是否存在其他从事纳豆及大健康食品业务的主体，一并纳入本次整合方案或作出相应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应结合《上市公司分拆规则（试行）》的相关条件，核查本次资产注入是否对燕京啤酒分拆发行人上市构成障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虽同样采取先款后货模式，但《销售模式说明》明确约定货物到达后由客户签收并验收、破损短少及质量问题应于收货当日提出，即运输途中的风险仍由公司承担，控制权在客户签收时方转移，不具备援引发货确认的合同基础。若公司拟改为发货时点确认，则须先行修改经销协议、将风险转移点前移，但此举将与现行验收条款冲突，且极易被质疑系为迎合会计处理而修改合同条款，不建议采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唯一支持性单据，与上述行业惯例及审核口径存在明显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且零售订单笔数多、单笔金额小，无法逐笔取得客户签收凭据，汤臣倍健上述按平均到货期确认的处理方式已经审核认可，对公司具有直接的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高度敏感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而影响资料的可信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