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从收入构成看，2025年和2026年1-7月，公司机器人核心零部件及一体化关节模组销售收入占当期营业收入的比重分别为84.03%和97.27%，其中一体化关节模组的比重分别为47.80%和82.55%，前述行业归属与公司主营业务收入构成一致。</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若将统计范围由人形机器人扩大至全部机器人应用，根据高工机器人产业研究所数据，2026年我国机器人关节模组出货量预计达到156万台，对应市场规模约32亿元，2030年市场规模预计突破100亿元。前述两组数据的统计范围和年度不同：觅途咨询的口径为2025年全球人形机器人用关节模组，高工机器人产业研究所的口径为2026年我国各类机器人用关节模组，二者不具有直接可比性。</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前述谐波减速机方案的核心部件，也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在行业展会上推出面向研发场景和入门应用的轻量化关节模组，将单个模组的对外报价下探至千元以内，以降低下游开发者的使用门槛并争取早期客户。在下游尚未完全放量的阶段即出现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如前所述，随着国产厂商份额提升，该环节的比较对象已由境外品牌转为国产同行；在此基础上，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关节模组产品中，面向人形机器人的系列已形成R48、R58、R68、R83、R102、R120和R120 Max，按关节部位分别对应头颈、肩肘腕及腰部、髋部及腿部；在此之外另设面向工业场景的模组系列。据公司2025年产品手册，前述人形机器人用系列的峰值扭矩覆盖3.8牛米至576牛米。如前所述，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同期公司营业收入快速增长，2026年1-7月收入规模已超过2025年全年的两倍。根据前述灼识咨询的研究，2025年多数独立关节模组供应商的年收入低于1亿元、规模最大的供应商收入超过1亿元，公司2025年营业收入处于上述区间之内。鉴于该项统计的基准年度为2025年，而2026年以来下游需求增长较快、本环节企业的收入规模普遍提升，上述标准不宜直接用于衡量公司2026年在行业中的位次。</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