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其人形机器人专用关节模组形成R48至R120六个系列，峰值扭矩覆盖3.8牛米至576牛米，典型应用涵盖头部、腕部、肩部、肘部、膝部、腰部和髋关节。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并已取得ISO 9001:2015质量管理体系认证；公司先后获高工金球奖、2024年度人形机器人核心驱动奖和机器人一体化关节标杆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