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r>
            <w:r>
              <w:rPr>
                <w:rFonts w:hint="eastAsia" w:ascii="Times New Roman" w:hAnsi="Times New Roman" w:cs="Times New Roman"/>
                <w:color w:val="000000"/>
                <w:sz w:val="21"/>
                <w:szCs w:val="21"/>
              </w:rPr>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的土地及厂房，权属登记在燕京啤酒（邢台）有限公司名下，详见本节4、土地收购。该节建议由发行人收购燕京啤酒持有的该公司100.00%股权，与本次收购中发邢台股权同以发行人自身股权支付，两项交易应统筹安排、合并测算交易后的股权结构。</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对价收购中发邢台控股权，不涉及现金支付。交易完成后中发邢台由发行人持股100%，燕京啤酒持股比例相应提升，控股股东及实际控制人未发生变更。与现金支付方案相比，股权支付不占用发行人经营资金，且股权支付比例100%满足特殊性税务处理关于不低于85%的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同时改变两个层面的股权结构。中发邢台层面，燕京啤酒持有的67.00%股权转由发行人持有，与发行人原已持有的33.00%合并，中发邢台由发行人的参股公司变为全资子公司，纳入合并报表范围。发行人层面，由于对价系发行人向燕京啤酒定向增发自身股权，发行人的注册资本相应增加，燕京啤酒因取得新增股权而持股比例上升，燕京集团及食品发酵研究院未参与本次出资、持股比例被动稀释，但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作价8,609.30万元；以发行人同期账面净资产30,950.09万元、注册资本4,000.00万元测算，每1.00元注册资本对应净资产7.7375元，燕京啤酒新增出资额1,112.67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上述测算以账面净资产为基础，仅为方案示意，实际作价及股权比例以经国资监管部门备案的评估结果为准。发行人后续拟通过混改引入战略投资者并实施员工持股，建议先实施中发邢台股权注入、再实施混改增资，以使战投的估值基础建立在业务资产完整的上市主体之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根据《企业国有资产评估管理暂行办法》（国务院国资委令第12号），非上市公司国有股东股权比例变动、以非货币资产对外投资应当进行资产评估并履行核准或备案程序。本次交易涉及上述两种情形，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增资原则上应通过产权交易机构公开进行；因国有资本布局结构调整需要、由特定的国有及国有控股企业参与增资的，经国家出资企业审议决策后可采取非公开协议方式。本次由控股股东以其持有的股权对发行人增资，属于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三方分别召开董事会、股东会审议本次交易并由关联方回避表决，方案逐级报北控集团审核并报北京市国资委批准或备案；燕京啤酒作为A股上市公司需同步履行审议及披露程序。取得审批文件后签署增资协议及章程修正案，办理工商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以中发邢台2026年6月30日账面净资产的67.00%即8,609.30万元作为模拟作价，燕京啤酒该部分股权的计税基础为其实缴出资额6,700.00万元，涉及的主要税种及测算如下：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3000"/>
        <w:gridCol w:w="3000"/>
        <w:gridCol w:w="30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3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3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满足的转让方暂不确认所得、实现递延；不满足的按公允价值确认所得并缴纳25%企业所得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同业竞争，商业目的合理；收购比例67.00%高于50%；重组后中发邢台继续从事纳豆生产销售；对价100%以发行人自身股权支付，高于85%；燕京啤酒取得的股权12个月内不转让。五项条件预计均可满足。</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特殊性税务处理下预计为0万元；一般性税务处理下转让所得1,909.30万元、预计所得税477.32万元。建议报批前与主管税务机关沟通并履行备案。</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增值税：转让非上市公司股权不属于征税范围。土地增值税：征税对象为转让国有土地使用权及地上建筑物并取得收入。契税：征税对象为土地、房屋权属转移。</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本次交易标的为股权，不涉及增值税应税行为，亦不涉及土地、房屋权属转移；中发邢台账面无土地使用权。三项均不征收。</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预计均为0万元。土地收购事项单独涉及土地增值税及契税，详见本节4、土地收购。</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股权转让书据按产权转移书据征收，税率万分之五，立据双方分别缴纳；符合规定的改制重组情形可享受优惠。</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本次增资涉及股权转让书据及发行人资金账簿，能否适用改制重组优惠需与主管税务机关确认。</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按模拟作价测算，双方各约4.30万元，合计约8.61万元。</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特殊性税务处理下预计约8.61万元；一般性税务处理下预计约485.93万元。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注：上述系以账面净资产为基础的模拟测算，实际税务成本以经备案的评估结果确定的作价另行测算。此外，本次重组将发生审计、评估、法律服务等中介机构费用，预计约100万元。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④对财务报表的影响及实施安排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以2025年度经审计数据测算，中发邢台资产总额、营业收入及净利润占发行人相应指标的比例分别为33.73%、23.12%和16.59%，均低于100%，初步判断无需在重组完成后运行一个完整会计年度。以2026年6月末数据测算资产总额占比为54.85%，主要系其上半年其他应收款（内部资金往来）由3,952.53万元增至16,640.95万元所致；建议在重组实施前先行清理该等内部往来，清理后资产总额约10,587.40万元、占比约21.33%，并有助于同步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与国资、税务预沟通；9-10月完成专项审计、资产评估及国资备案，并同步清理内部资金往来；10-11月完成三方内部决策及国资审批；11-12月完成工商变更、财务并表及体系整合，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厂区已整体转为纳豆生产、不再从事啤酒业务，目前与发行人不构成同业竞争；该公司被收购后，须同步变更经营范围并注销啤酒生产许可，避免发行人因持有啤酒制造企业而与控股股东形成新的同业竞争。取得控股股东、股东及实际控制人出具的《关于避免同业竞争的承诺函》。在重组交割完成前，规范双方之间的产品采购、品牌使用、人员借用及资金往来，签署书面协议并按公允价格定价，并结合《上市公司分拆规则（试行）》核查本次资产注入对燕京啤酒分拆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 xml:space="preserve">关于经营现状。</w:t>
      </w:r>
      <w:commentRangeStart w:id="0"/>
      <w:r>
        <w:rPr>
          <w:rFonts w:hint="eastAsia" w:ascii="Times New Roman" w:hAnsi="Times New Roman" w:cs="Times New Roman"/>
        </w:rPr>
        <w:t xml:space="preserve">据了解，该公司原有厂区现已整体转为纳豆及纳豆制品的生产使用，不再从事啤酒生产，公司主体仍存续。</w:t>
      </w:r>
      <w:commentRangeEnd w:id="0"/>
      <w:r>
        <w:rPr>
          <w:rStyle w:val="CommentReference"/>
        </w:rPr>
        <w:commentReference w:id="0"/>
      </w:r>
      <w:r>
        <w:rPr>
          <w:rFonts w:hint="eastAsia" w:ascii="Times New Roman" w:hAnsi="Times New Roman" w:cs="Times New Roman"/>
        </w:rPr>
        <w:t xml:space="preserve">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固定资产账面价值2,489.64万元、在建工程账面余额5,924.02万元，无形资产为零。即中发邢台在他人名下的土地上建造并持有房屋建筑物及在建工程，房、地权属分离。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宜通过收购权利人股权的方式一并纳入上市主体。</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发行人以自身股权作为对价，收购燕京啤酒持有的燕京啤酒（邢台）有限公司100%股权，将该公司名下的土地、厂房连同纳豆生产整体纳入上市主体。该公司厂区已整体转为纳豆生产，其主要资产即为本次需要解决的土地和厂房，具备整体收购的基础。若改为直接购入土地使用权，土地及房屋的权属转移将触发土地增值税、增值税及附加与契税，其中土地增值税按增值额四级超率累进征收、税率30%至60%，通常构成主要税负；且宗地四作为集体建设用地无法一并受让，房、地权属仍不能完全统一。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①交易方案及交易后架构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以其持有的燕京啤酒（邢台）有限公司100%股权作价出资，对发行人进行非货币资产增资。交易实质为发行人以定向增发股权作为对价收购该公司全部股权，不涉及现金支付。交易完成后，该公司成为发行人的全资子公司，其名下四宗宗地及地上厂房随之进入上市主体，无需逐宗办理土地过户，宗地四亦一并纳入，房、地权属可一次性统一。发行人的注册资本相应增加，燕京啤酒因取得新增股权而持股比例上升，燕京集团及食品发酵研究院被动稀释，控股股东及实际控制人不变。具体作价及交易后的股权结构，待标的公司专项审计、资产评估完成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本次交易的主要税种及适用性分析如下：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25"/>
        <w:gridCol w:w="5600"/>
        <w:gridCol w:w="3400"/>
      </w:tblGrid>
      <w:tr>
        <w:trPr>
          <w:trHeight w:val="397" w:hRule="atLeast"/>
          <w:jc w:val="center"/>
        </w:trPr>
        <w:tc>
          <w:tcPr>
            <w:tcW w:w="1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5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政策依据及适用性分析</w:t>
            </w:r>
          </w:p>
        </w:tc>
        <w:tc>
          <w:tcPr>
            <w:tcW w:w="3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5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征税对象为转让国有土地使用权、地上建筑物及其附着物并取得收入。本次交易标的为股权，标的公司仍为土地及房屋的权利人，权属未发生转移。</w:t>
            </w:r>
          </w:p>
        </w:tc>
        <w:tc>
          <w:tcPr>
            <w:tcW w:w="3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5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3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5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征税对象为土地、房屋权属转移。本次交易不涉及权属转移。</w:t>
            </w:r>
          </w:p>
        </w:tc>
        <w:tc>
          <w:tcPr>
            <w:tcW w:w="3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5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税〔2009〕59号规定，股权收购适用特殊性税务处理须同时满足合理商业目的、收购比例不低于50%、重组后连续12个月内不改变原实质性经营活动、股权支付金额不低于85%、原主要股东取得的股权12个月内不转让五项条件。本次收购比例及股权支付比例均为100%，重组用于解决上市主体的资产完整性，五项条件预计均可满足。</w:t>
            </w:r>
          </w:p>
        </w:tc>
        <w:tc>
          <w:tcPr>
            <w:tcW w:w="3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特殊性税务处理下预计为0；一般性税务处理下按转让所得的25%缴纳</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5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股权转让书据按产权转移书据征收，税率万分之五，由立据双方分别缴纳；符合规定的改制重组情形可享受优惠。</w:t>
            </w:r>
          </w:p>
        </w:tc>
        <w:tc>
          <w:tcPr>
            <w:tcW w:w="3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按交易作价的万分之五测算，双方分别缴纳</w:t>
            </w:r>
          </w:p>
        </w:tc>
      </w:tr>
      <w:tr>
        <w:trPr>
          <w:trHeight w:val="397" w:hRule="atLeast"/>
          <w:jc w:val="center"/>
        </w:trPr>
        <w:tc>
          <w:tcPr>
            <w:tcW w:w="14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5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3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预计仅产生印花税</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注：具体金额待标的公司审计、评估完成并确定交易作价后测算。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③配套事项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变更公司名称。标的公司现名含燕京啤酒字样，收购后应变更为不含该字样的名称。理由有二：一是该名称系控股股东的字号，保留将形成品牌混同，不利于独立性论证；二是该名称与变更后的纳豆主业不符。建议采用与发行人体系一致、体现纳豆或生物技术业务的名称。</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变更经营范围并办理资质变更。标的公司现登记的经营范围为制造、销售啤酒、啤酒原料、酒糟、酵母及房屋租赁。若收购后不予变更，发行人将持有一家啤酒制造企业，与控股股东燕京啤酒构成新的同业竞争。因此应同步将经营范围变更为纳豆及纳豆制品的生产销售，注销啤酒生产许可，并办理与纳豆生产相适应的食品生产许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整合两家邢台主体。交易完成后，发行人将同时持有中发邢台与标的公司，前者持有厂房及在建工程，后者持有土地。建议择机以吸收合并方式将两者合并为一家主体，实现房、地权属统一，同时减少管理层级。合并方向及时点可结合税务处理与工商登记的便利程度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与中发邢台股权重组统筹安排。本次收购与本节3、同业竞争项下收购中发邢台67.00%股权，均以发行人自身股权作为对价。两次交易会连续提升燕京啤酒的持股比例，其余股东连续被稀释。建议统一两项交易的审计、评估基准日，合并测算交易后的股权结构，并一并提交决策及审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④尽职调查及风险控制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收购系概括承受标的公司的全部资产和负债，尽职调查的范围应大于资产收购。重点包括：标的公司的或有负债、对外担保、未决诉讼及行政处罚；历史期间尤其是啤酒生产期间的税务合规情况及环保遗留问题；四宗宗地是否存在抵押、查封等权利限制；113名员工的劳动关系、社保公积金缴纳及安置安排。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需关注一项风险。实务中，以转让股权名义转让土地的，存在被追征土地增值税的先例。本次交易的抗辩基础有三：标的公司持续经营，拥有厂房、设备及员工，并非单纯持有土地的空壳；收购目的是解决上市主体的资产完整性与独立性，具有合理商业目的；交易在集团内部进行，不涉及对外变现。即便如此，仍建议在方案启动前与主管税务机关书面沟通并取得意见。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⑤实施步骤及过渡期安排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顺序为：完成对标的公司的专项审计与资产评估并报国资备案；三方履行内部决策程序并报国资审批，燕京啤酒同步履行上市公司审议及披露程序；签署股权转让协议并办理工商变更，完成交割及财务并表；随后办理更名、经营范围变更及资质变更，并推进两家邢台主体的吸收合并。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标的公司与中发邢台签署土地及厂房租赁协议并办理备案，明确租金定价依据及公允性，并取得燕京啤酒的承诺函。标的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客户通过订单履约系统下单并全额付款，公司审核后安排发货；货物到达后由客户指定收货人签收并验收，破损、短少及质量问题应于收货当日提出并在验收单上注明。据此，双方约定的控制权转移标志为客户签收并验收，而公司在货物出库时点即确认收入，早于控制权转移时点，与《企业会计准则第14号——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贷方发生额均为9,596.52万元，期初、期末余额均为零，即货物发出后当期即全额结转收入及成本，账面不存在已发出而客户尚未签收的在途商品，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的表述亦指向发出时点。2024年度附注载明，本公司生产啤酒产品并销售予经销商，在啤酒产品发出时按照扣除应付经销商的对价后确认收入，该表述与公司实际经营的纳豆业务不符；2025年度附注已将啤酒调整为纳豆，但确认时点仍为产品发出时，与公司实际执行的出库口径一致，早于合同约定的签收验收时点，需按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定制餐调等渠道：商品发运至指定地点并取得客户书面签收文件时确认；②线下直销超市：系委托代销，收到超市结算单时确认；③电商自营于指定人员签收时确认，电商商超与线下直销超市一致；④自营出口于报关装船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客户书面签收文件（签字或盖章并载明日期）；订单、发货单及物流记录辅助核对。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货物交付至指定地点并经客户签收后确认；②线下商超及平台电商：完成对账流程后确认；③自营电商：终端客户确认收货或系统自动确认收货并收到货款后确认；④境外销售：出口报关或客户指定签收人签收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客户签收单据（含客户确认及签收日期）；瑕疵单据以发货台账、物流记录及客户对账单交叉印证。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客户盖章或签字确认的销售发货单；车辆派出单、订货系统订单及回款记录辅助核对。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①客户自提的于商品发出后确认，公司送货的于客户收货后确认；②商超连锁于办理商品结算时确认；③自营奶屋和电商平台于商品提供给客户并收取货款时确认。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自提：销售合同、货物订单、销售出库单/发运单据；配送：经客户确认的送货单，辅以物流及到货信息。</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①预收款销售的标准化浓缩乳制品：发货时确认；②按客户要求生产的定制产品：发出商品并取得客户收货或验收合格的确认凭据时确认。</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标准化预收款销售按披露列示发货/出库记录；定制产品为客户收到货物账单或验收合格确认凭据。</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以签收或验收作为控制权转移时点是食品行业经销模式的主流做法，关键单据均为经客户签字或盖章并载明日期的签收单、送货单或对账单，出库单、物流记录及回款记录仅作辅助核对。案例中采用发货时点确认的均有特定前提：菊乐股份系客户自提，客户提货时已实际取得商品占有；熊猫乳品系产品标准化且款项预收。公司虽同为先款后货模式，但合同约定运输途中的风险由公司承担、控制权于客户签收时方转移，不具备援引发货确认的合同基础，故建议仍以客户签收作为确认时点。上述案例中骑士乳业（920786）系北交所上市公司，审核口径对本次申报更具参考意义。另需关注的是，案例中电商渠道普遍单独设定确认时点，并区分自营店铺零售与平台入仓、平台代销两类，公司存在天猫、京东、拼多多、抖音等电商渠道销售，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买断模式（部分区域经销商、直供终端商、网络分销商）：货物到达指定地点并经客户确认验收时确认；②委托代销模式（其他区域经销商、直供终端商）：收到客户委托代销结算清单时确认；③线上B2C：根据快递数据计算平均到货期为4天，于发货后4天确认；④平台B2B统一入仓：收到电商平台确认清单核对无误后确认；⑤平台B2B委托代销：收到平台结算清单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①合同生产：境内以产品交付客户并经客户签收确认收货后确认，境外以完成出口报关手续后确认；②自主品牌销售：以产品交付客户并经客户签收确认收货后确认。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境内以货物到达指定地点并经客户确认时确认，境外按不同贸易条款下货物控制权转移给客户的时点确认；②品牌产品买断销售：商品交付予客户并经客户确认时确认；③技术服务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①产品销售以发出产品后按双方约定的收货方式作为确认依据；②出口贸易以取得海关出口报关单或电子口岸相关出口信息时确认。</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其中幺麻子、百利食品、菊乐股份摘录自其招股说明书及审核问询回复，用于说明行业惯例及监管审核口径；本表系公司同行业（保健食品）可比上市公司，摘录自各公司2025年年度报告，用于招股说明书所需的会计政策比较。可比公司中，汤臣倍健、百合股份、仙乐健康对自有品牌（买断经销）销售均以客户签收或经客户确认验收作为确认时点，无一家以货物出库时点确认；金达威披露相对概括，其确认时点亦指向客户收货环节。汤臣倍健对线上B2C以快递数据测算的平均到货期确认，对公司电商渠道零售订单笔数多、单笔金额小、难以逐笔取得签收凭据的情形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可比公司的收入确认原则，建议将经销模式下的内销收入确认时点调整为客户签收（含客户自提），以经客户签署姓名、日期并加盖公章的签收单、验收单作为支持性单据，订单、出库单、运单及回款记录作为辅助核对资料；月末已发出而客户尚未签收的商品，通过发出商品科目核算，于次月客户签收时确认收入并结转成本。电商渠道应区分自营店铺零售与平台入仓、平台代销分别设定时点：自营店铺零售（天猫、京东、拼多多、抖音等）以平台确认收货或系统自动确认收货时确认，如因订单笔数多、单笔金额小无法逐笔取得签收数据，可参照汤臣倍健以历史快递数据测算的平均到货天数确认，但须留存测算依据及各期复核记录；平台入仓以完成对账、收到确认清单核对无误时确认；平台委托代销以收到平台结算清单时确认。同时应根据公司在各渠道交易中的身份，审慎判断采用总额法或净额法核算。会计政策确定后，需对报告期各期收入重新计算，作为前期差错更正处理并在审计报告中充分披露，并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从上述案例的问询情况看，监管机构对食品行业经销收入的审核关注点高度集中，且多项关注方向与公司目前情况直接对应，具体归纳如下：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确认方法、确认依据及签收时点是否符合控制权转移原则和行业惯例；收入确认政策是否与合同约定的交付、验收及风险转移条款一致。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签收单缺失、未签字盖章、未载明日期等瑕疵是否导致跨期确认；发出商品、客户签收与收入确认的截止性是否准确。</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公司以出库单为支持性单据，签收单、验收单的取得及归档情况尚待核查。需建立签收单管理制度、补全报告期签收记录，并在各期末执行截止性测试。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经销商备货、进销存、期末库存、期后销售及终端销售是否匹配；是否存在渠道压货或期末突击发货。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公司尚未建立经销商进销存台账，尽调清单2-4-5-2、2-4-5-5相关资料尚未提供。需要求主要经销商按月报送进销存及终端销售数据，并分析各期末发货的月度分布。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返利、预付款折扣、未开票收入及第三方回款的真实性、合理性及会计处理；返利比例波动及高返利客户的商业合理性。</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公司返利以0元出货方式兑现且未入账（详见本节2）；对经销商销售存在第三方回款情形。需建立返利台账并规范会计处理，梳理第三方回款明细并取得代付协议。</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经销商成立时间与合作时间、注册资本、经营能力与采购规模是否匹配；是否存在关联方、前员工、董监高或员工持股、代持及异常资金往来。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将使部分经销商同时具备股东身份，属审核重点关注事项。需建立经销商台账、穿透核查主要经销商的股东及实际控制人，并就入股的商业合理性及定价公允性作出说明。</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五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（3）其他需完善事项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除收入确认时点外，以下事项需一并规范：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单据与内控。销售全流程依托订单履约系统运行，需核查订单、发货、签收、开票、收款各节点的留痕是否完整、可追溯，系统数据能否与财务账及出入库记录勾稽。公司尚未建立运费台账，承运商对账单与出库单、运单无法逐笔匹配。此外，《经销商代理商管理说明》载明非质量问题不予退还，需核查报告期退换货的实际发生情况及账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合同负债及应收账款的列报。公司销售采取先款后货模式，2024年末、2025年末应收账款科目余额分别为2,453.84元和7,032.00元，同期合同负债科目余额分别为7,041.54万元和3,790.46万元。截至2026年6月30日，合同负债科目余额为零，即2026年1-6月一次性冲减3,790.46万元；同时应收账款科目呈贷方余额619.94万元。上述情况反映，报告期内合同负债的核算口径可能发生变化，需核查系收入确认时点调整、前期差错更正还是账务归集方式变更所致；已收取但尚未发货的款项挂账于应收账款科目贷方，未按规定重分类列报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存货核算与收入确认的匹配。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补充完善报告期已发生的签收单据；完善订单履约系统的节点设置，实现订单至收款全流程的留痕与匹配；建立运费台账及退换货台账，并评估是否需要确认预计退货负债。②梳理2024年以来合同负债的形成与结转过程，明确2026年1-6月一次性冲减的原因及依据，如属差错应作前期差错更正；收入确认政策调整后重新计算各期末已收款未确认收入的金额并全额列报于合同负债，应收账款期末不得出现贷方余额。③核查负库存形成的具体原因，区分产成品入库不及时、委外加工核算不规范或暂估处理不当并逐项调整；规范入库、出库单据流转及系统记账时点，按月开展存货盘点，并确保收入与成本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以经销商在考核期内完成的销售指标作为考核依据，按完成情况分档确定相应的返利。除上述说明外，公司尚未提供载明各档返利的触发条件、计算基数、返利比例、考核期间及兑现方式的书面返利政策文件，返利条款是否已写入经销协议、各经销商适用的返利档次是否一致，尚待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经尽调，公司返利的实际执行及会计处理方式为：经销商在考核期内完成销售指标后形成返利，该返利不以现金支付，而在下期以货物形式兑现；兑现时该批货物在账面按0元出售，即仅结转成本、不确认收入。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处理在三个环节均与准则要求存在差异。返利形成的当期，公司未就已发生的返利义务确认负债，亦未冲减当期收入；返利兑现的当期，该批货物确认收入为零而成本照常结转；各期末，公司账面不存在已形成而尚未兑现的返利余额，未兑现的返利义务未在财务报表中反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会计科目中未设置与返利相关的科目，全部凭证摘要中亦未见返利字样，公司亦未建立返利台账。即报告期内返利的形成、审批与兑现过程在财务系统中未予留痕，返利的发生金额、兑现金额及期末未兑现余额均无法从账面直接取得。截至目前，公司尚未提供尽调清单2-4-5-4项下的折扣返利政策文件及折扣返利明细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而账面并未反映任何返利的计提或冲减，披露的会计政策与实际执行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此外，返利货物的0元出库与公司现行的出库时点确认收入做法同源，均以出库单驱动账务处理。收入确认时点调整后，返利兑现环节的账务处理需一并调整，两项事项应统筹规范（详见本节1、收入确认）。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《监管规则适用指引——会计类第2号》“2-5 销售返利的会计处理”规定：企业应当基于返利的形式和合同条款的约定，考虑相关条款安排是否会导致企业未来需要向客户提供可明确区分的商品或服务，在此基础上判断相关返利属于可变对价还是提供给客户的重大权利。一般而言，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形成两条处理路径。属于现金返利的，按可变对价原则处理，在确认收入时按期望值或最可能发生金额估计返利金额，从当期营业收入中扣除并同时计提负债，结算时抵减应收账款或货款。属于实物返利的，按附有额外购买选择权的销售处理，在各期末结合实际交易情况对客户行使该选择权的可能性作出合理估计，按分摊的交易对价冲减收入并确认合同负债，实际执行时按分摊的交易对价确认相应收入。两者在负债列报科目上亦有区别，可参照立高食品（300973）的披露口径，其计提的现金返利列示为其他应付款、实物返利列示为合同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两者的区分标准见《上市公司执行企业会计准则案例解析（2024）》案例6-24。其中现金返利是指，企业按照约定的返利返还要求及标准，在客户达到约定的销售目标时，给予客户已销售商品一定折扣的优惠，并以原销售折扣与计提返利后的折扣之间的差额，计提应返还给客户的现金金额；该现金通常不直接支付给客户，而是冲抵客户下一批次货物的购买价款，减少客户采购应支付的现金金额。实物返利则是指，在客户达到约定的销售目标时，企业向客户发送额外的产品，客户无须支付相应对价。即两者的区分不在于兑现的载体是货币还是货物，而在于该项安排究竟是减少客户下一批次采购应付的价款，还是在正常采购之外另行交付一批无须付款的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返利在下期以货物兑现、该批货物按0元出售，从账面形式上看接近实物返利。但据了解，该批货物系用于抵扣经销商下期订单，若其实质为冲抵下一批次订单应付的货款、相应减少经销商付款金额，则应认定为现金返利。前述幺麻子的返利安排与此相同，即经销商通过实物货款抵扣兑现、将返利转为后续订单的货款抵减，其在审核问询回复中依据案例6-24认定为现金返利并按可变对价处理。据此初步判断，公司返利更可能属于现金返利，但该项判断直接决定适用可变对价还是附有额外购买选择权的处理路径，仍须取得经销协议返利条款、返利兑现单据及经销商付款记录后核实确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还需将即时兑现的促销搭赠与返利相区分。转引幺麻子审核问询回复及仲景食品（300908）招股说明书的相关表述，经销商不存在采购量或销售额考核目标、优惠在提货时随货赠送即时兑现的，属于商业折扣（促销折扣），不属于销售返利；返利则以存在考核目标、优惠滞后兑现为特征。公司如存在此类随货搭赠安排，应与返利分别归集、分别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每年制定经销商销售任务，对完成任务的经销商按合同约定给予年度返利，经销商通过实物货款抵扣兑现，即将返利转为后续订单的货款抵减。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依据《上市公司执行企业会计准则案例解析（2024）》案例6-24中现金返利的定义，认定为现金返利。分录为：计提时借记营业收入、贷记合同负债；兑现时借记合同负债、贷记营业收入。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以订单发出货物总额扣除退货后的净额为返利考核基数，按约定比例计算。通常优先选择实物返利，个别客户采用现金返利。报告期内实物返利占主营业务收入2.61%至3.13%，现金返利占0.18%至0.23%。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各期末对客户行使选择权的可能性作合理估计，按分摊的交易对价冲减收入，实际执行时按分摊的交易对价确认收入。现金返利：各期末按客户销售情况与约定比例预估返利金额，从当期营业收入中扣除并计提负债，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对经销商无返利政策。折扣由营销中心按年初预算分批次提报促销方案，经签批后执行，促销以实物搭赠形式在日常订单中执行。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订单时数量为正常产品与促销产品的总数量、售价为正常产品总价格，即摊薄了单位售价。按正常产品总价借记应收（预收）账款、贷记销售收入及应交税费，同时按实际出库产品成本借记营业成本、贷记存货。</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注：幺麻子、百利食品的返利政策及会计处理摘录自其审核问询回复；立高食品、天味食品的相关表述转引自上述问询回复中列示的同行业可比公司对比资料。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共识。第一，返利在形成期即需处理，或冲减当期收入，或计提负债，不存在形成期不作处理、兑现期再行处理的做法。第二，兑现环节均在账面留有记录，以合同负债科目核算的最为常见，未见以0元出售方式处理的案例。第三，以搭赠形式兑现的亦在同一销售订单中体现，通过摊薄单位售价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兑现期以0元出售、仅结转成本，当期收入偏低、成本偏高。两个期间的毛利率因此产生波动，报告期各期经营成果的可比性受到影响。同时，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会计政策与单据留痕。如前所述，公司披露的会计政策与实际执行存在差异；同时因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税务处理及核查关注度。以0元出售方式兑现返利货物，可能被认定为无偿赠送并适用增值税视同销售的规定，涉及增值税及企业所得税的补缴；该等交易未开具发票或按0元开票，与经销商端的进项抵扣、成本列支不相匹配。从前述审核问询情况看，经销商返利是食品行业IPO审核的常规问询事项，关注点包括返利比例波动及高返利客户的商业合理性、会计处理与可比公司是否存在较大差异，以及是否与第三方回款等事项相叠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的具体金额，需在公司提供折扣返利政策文件及明细表后测算并由会计师复核。参照百利食品的披露，其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并确定返利性质。全面梳理2024年以来公司与各经销商、代理商签订的经销协议、年度销售任务书及返利政策文件，明确各档返利的触发条件、计算基数、比例、考核期间及兑现形式，形成书面的返利政策文本并作为销售合同附件；结合返利兑现的实际操作，判断其属于抵减下期货款的现金返利，还是在正常采购之外另行交付货物的实物返利，据以确定适用可变对价还是附有额外购买选择权的处理路径。②建立返利台账。按经销商、按考核期逐笔记录返利的计提、审批、兑现及未兑现余额，并与销售系统、财务账及出库记录相互勾稽。③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④对报告期各期返利进行重新计算，作为前期差错更正调整各期收入、成本、负债及利润，并分析调整后各期毛利率的变动趋势及与同行业可比公司的差异。⑤规范兑现操作及内部控制。实物返利在兑付时按正常发货售价开票、再以红字填列折扣金额，或按公允价格开具发票并作视同销售处理，具体方式事先与主管税务机关沟通确认，不再采用0元出库方式；将返利的计提、审批、兑现纳入销售与财务的内部控制流程，在系统中设置返利模块，按月计提并定期与经销商对账确认。返利事项的整改需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1T06:54:46Z" w:initials="YJ">
    <w:p w14:paraId="56BE7B69" w14:textId="77777777">
      <w:pPr>
        <w:pStyle w:val="CommentText"/>
      </w:pPr>
      <w:r>
        <w:rPr>
          <w:rStyle w:val="CommentReference"/>
        </w:rPr>
        <w:annotationRef/>
      </w:r>
      <w:r>
        <w:rPr>
          <w:rFonts w:hint="eastAsia" w:ascii="Times New Roman" w:hAnsi="Times New Roman" w:eastAsia="宋体"/>
          <w:color w:val="000000"/>
          <w:sz w:val="20"/>
          <w:szCs w:val="20"/>
        </w:rPr>
        <w:t xml:space="preserve">本节解决方案为收购燕京啤酒（邢台）有限公司100%股权，其成立前提是该公司厂区已整体转为纳豆生产、不再从事啤酒业务。该前提目前仅据了解，尚需以书面资料确认，请优先落实。需核实：一、该公司啤酒生产线的停产时间、现有生产线的实际用途及产权归属；二、其113名员工的实际工作内容、劳动关系归属，以及与中发邢台在人员、生产组织、费用承担上的划分；三、其最近两年及一期财务报表，用于测算收购对价及交易后股权结构；四、其营业执照、公司章程、对外担保及诉讼情况，用于股权收购的概括承受尽调；五、宗地二出让合同（核对起始日期及年限）、宗地四实际使用状况及建设环保手续。另需提示：标的公司经营范围现为啤酒制造相关，收购后如不同步变更经营范围并注销啤酒生产许可，发行人将因持有啤酒制造企业而与控股股东燕京啤酒形成新的同业竞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BE7B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BBB7F49" w16cex:dateUtc="2026-08-21T06:54:4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BE7B69" w16cid:durableId="0BBB7F4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