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孟庆民</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系发行人控股股东燕京啤酒控制的企业，同时为发行人参股公司；发行人对其按成本法核算，未纳入合并报表范围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受同一控股股东燕京啤酒控制，属于《首次公开发行股票注册管理办法》第十二条所述控股股东、实际控制人控制的其他企业范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主营业务看，发行人主营纳豆及纳豆衍生产品的研发、生产和销售，2024年度、2025年度主营业务收入均100%来源于纳豆类产品；中发邢台的主营业务同为纳豆及纳豆制品的生产和销售，2025年度实现主营业务收入10,040.69万元，亦全部来源于纳豆类产品，其中纳福多肽类3,187.67万元、肠溶型（纳豆）胶囊类4,450.05万元、羊乳粉类1,595.44万元、纳豆胶囊688.14万元、大粒纳豆119.40万元，与发行人在售的燕京纳福多肽、1*2肠溶型胶囊礼盒（80粒）、有机全脂羊乳粉、大粒36盒等产品属于同类产品，双方产品线高度重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从经营管理看，根据尽调访谈情况，中发邢台的日常生产经营实际由发行人团队负责，双方在人员及经营管理上未作实质区隔。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交易关系看，发行人存在向中发邢台采购产成品后对外销售的情形。截至2026年6月30日，发行人库存商品—纳豆科目下设有邢台燕京纳福多肽特膳、邢台燕京1*2肠溶型纳豆胶囊80粒、邢台有机全脂羊乳粉、邢台大粒纳豆36盒等以邢台冠名的存货明细科目，2026年6月末发行人库存商品中外购部分的账面余额为2,018.78万元。上述关联采购的具体金额、定价依据及价格公允性，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10,923.51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注：发行人2026年1-6月毛利根据营业收入20,814.62万元及毛利率52.48%测算；中发邢台2024年度、2025年度数据取自其审计报告，2026年1-6月数据取自其财务报表，未经审计。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认定同业竞争应当遵循实质重于形式的原则，结合历史沿革、资产、人员、主营业务、客户及供应商等因素综合论证是否构成竞争；竞争方从事的同类业务收入或毛利占发行人相应指标的比例达到30%以上的，原则上认定构成重大不利影响。基于上述标准，具体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中发邢台与发行人构成同业竞争。双方的产品品类、生产工艺、目标市场、品牌体系及销售渠道高度重合，且中发邢台由发行人团队实际经营，无法通过划分销售区域、客户群体或产品类别的方式予以有效区隔，按照实质重于形式原则应认定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目前尚未触及重大不利影响的量化标准，但占比呈上升趋势。2024年度、2025年度和2026年1-6月，中发邢台同类业务收入占发行人营业收入的比例分别为2.43%、23.12%和14.11%，毛利占比分别为2.23%、19.71%和14.05%，均低于30%。但中发邢台系2024年5月新设主体，2025年度为其投产后首个完整年度，当年收入即快速放大至10,043.02万元；截至2026年6月30日，其在建工程账面余额仍达5,924.02万元，产能处于持续释放过程中，随着新增产能落地，上述占比存在进一步上升并触及30%标准的风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即使未达到30%，该等同业竞争仍需彻底解决。30%系认定构成重大不利影响的量化参考标准，并非同业竞争可不予规范的豁免条件。本次申报涉及燕京啤酒分拆子公司至北交所上市，审核机构将重点关注发行人的资产完整性、业务独立性以及与控股股东之间是否存在利益输送。发行人与中发邢台之间存在关联采购、共用经营团队、共用品牌等情形，若不予解决，将同时构成同业竞争、关联交易及独立性方面的实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④该事项与其他重点关注事项相互关联。中发邢台生产经营所使用土地的权属登记在燕京啤酒名下（详见本节4、土地收购），因此同业竞争的解决方案需与土地权属整合方案统筹设计、同步推进。</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针对上述同业竞争情形，建议按照将竞争业务整体纳入上市主体的思路予以彻底解决，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在法律形式上表现为燕京啤酒以其持有的中发邢台67.00%股权作价出资、对发行人进行非货币资产增资（股权出资），在交易实质上为发行人以定向增发股权作为支付对价收购中发邢台控股权，全程不涉及现金支付。交易完成后，中发邢台由发行人持股100%，成为发行人全资子公司；燕京啤酒在发行人层面的持股比例相应提升，燕京集团、食品发酵研究院持股比例被动稀释，发行人控股股东、实际控制人均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相较于以现金支付对价的股权收购方案，股权支付方案具有以下优势：一是无需占用发行人经营资金，避免为支付收购款而增加负债或影响在建产能投入；二是股权支付比例达到100%，可满足企业重组特殊性税务处理关于股权支付比例不低于85%的条件，燕京啤酒转让所得可暂不确认、实现企业所得税递延（详见④税费测算）；三是进一步提升控股股东持股比例，有利于分拆上市后控制权的稳定。因此，建议优先采用股权支付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此外，本次重组仅涉及中发邢台股权的划入，不涉及发行人现有业务、资产的划出，交易结构简单、边界清晰，无需通过分立、资产剥离等复杂路径实现，重组周期相对可控。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本次新增出资额为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请注意的是，本次重组将使燕京啤酒在发行人层面的持股比例由80.00%提升至约84.35%，燕京集团、食品发酵研究院的持股比例相应下降。鉴于发行人后续拟通过混合所有制改革引入战略投资者并实施员工持股，两项交易均涉及发行人股权结构变动，建议统筹安排先后顺序：先实施中发邢台股权注入，再实施混改增资。理由在于，一是股权注入完成后上市主体业务、资产完整，战略投资者的估值基础更为真实，有利于混改定价的公允性论证；二是可避免战略投资者及员工持股平台入股后再由控股股东注入关联资产，引发新股东权益稀释争议并需重新履行审批程序；三是可将两项交易的审计、评估基准日统一，一次审计评估同时服务于中发邢台股权注入与混改清产核资，节约时间及中介成本。</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本次交易的双方均为国有控股企业，交易标的为国有股权，须严格履行审计、评估、备案及国资审批程序，主要环节如下：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考虑到发行人混改事项拟以2026年7月底为清产核资审计基准日，建议将本次重组的审计基准日与之统一，避免重复审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的规定，企业发生非上市公司国有股东股权比例变动、以非货币资产对外投资等行为的，应当对相关资产进行评估，评估项目实行核准制和备案制。本次交易同时涉及发行人国有股东股权比例变动及燕京啤酒以非货币资产（股权）对外投资，须聘请具有证券期货相关业务资格的评估机构，对中发邢台股东全部权益价值出具资产评估报告，并报国资监管部门备案，以经备案的评估结果作为交易定价依据。评估方法建议采用资产基础法与收益法相结合，考虑到中发邢台在建工程金额较大、产能尚未完全释放，需在评估中充分反映其后续盈利能力。</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的规定，企业增资原则上应当通过产权交易机构公开进行；但因国有资本布局结构调整需要、由特定的国有及国有控股企业参与增资的，经国家出资企业审议决策后可以采取非公开协议方式进行。本次由控股股东燕京啤酒以其持有的股权对发行人增资，属于同一国家出资企业体系内部的资源整合，具备采取非公开协议方式增资的政策基础。建议在方案启动前即就交易方式的适用性与北控集团、北京市国资委及北京产权交易所进行专项沟通并取得明确意见，避免因需公开挂牌征集投资方而延长重组周期。该环节系本次重组的关键路径，建议尽早启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同时，燕京啤酒作为A股上市公司，本次以其持有的子公司股权对控股子公司增资，需按照上市公司信息披露相关规定履行内部审议及披露程序。需说明的是，该交易对燕京啤酒而言属于合并报表范围内部的架构调整，对发行人而言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以中发邢台2026年6月30日账面净资产12,849.70万元的67.00%即8,609.30万元作为模拟交易作价，燕京啤酒取得该部分股权的计税基础为其实缴出资额6,700.00万元，本次交易涉及的主要税种及测算情况如下：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企业重组中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商业目的：本次重组系为消除同业竞争、夯实上市主体独立性与资产完整性，商业目的合理，非以避税为主要目的；②收购比例：本次收购中发邢台67.00%股权，高于50%；③经营连续性：重组后中发邢台继续从事纳豆及纳豆制品的生产销售，不改变原实质性经营活动；④股权支付比例：本次对价100%以发行人自身股权支付，高于85%；⑤股权锁定：燕京啤酒取得的发行人股权在重组后12个月内不得转让，与分拆上市的持股安排不冲突。综上，本次交易预计可满足特殊性税务处理条件。</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若满足全部条件：燕京啤酒暂不确认股权转让所得，其取得的发行人股权计税基础以被转让的中发邢台股权原计税基础确定，实现所得税递延；②若不满足条件：燕京啤酒需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企业所得税为0万元；②适用一般性税务处理的，燕京啤酒股权转让所得为1,909.30万元，预计企业所得税为477.32万元。建议在方案报批前就特殊性税务处理的适用性与主管税务机关进行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本次交易为股权转让，中发邢台名下的房屋建筑物及在建工程的权属未发生转移，且中发邢台账面无土地使用权，不属于土地增值税征税范围。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预计为0万元。需注意，若先行实施土地收购事项（详见本节4、土地收购），该项交易将单独涉及土地增值税，应分别测算。</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本次增资涉及股权转让书据及发行人资金账簿。就本次交易能否适用企业改制重组印花税优惠政策，需与主管税务机关确认。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按模拟作价8,609.30万元测算，双方各需缴纳约4.30万元，合计约8.61万元。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适用特殊性税务处理的，预计税费合计约8.61万元；适用一般性税务处理的，预计税费合计约485.93万元。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注：上述测算系以账面净资产为基础的模拟测算，仅供参考。本次交易的实际税务成本，应以经备案的评估结果确定的交易作价为基础，并参考主管税务机关的意见另行测算。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除税费成本外，本次重组还将发生审计费、评估费、法律服务费及工商变更服务费等中介机构费用，预计整体成本约100万元，属一次性支出，具体以各中介机构最终报价为准。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应按照被合并方在最终控制方合并财务报表中的账面价值计量，不产生商誉，并对合并财务报表的比较期间进行追溯调整。以简单加总方式模拟合并后，发行人主要财务数据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由于中发邢台自2024年5月设立起即由燕京啤酒控制，追溯调整后各期归属于母公司股东的净利润为中发邢台100%的净利润。根据《公开发行证券的公司信息披露解释性公告第1号——非经常性损益》的规定，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资产总额、营业收入及净利润占发行人相应指标的比例分别为33.73%、23.12%和16.59%，均低于100%，初步判断本次重组无需在完成后运行一个完整会计年度。但需提请注意，以2026年6月末数据测算，中发邢台资产总额占发行人资产总额的比例已升至54.85%，主要系其2026年上半年其他应收款（内部资金往来）由3,952.53万元大幅增加至16,640.95万元所致。建议在重组实施前先行清理中发邢台与集团内部的资金往来，清理后中发邢台资产总额约为10,587.40万元、占比降至约21.33%，既可降低相关比例、避免触及重大资产重组认定标准，亦有利于同步解决资金占用及独立性问题。最终认定应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建议按以下四个阶段推进，全程留痕、规范落地，确保重组完成后运营稳定、合规可核查：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全套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确保财务核算连续、准确；整合双方的采购、生产、销售、研发体系及内控制度，实现统一管理；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按上述安排，本次重组可在发行人股改基准日（2026年10月31日）前后完成主体程序，最迟应于2026年12月股份制改造完成前实施完毕，使股份制改造以整合后的主体架构为基础，避免报告期内发生重大架构变动。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除中发邢台外，应对燕京啤酒、燕京集团、北控集团及其控制的其他企业进行全面排查，核查是否存在其他从事纳豆及大健康食品业务的主体，一并纳入本次整合方案或作出相应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完整保留交易单据；同时完整保存中发邢台的财务资料及生产经营记录，便于后续纳入合并报表及中介机构开展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应结合《上市公司分拆规则（试行）》的相关条件，核查本次资产注入是否对燕京啤酒分拆发行人上市构成障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燕京健康产业园（邢台）一期纳豆智能工厂）。经尽调了解，中发邢台生产经营实际使用的约300亩土地，其土地使用权登记在燕京啤酒名下，中发邢台并不拥有该等土地的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得到印证：截至2026年6月30日，中发邢台资产总额27,228.35万元，其中固定资产账面价值2,489.64万元、在建工程账面余额5,924.02万元，而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代付（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混同。</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（2）合规风险分析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风险。《首次公开发行股票注册管理办法》第十二条要求发行人资产完整，业务及人员、财务、机构独立。土地系纳豆生产的核心生产要素，若上市主体（含拟纳入合并范围的中发邢台）不拥有生产经营所必需土地的使用权，将直接构成资产不完整，并形成对控股股东的重大依赖，属于实质性审核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分离的权属风险。房屋建筑物所有权人与土地使用权人不一致的，可能导致地上房屋无法办理不动产首次登记、无法办理抵押融资，并在土地被处分或征收拆迁时产生权属及补偿争议。中发邢台在建工程金额较大，若不尽快解决土地权属问题，后续转固及办证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风险。由中发邢台向燕京啤酒购入土地构成关联交易，且属于国有资产转让，须以经备案的资产评估结果作为定价基础，并履行内部决策及国资审批程序；燕京啤酒作为A股上市公司，出售资产还需履行相应的审议及信息披露程序。若定价缺乏评估依据或未履行审批程序，将影响交易的合法有效性并在审核中被重点问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土地性质及税费风险。若该宗土地为划拨用地，须先经有批准权的人民政府批准、补缴土地出让金转为出让用地后方可转让；土地使用权转让涉及土地增值税、增值税及附加、契税、印花税及企业所得税，税负金额可能较大，需提前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尽快完成权属核查。取得该宗土地的《不动产权证书》、宗地图及《国有建设用地使用权出让合同》（或划拨决定书），核实权利人、宗地编号、四至范围、实际面积、土地用途、取得方式、剩余使用年限，以及是否存在抵押、查封等权利限制；同时核实中发邢台实际占用范围与权属证载范围是否一致，是否存在超占或混用其他主体土地的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收购方案。建议由中发邢台向燕京啤酒购入其实际占用的土地使用权及地上附着物（如有），实现房、地权属统一。该方案应与本节3、同业竞争项下发行人收购中发邢台67.00%股权的重组方案统筹设计，建议先完成土地权属过户、再完成股权收购，或两项交易同步交割，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同一国家出资企业内部各级子企业之间的资产转让可依据32号令采取非公开协议方式，但需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就土地使用权转让涉及的土地增值税、增值税及附加、契税、印花税及企业所得税进行测算，并在交易协议中明确税费承担方；就是否可适用企业改制重组有关土地增值税、契税优惠政策（同一投资主体内部划转），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完成不动产权属转移登记并取得新的不动产权证书；同步核查邢台生产基地的房屋建筑物及在建工程是否已取得建设用地规划许可证、建设工程规划许可证、建筑工程施工许可证及竣工验收备案，并办理房屋所有权首次登记，避免出现无证房产影响资产完整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对发行人为中发邢台代垫、代付的各项费用及设备款进行全面梳理，补充签署书面协议、完善审批手续，并在申报基准日前完成结清；对已发生的代垫事项取得相关方确认函，说明交易背景及商业合理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若土地过户确无法在申报基准日前完成，应先由燕京啤酒与中发邢台签署书面的土地及厂房租赁协议并办理租赁备案，明确租金定价依据及公允性，同时取得燕京啤酒出具的关于保障中发邢台持续、稳定使用该宗土地并于约定期限内完成权属转移的承诺函。但需说明，租赁方案仅系过渡性安排，仍不满足资产完整性要求，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不符合《企业会计准则第14号——收入》关于在客户取得相关商品控制权时确认收入的规定，将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与经销模式下客观存在运输在途期间的业务实质不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公司2024年度审计报告财务报表附注中关于收入确认具体方法的表述为：本公司生产啤酒产品并销售予经销商，按照合同或协议规定，在经销商取得产品的控制权，即啤酒产品发出时，按照扣除应付经销商的对价后确认收入。该表述系直接沿用控股股东燕京啤酒的模板，与公司实际从事的纳豆及纳豆衍生产品业务不符，会计政策的披露口径存在明显瑕疵，且与公司实际执行的会计处理亦不完全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公司同行业上市公司收入确认具体原则如下：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【摘录自最近一期年度报告，待补充】</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【摘录自最近一期年度报告，待补充】</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【摘录自最近一期年度报告，待补充】</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注：可比公司的选取及其收入确认原则的具体表述，需结合公司主营业务、销售模式进一步核实后确定。</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同行业上市公司收入确认原则，结合公司实际业务实质及审核案例，建议将经销模式下的内销收入确认时点调整为客户签收（含客户自提），以经客户签署姓名及日期并加盖公章的签收单、验收单作为收入确认的支持性单据；对月末已发出但客户尚未签收的商品，通过发出商品科目核算，于次月客户签收时确认收入并结转相应成本；对电商渠道（天猫、京东、拼多多、抖音等）销售，以平台确认收货（含系统自动确认收货）时点确认收入，并根据公司在交易中的身份审慎判断采用总额法或净额法核算；对涉及安装、调试或验收条款的销售，以客户验收合格时点确认收入。会计政策确定后，需按照确定的政策对报告期各期收入进行重新计算，作为前期差错更正处理，并在审计报告中充分披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存在财务报表列报错误。</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负库存表明存货出库的账务处理先于入库，实物流转与账务核算不同步，成本结转的准确性无法保证；同时也反映出公司目前以出库单驱动收入及成本确认，缺乏入出库与收入确认严格匹配机制的问题。</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公司在返利形成的当期既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返利义务全部游离于账外，报告期内返利的发生金额、兑现金额及期末未兑现余额目前均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（2）现行会计处理不符合企业会计准则的分析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当满足计入交易价格的可变对价金额在相关不确定性消除时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公司现行处理方式的主要问题及影响如下：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错误。返利形成期未按分摊后的金额确认收入，导致当期收入及利润虚增；返利兑现期以0元出售、仅结转成本，导致当期收入虚减、成本虚增，各期毛利率异常波动，报告期各期经营成果不可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②负债低估。返利形成时未确认合同负债（或预计负债），导致资产负债表低估负债、高估净资产；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③单据及内部控制缺失。公司未建立返利台账，返利的计算依据、审批过程及兑现记录均未系统留痕，无法支持返利金额的准确性与完整性，中介机构在收入核查中亦难以取得充分适当的证据；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合规风险。以0元出售方式兑现返利货物，可能被税务机关认定为无偿赠送而适用增值税视同销售的规定，存在补缴增值税、企业所得税及滞纳金的风险；同时该等交易未开具发票或按0元开具发票，与经销商端的进项抵扣、成本列支不相匹配，可能引发经销商的税务问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⑤收入真实性风险。返利以实物形式在账外循环，若与第三方回款、经销商入股等事项相叠加，容易被质疑存在体外资金循环或利益输送。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实物或现金）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应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评估调整后各期毛利率的变动趋势及合理性；⑤规范兑现操作。禁止以0元出库方式兑现返利，实物返利应按公允价格开具发票并作视同销售处理，或改以红字发票冲减销售额、在同一张发票上以折扣方式体现，具体方式应事先与主管税务机关沟通确认；⑥完善内部控制。将返利的计提、审批、兑现纳入销售与财务的内部控制流程，在系统中设置返利模块，明确销售部门与财务部门的职责分工及审批权限，按月计提、定期与经销商对账确认；⑦与相关事项统筹推进。返利事项的整改应与收入确认政策调整、第三方回款核查、经销商入股等事项统筹推进，确保对外解释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