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在行业展会上推出面向研发场景和入门应用的轻量化关节模组，将单个模组的对外报价下探至千元以内，以降低下游开发者的使用门槛并争取早期客户。在下游尚未完全放量的阶段即出现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人形机器人专用关节模组已形成R48、R58、R68、R83、R102、R120和R120 Max等系列，按关节部位分别对应头颈、肩肘腕及腰部、髋部及腿部，并延伸出面向工业场景的模组系列；据公司2025年产品手册，前述产品峰值扭矩覆盖3.8牛米至576牛米。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同期公司营业收入快速增长，2026年1-7月收入规模已超过2025年全年的两倍。根据前述灼识咨询的研究，2025年多数独立关节模组供应商的年收入低于1亿元、规模最大的供应商收入超过1亿元，公司2025年营业收入处于上述区间之内。鉴于该项统计的基准年度为2025年，而2026年以来下游需求增长较快、本环节企业的收入规模普遍提升，上述标准不宜直接用于衡量公司2026年在行业中的位次。</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