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合并比例无法测算。就其资产规模，现有资料仅能作出方向性判断：该公司持有本节4所述四宗宗地合计272.85亩及地上全部厂房；工商登记信息显示其注册资本7,300.00万元，实缴出资额与注册资本一致。据此判断其资产总额超过6,506.83万元临界值存在较大可能，合并测算结果落入50%至100%档的可能性不能排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判断的局限应予说明。其一，工商登记的实缴出资额系企业自主公示信息，登记机关不作核验，需以验资报告或该公司财务报表的实收资本科目核实。其二，四宗宗地取得于2009年至2015年，土地使用权按五十年摊销、房屋建筑物及生产设备按各自年限计提折旧，其账面价值随年限持续下降；啤酒生产线停产后相关设备可能已处置或已计提减值，账面资产总额与土地、厂房的实际价值可能存在较大差异。其三，燕京啤酒2025年年度报告披露其母公司报表中对该公司的长期股权投资账面余额17,172.00万元、减值准备1,278.72万元、账面价值15,893.28万元，该科目反映的是燕京啤酒为取得该公司股权所支付的成本；因该公司系2011年8月以非同一控制下企业合并方式取得，收购对价支付给原股东，不构成该公司自身的资产，故不能据以推算其资产总额。上述判断仅为方向性提示，不能替代实际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交易对方发行人及交易标的中发邢台均在燕京啤酒合并报表范围内，依据深圳证券交易所股票上市规则关于上市公司与其合并报表范围内子公司之间交易的规定，本次交易不构成燕京啤酒的关联交易，无需适用第4.12条第10项关于关联交易的审议标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就其资产规模，现有资料仅能作出方向性判断：该公司持有全部四宗宗地合计272.85亩及地上厂房；工商登记信息显示其注册资本7,300.00万元，实缴出资额与注册资本一致。据此判断其资产总额超过临界值存在较大可能。但需说明，工商登记的实缴出资额系企业自主公示信息，需以验资报告或其财务报表的实收资本科目核实；且四宗宗地取得于2009年至2015年，土地使用权及地上建筑物均已计提多年摊销折旧，啤酒生产线停产后相关设备可能已处置或已计提减值，账面资产总额与土地、厂房的实际价值可能存在较大差异，上述判断不能替代实际测算。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燕京啤酒母公司报表中对该公司的长期股权投资账面余额17,172.00万元核实确定；该科目已计提减值准备1,278.72万元、账面价值为15,893.28万元，但会计上计提的减值准备未经税前扣除，不减少计税基础，故计税基础应以账面余额而非账面价值为准，具体金额仍需以其历史出资及股权受让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燕京啤酒对其长期股权投资账面余额17,172.00万元（已计提减值准备1,278.72万元，账面价值15,893.28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鉴于该公司持有全部四宗宗地合计272.85亩及地上厂房、工商登记显示其7,300.00万元注册资本已全额实缴，落入第二档存在较大可能，请优先落实。需说明此为方向性判断：工商公示的实缴出资额未经登记机关核验，宗地取得于2009年至2015年、土地厂房已计提多年摊销折旧，账面资产总额与实际价值可能差异较大，均不能替代实际测算。另注意燕京啤酒母公司报表中对该公司的长期股权投资17,172.00万元系其收购股权的支付成本，该公司系非同一控制下企业合并取得、对价支付给原股东，不构成该公司自身资产，不能据以推算其资产总额。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