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widowControl/>
        <w:spacing w:before="156" w:after="156" w:line="360" w:lineRule="auto"/>
        <w:jc w:val="center"/>
      </w:pPr>
      <w:r>
        <w:rPr>
          <w:rFonts w:ascii="宋体" w:hAnsi="宋体" w:cs="宋体" w:eastAsia="宋体" w:hint="eastAsia"/>
          <w:b/>
          <w:sz w:val="36"/>
        </w:rPr>
        <w:t>无锡金源半导体与设备零部件耗材环节研究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无锡金源公司与产品</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2</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公司概况</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产品体系与对应的材料及工艺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2</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3" w:history="1">
            <w:r>
              <w:rPr>
                <w:rStyle w:val="a5"/>
                <w:bCs w:val="0"/>
                <w:noProof/>
                <w:sz w:val="24"/>
                <w:szCs w:val="24"/>
              </w:rPr>
              <w:t xml:space="preserve">二、 所处环节与耗材属性</w:t>
            </w:r>
            <w:r>
              <w:rPr>
                <w:webHidden/>
                <w:noProof/>
                <w:sz w:val="24"/>
                <w:szCs w:val="24"/>
              </w:rPr>
              <w:tab/>
            </w:r>
            <w:r>
              <w:rPr>
                <w:webHidden/>
                <w:noProof/>
                <w:sz w:val="24"/>
                <w:szCs w:val="24"/>
              </w:rPr>
              <w:fldChar w:fldCharType="begin"/>
            </w:r>
            <w:r>
              <w:rPr>
                <w:webHidden/>
                <w:noProof/>
                <w:sz w:val="24"/>
                <w:szCs w:val="24"/>
              </w:rPr>
              <w:instrText xml:space="preserve"> PAGEREF _Toc900003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4" w:history="1">
            <w:r>
              <w:rPr>
                <w:rStyle w:val="a5"/>
                <w:rFonts w:eastAsia="宋体" w:cs="宋体"/>
                <w:bCs/>
                <w:noProof/>
                <w:sz w:val="24"/>
                <w:szCs w:val="24"/>
              </w:rPr>
              <w:t xml:space="preserve">2.1 环节定位与零部件分类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_Toc900004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5" w:history="1">
            <w:r>
              <w:rPr>
                <w:rStyle w:val="a5"/>
                <w:rFonts w:eastAsia="宋体" w:cs="宋体"/>
                <w:bCs/>
                <w:noProof/>
                <w:sz w:val="24"/>
                <w:szCs w:val="24"/>
              </w:rPr>
              <w:t xml:space="preserve">2.2 耗材属性与更换周期</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_Toc900005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6" w:history="1">
            <w:r>
              <w:rPr>
                <w:rStyle w:val="a5"/>
                <w:bCs w:val="0"/>
                <w:noProof/>
                <w:sz w:val="24"/>
                <w:szCs w:val="24"/>
              </w:rPr>
              <w:t xml:space="preserve">三、 上游材料与中游制造</w:t>
            </w:r>
            <w:r>
              <w:rPr>
                <w:webHidden/>
                <w:noProof/>
                <w:sz w:val="24"/>
                <w:szCs w:val="24"/>
              </w:rPr>
              <w:tab/>
            </w:r>
            <w:r>
              <w:rPr>
                <w:webHidden/>
                <w:noProof/>
                <w:sz w:val="24"/>
                <w:szCs w:val="24"/>
              </w:rPr>
              <w:fldChar w:fldCharType="begin"/>
            </w:r>
            <w:r>
              <w:rPr>
                <w:webHidden/>
                <w:noProof/>
                <w:sz w:val="24"/>
                <w:szCs w:val="24"/>
              </w:rPr>
              <w:instrText xml:space="preserve"> PAGEREF _Toc900006 \h </w:instrText>
            </w:r>
            <w:r>
              <w:rPr>
                <w:webHidden/>
                <w:noProof/>
                <w:sz w:val="24"/>
                <w:szCs w:val="24"/>
              </w:rPr>
              <w:fldChar w:fldCharType="separate"/>
            </w:r>
            <w:r>
              <w:rPr>
                <w:webHidden/>
                <w:noProof/>
                <w:sz w:val="24"/>
                <w:szCs w:val="24"/>
              </w:rPr>
              <w:t>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7" w:history="1">
            <w:r>
              <w:rPr>
                <w:rStyle w:val="a5"/>
                <w:rFonts w:eastAsia="宋体" w:cs="宋体"/>
                <w:bCs/>
                <w:noProof/>
                <w:sz w:val="24"/>
                <w:szCs w:val="24"/>
              </w:rPr>
              <w:t xml:space="preserve">3.1 上游：材料与技术难点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_Toc900007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3.2 中游：零部件制造与表面处理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9" w:history="1">
            <w:r>
              <w:rPr>
                <w:rStyle w:val="a5"/>
                <w:rFonts w:eastAsia="宋体" w:cs="宋体"/>
                <w:bCs/>
                <w:noProof/>
                <w:sz w:val="24"/>
                <w:szCs w:val="24"/>
              </w:rPr>
              <w:t xml:space="preserve">3.3 下游客户结构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_Toc900009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0" w:history="1">
            <w:r>
              <w:rPr>
                <w:rStyle w:val="a5"/>
                <w:bCs w:val="0"/>
                <w:noProof/>
                <w:sz w:val="24"/>
                <w:szCs w:val="24"/>
              </w:rPr>
              <w:t xml:space="preserve">四、 市场规模与国产化进度</w:t>
            </w:r>
            <w:r>
              <w:rPr>
                <w:webHidden/>
                <w:noProof/>
                <w:sz w:val="24"/>
                <w:szCs w:val="24"/>
              </w:rPr>
              <w:tab/>
            </w:r>
            <w:r>
              <w:rPr>
                <w:webHidden/>
                <w:noProof/>
                <w:sz w:val="24"/>
                <w:szCs w:val="24"/>
              </w:rPr>
              <w:fldChar w:fldCharType="begin"/>
            </w:r>
            <w:r>
              <w:rPr>
                <w:webHidden/>
                <w:noProof/>
                <w:sz w:val="24"/>
                <w:szCs w:val="24"/>
              </w:rPr>
              <w:instrText xml:space="preserve"> PAGEREF _Toc900010 \h </w:instrText>
            </w:r>
            <w:r>
              <w:rPr>
                <w:webHidden/>
                <w:noProof/>
                <w:sz w:val="24"/>
                <w:szCs w:val="24"/>
              </w:rPr>
              <w:fldChar w:fldCharType="separate"/>
            </w:r>
            <w:r>
              <w:rPr>
                <w:webHidden/>
                <w:noProof/>
                <w:sz w:val="24"/>
                <w:szCs w:val="24"/>
              </w:rPr>
              <w:t>7</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1" w:history="1">
            <w:r>
              <w:rPr>
                <w:rStyle w:val="a5"/>
                <w:rFonts w:eastAsia="宋体" w:cs="宋体"/>
                <w:bCs/>
                <w:noProof/>
                <w:sz w:val="24"/>
                <w:szCs w:val="24"/>
              </w:rPr>
              <w:t xml:space="preserve">4.1 零部件环节的规模与结构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_Toc900011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4.2 与无锡金源产品对应的细分品类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3" w:history="1">
            <w:r>
              <w:rPr>
                <w:rStyle w:val="a5"/>
                <w:rFonts w:eastAsia="宋体" w:cs="宋体"/>
                <w:bCs/>
                <w:noProof/>
                <w:sz w:val="24"/>
                <w:szCs w:val="24"/>
              </w:rPr>
              <w:t xml:space="preserve">4.3 国产化现状、难点与增长空间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_Toc900013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4" w:history="1">
            <w:r>
              <w:rPr>
                <w:rStyle w:val="a5"/>
                <w:bCs w:val="0"/>
                <w:noProof/>
                <w:sz w:val="24"/>
                <w:szCs w:val="24"/>
              </w:rPr>
              <w:t xml:space="preserve">五、 可比公司</w:t>
            </w:r>
            <w:r>
              <w:rPr>
                <w:webHidden/>
                <w:noProof/>
                <w:sz w:val="24"/>
                <w:szCs w:val="24"/>
              </w:rPr>
              <w:tab/>
            </w:r>
            <w:r>
              <w:rPr>
                <w:webHidden/>
                <w:noProof/>
                <w:sz w:val="24"/>
                <w:szCs w:val="24"/>
              </w:rPr>
              <w:fldChar w:fldCharType="begin"/>
            </w:r>
            <w:r>
              <w:rPr>
                <w:webHidden/>
                <w:noProof/>
                <w:sz w:val="24"/>
                <w:szCs w:val="24"/>
              </w:rPr>
              <w:instrText xml:space="preserve"> PAGEREF _Toc900014 \h </w:instrText>
            </w:r>
            <w:r>
              <w:rPr>
                <w:webHidden/>
                <w:noProof/>
                <w:sz w:val="24"/>
                <w:szCs w:val="24"/>
              </w:rPr>
              <w:fldChar w:fldCharType="separate"/>
            </w:r>
            <w:r>
              <w:rPr>
                <w:webHidden/>
                <w:noProof/>
                <w:sz w:val="24"/>
                <w:szCs w:val="24"/>
              </w:rPr>
              <w:t>10</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5" w:history="1">
            <w:r>
              <w:rPr>
                <w:rStyle w:val="a5"/>
                <w:rFonts w:eastAsia="宋体" w:cs="宋体"/>
                <w:bCs/>
                <w:noProof/>
                <w:sz w:val="24"/>
                <w:szCs w:val="24"/>
              </w:rPr>
              <w:t xml:space="preserve">5.1 可比公司范围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_Toc900015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5.2 不同材料路线的毛利率差异</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5.3 单一产品的毛利率水平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8" w:history="1">
            <w:r>
              <w:rPr>
                <w:rStyle w:val="a5"/>
                <w:rFonts w:eastAsia="宋体" w:cs="宋体"/>
                <w:bCs/>
                <w:noProof/>
                <w:sz w:val="24"/>
                <w:szCs w:val="24"/>
              </w:rPr>
              <w:t xml:space="preserve">5.4 研发投入水平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_Toc900018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9" w:history="1">
            <w:r>
              <w:rPr>
                <w:rStyle w:val="a5"/>
                <w:bCs w:val="0"/>
                <w:noProof/>
                <w:sz w:val="24"/>
                <w:szCs w:val="24"/>
              </w:rPr>
              <w:t xml:space="preserve">六、 首次公开发行审核关注要点</w:t>
            </w:r>
            <w:r>
              <w:rPr>
                <w:webHidden/>
                <w:noProof/>
                <w:sz w:val="24"/>
                <w:szCs w:val="24"/>
              </w:rPr>
              <w:tab/>
            </w:r>
            <w:r>
              <w:rPr>
                <w:webHidden/>
                <w:noProof/>
                <w:sz w:val="24"/>
                <w:szCs w:val="24"/>
              </w:rPr>
              <w:fldChar w:fldCharType="begin"/>
            </w:r>
            <w:r>
              <w:rPr>
                <w:webHidden/>
                <w:noProof/>
                <w:sz w:val="24"/>
                <w:szCs w:val="24"/>
              </w:rPr>
              <w:instrText xml:space="preserve"> PAGEREF _Toc900019 \h </w:instrText>
            </w:r>
            <w:r>
              <w:rPr>
                <w:webHidden/>
                <w:noProof/>
                <w:sz w:val="24"/>
                <w:szCs w:val="24"/>
              </w:rPr>
              <w:fldChar w:fldCharType="separate"/>
            </w:r>
            <w:r>
              <w:rPr>
                <w:webHidden/>
                <w:noProof/>
                <w:sz w:val="24"/>
                <w:szCs w:val="24"/>
              </w:rPr>
              <w:t>13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0" w:history="1">
            <w:r>
              <w:rPr>
                <w:rStyle w:val="a5"/>
                <w:rFonts w:eastAsia="宋体" w:cs="宋体"/>
                <w:bCs/>
                <w:noProof/>
                <w:sz w:val="24"/>
                <w:szCs w:val="24"/>
              </w:rPr>
              <w:t xml:space="preserve">6.1 样本与甄别方法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_Toc900020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6.2 关注点之一：毛利率与成本核算</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6.3 关注点之二：技术先进性与核心技术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6.4 关注点之三：收入与业绩可持续性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4" w:history="1">
            <w:r>
              <w:rPr>
                <w:rStyle w:val="a5"/>
                <w:rFonts w:eastAsia="宋体" w:cs="宋体"/>
                <w:bCs/>
                <w:noProof/>
                <w:sz w:val="24"/>
                <w:szCs w:val="24"/>
              </w:rPr>
              <w:t xml:space="preserve">6.5 关注点之四：客户与供应商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_Toc900024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5" w:history="1">
            <w:r>
              <w:rPr>
                <w:rStyle w:val="a5"/>
                <w:rFonts w:eastAsia="宋体" w:cs="宋体"/>
                <w:bCs/>
                <w:noProof/>
                <w:sz w:val="24"/>
                <w:szCs w:val="24"/>
              </w:rPr>
              <w:t xml:space="preserve">6.6 关注点之五：产销勾稽与投入产出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_Toc900025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6.7 关注点之六：募投项目与产能消化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7" w:history="1">
            <w:r>
              <w:rPr>
                <w:rStyle w:val="a5"/>
                <w:rFonts w:eastAsia="宋体" w:cs="宋体"/>
                <w:bCs/>
                <w:noProof/>
                <w:sz w:val="24"/>
                <w:szCs w:val="24"/>
              </w:rPr>
              <w:t xml:space="preserve">6.8 各关注点对应的核查材料</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_Toc900027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8" w:history="1">
            <w:r>
              <w:rPr>
                <w:rStyle w:val="a5"/>
                <w:bCs w:val="0"/>
                <w:noProof/>
                <w:sz w:val="24"/>
                <w:szCs w:val="24"/>
              </w:rPr>
              <w:t xml:space="preserve">七、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_Toc900028 \h </w:instrText>
            </w:r>
            <w:r>
              <w:rPr>
                <w:webHidden/>
                <w:noProof/>
                <w:sz w:val="24"/>
                <w:szCs w:val="24"/>
              </w:rPr>
              <w:fldChar w:fldCharType="separate"/>
            </w:r>
            <w:r>
              <w:rPr>
                <w:webHidden/>
                <w:noProof/>
                <w:sz w:val="24"/>
                <w:szCs w:val="24"/>
              </w:rPr>
              <w:t>19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9" w:history="1">
            <w:r>
              <w:rPr>
                <w:rStyle w:val="a5"/>
                <w:rFonts w:eastAsia="宋体" w:cs="宋体"/>
                <w:bCs/>
                <w:noProof/>
                <w:sz w:val="24"/>
                <w:szCs w:val="24"/>
              </w:rPr>
              <w:t xml:space="preserve">7.1 在审与辅导中的项目</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_Toc900029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0" w:history="1">
            <w:r>
              <w:rPr>
                <w:rStyle w:val="a5"/>
                <w:rFonts w:eastAsia="宋体" w:cs="宋体"/>
                <w:bCs/>
                <w:noProof/>
                <w:sz w:val="24"/>
                <w:szCs w:val="24"/>
              </w:rPr>
              <w:t xml:space="preserve">7.2 已保荐上市与再融资的相关公司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_Toc900030 \h </w:instrText>
            </w:r>
            <w:r>
              <w:rPr>
                <w:rFonts w:eastAsia="宋体"/>
                <w:webHidden/>
                <w:noProof/>
                <w:sz w:val="24"/>
                <w:szCs w:val="24"/>
              </w:rPr>
              <w:fldChar w:fldCharType="separate"/>
            </w:r>
            <w:r>
              <w:rPr>
                <w:rFonts w:eastAsia="宋体"/>
                <w:webHidden/>
                <w:noProof/>
                <w:sz w:val="24"/>
                <w:szCs w:val="24"/>
              </w:rPr>
              <w:t>20</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1" w:history="1">
            <w:r>
              <w:rPr>
                <w:rStyle w:val="a5"/>
                <w:bCs w:val="0"/>
                <w:noProof/>
                <w:sz w:val="24"/>
                <w:szCs w:val="24"/>
              </w:rPr>
              <w:t xml:space="preserve">八、 拜访关注要点</w:t>
            </w:r>
            <w:r>
              <w:rPr>
                <w:webHidden/>
                <w:noProof/>
                <w:sz w:val="24"/>
                <w:szCs w:val="24"/>
              </w:rPr>
              <w:tab/>
            </w:r>
            <w:r>
              <w:rPr>
                <w:webHidden/>
                <w:noProof/>
                <w:sz w:val="24"/>
                <w:szCs w:val="24"/>
              </w:rPr>
              <w:fldChar w:fldCharType="begin"/>
            </w:r>
            <w:r>
              <w:rPr>
                <w:webHidden/>
                <w:noProof/>
                <w:sz w:val="24"/>
                <w:szCs w:val="24"/>
              </w:rPr>
              <w:instrText xml:space="preserve"> PAGEREF _Toc900031 \h </w:instrText>
            </w:r>
            <w:r>
              <w:rPr>
                <w:webHidden/>
                <w:noProof/>
                <w:sz w:val="24"/>
                <w:szCs w:val="24"/>
              </w:rPr>
              <w:fldChar w:fldCharType="separate"/>
            </w:r>
            <w:r>
              <w:rPr>
                <w:webHidden/>
                <w:noProof/>
                <w:sz w:val="24"/>
                <w:szCs w:val="24"/>
              </w:rPr>
              <w:t>20</w:t>
            </w:r>
            <w:r>
              <w:rPr>
                <w:webHidden/>
                <w:noProof/>
                <w:sz w:val="24"/>
                <w:szCs w:val="24"/>
              </w:rPr>
              <w:fldChar w:fldCharType="end"/>
            </w:r>
          </w:hyperlink>
        </w:p>
        <w:p>
          <w:pPr>
            <w:pStyle w:val="TOC1"/>
            <w:tabs>
              <w:tab w:val="right" w:leader="dot" w:pos="8299"/>
            </w:tabs>
            <w:spacing w:line="360" w:lineRule="auto"/>
            <w:rPr>
              <w:noProof/>
              <w:sz w:val="24"/>
              <w:szCs w:val="24"/>
            </w:rPr>
          </w:pPr>
          <w:hyperlink w:anchor="_Toc900032" w:history="1">
            <w:r>
              <w:rPr>
                <w:rStyle w:val="a5"/>
                <w:bCs w:val="0"/>
                <w:noProof/>
                <w:sz w:val="24"/>
                <w:szCs w:val="24"/>
              </w:rPr>
              <w:t xml:space="preserve">九、 口径说明</w:t>
            </w:r>
            <w:r>
              <w:rPr>
                <w:webHidden/>
                <w:noProof/>
                <w:sz w:val="24"/>
                <w:szCs w:val="24"/>
              </w:rPr>
              <w:tab/>
            </w:r>
            <w:r>
              <w:rPr>
                <w:webHidden/>
                <w:noProof/>
                <w:sz w:val="24"/>
                <w:szCs w:val="24"/>
              </w:rPr>
              <w:fldChar w:fldCharType="begin"/>
            </w:r>
            <w:r>
              <w:rPr>
                <w:webHidden/>
                <w:noProof/>
                <w:sz w:val="24"/>
                <w:szCs w:val="24"/>
              </w:rPr>
              <w:instrText xml:space="preserve"> PAGEREF _Toc900032 \h </w:instrText>
            </w:r>
            <w:r>
              <w:rPr>
                <w:webHidden/>
                <w:noProof/>
                <w:sz w:val="24"/>
                <w:szCs w:val="24"/>
              </w:rPr>
              <w:fldChar w:fldCharType="separate"/>
            </w:r>
            <w:r>
              <w:rPr>
                <w:webHidden/>
                <w:noProof/>
                <w:sz w:val="24"/>
                <w:szCs w:val="24"/>
              </w:rPr>
              <w:t>22</w:t>
            </w:r>
            <w:r>
              <w:rPr>
                <w:webHidden/>
                <w:noProof/>
                <w:sz w:val="24"/>
                <w:szCs w:val="24"/>
              </w:rPr>
              <w:fldChar w:fldCharType="end"/>
            </w:r>
          </w:hyperlink>
        </w:p>
        <w:p>
          <w:pPr>
            <w:pStyle w:val="11"/>
            <w:ind w:firstLine="0"/>
          </w:pPr>
          <w:r>
            <w:rPr>
              <w:sz w:val="24"/>
              <w:szCs w:val="24"/>
            </w:rPr>
            <w:fldChar w:fldCharType="end"/>
          </w:r>
        </w:p>
      </w:sdtContent>
    </w:sdt>
    <w:p>
      <w:pPr>
        <w:pStyle w:val="a0"/>
      </w:pPr>
      <w:r>
        <w:rPr>
          <w:rFonts w:hint="eastAsia"/>
        </w:rPr>
        <w:t>本报告以无锡金源半导体科技有限公司及其所处的半导体设备零部件与耗材环节为研究对象，数据截至2026年8月14日。</w:t>
      </w:r>
    </w:p>
    <w:p>
      <w:pPr>
        <w:pStyle w:val="2"/>
        <w:spacing w:before="156" w:after="156"/>
      </w:pPr>
      <w:bookmarkStart w:id="1000" w:name="_Toc900000"/>
      <w:r>
        <w:rPr>
          <w:rFonts w:hint="eastAsia"/>
          <w:b/>
        </w:rPr>
        <w:t>无锡金源公司与产品</w:t>
      </w:r>
      <w:bookmarkEnd w:id="1000"/>
    </w:p>
    <w:p>
      <w:pPr>
        <w:pStyle w:val="3"/>
        <w:numPr>
          <w:ilvl w:val="0"/>
          <w:numId w:val="0"/>
        </w:numPr>
        <w:spacing w:before="156" w:after="156"/>
      </w:pPr>
      <w:bookmarkStart w:id="1001" w:name="_Toc900001"/>
      <w:r>
        <w:rPr>
          <w:rFonts w:hint="eastAsia"/>
        </w:rPr>
        <w:t>1.1 公司概况</w:t>
      </w:r>
      <w:bookmarkEnd w:id="1001"/>
    </w:p>
    <w:p>
      <w:pPr>
        <w:pStyle w:val="a0"/>
      </w:pPr>
      <w:r>
        <w:rPr>
          <w:rFonts w:hint="eastAsia"/>
        </w:rPr>
        <w:t>无锡金源半导体科技有限公司成立于2019年3月15日，统一社会信用代码91320211MA1Y2PWY0J，注册地为无锡市滨湖区胡埭镇孟村路1号。法定代表人为刘亚，注册资本2,780.932万元、实缴资本2,730.932万元，登记状态为在业。按企业信用信息公示，公司2025年度参保人数121人，企业规模标注为中型，持有高新技术企业、科技型中小企业、专精特新中小企业与企业技术中心等资质。经营范围包含半导体器件专用设备制造与销售、密封件制造、特种陶瓷制品制造与销售、电子专用材料研发制造销售、金属制品研发与制造、阀门和旋塞研发制造销售等。工商查询平台将公司融资轮次标注为B轮。按行业媒体报道，本轮融资用于全氟密封圈、金属喷头等半导体设备关键配件的研发扩产与工艺优化；融资金额、投资方名单与特殊权利条款未见公开披露。</w:t>
      </w:r>
    </w:p>
    <w:p>
      <w:pPr>
        <w:pStyle w:val="3"/>
        <w:numPr>
          <w:ilvl w:val="0"/>
          <w:numId w:val="0"/>
        </w:numPr>
        <w:spacing w:before="156" w:after="156"/>
      </w:pPr>
      <w:bookmarkStart w:id="1002" w:name="_Toc900002"/>
      <w:r>
        <w:rPr>
          <w:rFonts w:hint="eastAsia"/>
        </w:rPr>
        <w:t>1.2 产品体系与对应的材料及工艺</w:t>
      </w:r>
      <w:bookmarkEnd w:id="1002"/>
    </w:p>
    <w:p>
      <w:pPr>
        <w:pStyle w:val="a0"/>
      </w:pPr>
      <w:r>
        <w:rPr>
          <w:rFonts w:hint="eastAsia"/>
        </w:rPr>
        <w:t>公司官网产品中心列示四条产品线。各产品的材料牌号与工艺路线未作公开披露，下表右两列为同类部件的通行做法，公司的实际选择需当面确认。</w:t>
      </w:r>
    </w:p>
    <w:p>
      <w:pPr>
        <w:keepNext/>
        <w:jc w:val="center"/>
      </w:pPr>
      <w:r>
        <w:rPr>
          <w:rFonts w:hint="eastAsia"/>
          <w:b/>
          <w:sz w:val="21"/>
        </w:rPr>
        <w:t>表1  无锡金源产品线与同类产品的材料及工艺</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45" w:type="pct"/>
            <w:tcBorders>
              <w:top w:val="single" w:sz="12" w:space="0" w:color="010000"/>
              <w:bottom w:val="single" w:sz="4" w:space="0" w:color="010000"/>
            </w:tcBorders>
            <w:vAlign w:val="center"/>
          </w:tcPr>
          <w:p>
            <w:pPr>
              <w:jc w:val="center"/>
            </w:pPr>
            <w:r/>
            <w:r>
              <w:rPr>
                <w:rFonts w:hint="eastAsia"/>
                <w:b/>
                <w:color w:val="000000"/>
                <w:sz w:val="21"/>
              </w:rPr>
              <w:t>产品线</w:t>
            </w:r>
          </w:p>
        </w:tc>
        <w:tc>
          <w:tcPr>
            <w:tcW w:w="1182" w:type="pct"/>
            <w:tcBorders>
              <w:top w:val="single" w:sz="12" w:space="0" w:color="010000"/>
              <w:bottom w:val="single" w:sz="4" w:space="0" w:color="010000"/>
            </w:tcBorders>
            <w:vAlign w:val="center"/>
          </w:tcPr>
          <w:p>
            <w:pPr>
              <w:jc w:val="center"/>
            </w:pPr>
            <w:r/>
            <w:r>
              <w:rPr>
                <w:rFonts w:hint="eastAsia"/>
                <w:b/>
                <w:color w:val="000000"/>
                <w:sz w:val="21"/>
              </w:rPr>
              <w:t>官网列示的型号或类别</w:t>
            </w:r>
          </w:p>
        </w:tc>
        <w:tc>
          <w:tcPr>
            <w:tcW w:w="1000" w:type="pct"/>
            <w:tcBorders>
              <w:top w:val="single" w:sz="12" w:space="0" w:color="010000"/>
              <w:bottom w:val="single" w:sz="4" w:space="0" w:color="010000"/>
            </w:tcBorders>
            <w:vAlign w:val="center"/>
          </w:tcPr>
          <w:p>
            <w:pPr>
              <w:jc w:val="center"/>
            </w:pPr>
            <w:r/>
            <w:r>
              <w:rPr>
                <w:rFonts w:hint="eastAsia"/>
                <w:b/>
                <w:color w:val="000000"/>
                <w:sz w:val="21"/>
              </w:rPr>
              <w:t>在设备中的功能</w:t>
            </w:r>
          </w:p>
        </w:tc>
        <w:tc>
          <w:tcPr>
            <w:tcW w:w="909" w:type="pct"/>
            <w:tcBorders>
              <w:top w:val="single" w:sz="12" w:space="0" w:color="010000"/>
              <w:bottom w:val="single" w:sz="4" w:space="0" w:color="010000"/>
            </w:tcBorders>
            <w:vAlign w:val="center"/>
          </w:tcPr>
          <w:p>
            <w:pPr>
              <w:jc w:val="center"/>
            </w:pPr>
            <w:r/>
            <w:r>
              <w:rPr>
                <w:rFonts w:hint="eastAsia"/>
                <w:b/>
                <w:color w:val="000000"/>
                <w:sz w:val="21"/>
              </w:rPr>
              <w:t>同类产品的常见材料</w:t>
            </w:r>
          </w:p>
        </w:tc>
        <w:tc>
          <w:tcPr>
            <w:tcW w:w="1364" w:type="pct"/>
            <w:tcBorders>
              <w:top w:val="single" w:sz="12" w:space="0" w:color="010000"/>
              <w:bottom w:val="single" w:sz="4" w:space="0" w:color="010000"/>
            </w:tcBorders>
            <w:vAlign w:val="center"/>
          </w:tcPr>
          <w:p>
            <w:pPr>
              <w:jc w:val="center"/>
            </w:pPr>
            <w:r/>
            <w:r>
              <w:rPr>
                <w:rFonts w:hint="eastAsia"/>
                <w:b/>
                <w:color w:val="000000"/>
                <w:sz w:val="21"/>
              </w:rPr>
              <w:t>同类产品的主要工艺</w:t>
            </w:r>
          </w:p>
        </w:tc>
      </w:tr>
      <w:tr>
        <w:trPr>
          <w:cantSplit/>
          <w:jc w:val="center"/>
        </w:trPr>
        <w:tc>
          <w:tcPr>
            <w:tcW w:w="545" w:type="pct"/>
            <w:tcBorders>
              <w:top w:val="single" w:sz="4" w:space="0" w:color="010000"/>
            </w:tcBorders>
            <w:vAlign w:val="center"/>
          </w:tcPr>
          <w:p>
            <w:pPr>
              <w:jc w:val="center"/>
            </w:pPr>
            <w:r/>
            <w:r>
              <w:rPr>
                <w:rFonts w:hint="eastAsia"/>
                <w:color w:val="000000"/>
                <w:sz w:val="21"/>
              </w:rPr>
              <w:t>精密气体喷头</w:t>
            </w:r>
          </w:p>
        </w:tc>
        <w:tc>
          <w:tcPr>
            <w:tcW w:w="1182" w:type="pct"/>
            <w:tcBorders>
              <w:top w:val="single" w:sz="4" w:space="0" w:color="010000"/>
            </w:tcBorders>
            <w:vAlign w:val="center"/>
          </w:tcPr>
          <w:p>
            <w:pPr>
              <w:jc w:val="left"/>
            </w:pPr>
            <w:r/>
            <w:r>
              <w:rPr>
                <w:rFonts w:hint="eastAsia"/>
                <w:color w:val="000000"/>
                <w:sz w:val="21"/>
              </w:rPr>
              <w:t>LAM AHM 300mm、LAM STRATA 300mm、LAM Q-STRATA 300mm</w:t>
            </w:r>
          </w:p>
        </w:tc>
        <w:tc>
          <w:tcPr>
            <w:tcW w:w="1000" w:type="pct"/>
            <w:tcBorders>
              <w:top w:val="single" w:sz="4" w:space="0" w:color="010000"/>
            </w:tcBorders>
            <w:vAlign w:val="center"/>
          </w:tcPr>
          <w:p>
            <w:pPr>
              <w:jc w:val="left"/>
            </w:pPr>
            <w:r/>
            <w:r>
              <w:rPr>
                <w:rFonts w:hint="eastAsia"/>
                <w:color w:val="000000"/>
                <w:sz w:val="21"/>
              </w:rPr>
              <w:t>工艺气体进入反应腔体的通道，控制气体分布均匀性</w:t>
            </w:r>
          </w:p>
        </w:tc>
        <w:tc>
          <w:tcPr>
            <w:tcW w:w="909" w:type="pct"/>
            <w:tcBorders>
              <w:top w:val="single" w:sz="4" w:space="0" w:color="010000"/>
            </w:tcBorders>
            <w:vAlign w:val="center"/>
          </w:tcPr>
          <w:p>
            <w:pPr>
              <w:jc w:val="left"/>
            </w:pPr>
            <w:r/>
            <w:r>
              <w:rPr>
                <w:rFonts w:hint="eastAsia"/>
                <w:color w:val="000000"/>
                <w:sz w:val="21"/>
              </w:rPr>
              <w:t>铝合金及其表面处理层；硅；碳化硅；石英</w:t>
            </w:r>
          </w:p>
        </w:tc>
        <w:tc>
          <w:tcPr>
            <w:tcW w:w="1364" w:type="pct"/>
            <w:tcBorders>
              <w:top w:val="single" w:sz="4" w:space="0" w:color="010000"/>
            </w:tcBorders>
            <w:vAlign w:val="center"/>
          </w:tcPr>
          <w:p>
            <w:pPr>
              <w:jc w:val="left"/>
            </w:pPr>
            <w:r/>
            <w:r>
              <w:rPr>
                <w:rFonts w:hint="eastAsia"/>
                <w:color w:val="000000"/>
                <w:sz w:val="21"/>
              </w:rPr>
              <w:t>精密机械加工与微孔加工；表面处理（阳极氧化、熔射涂层）；精密清洗</w:t>
            </w:r>
          </w:p>
        </w:tc>
      </w:tr>
      <w:tr>
        <w:trPr>
          <w:cantSplit/>
          <w:jc w:val="center"/>
        </w:trPr>
        <w:tc>
          <w:tcPr>
            <w:tcW w:w="545" w:type="pct"/>
            <w:tcBorders>
              <w:top w:val="single" w:sz="4" w:space="0" w:color="010000"/>
            </w:tcBorders>
            <w:vAlign w:val="center"/>
          </w:tcPr>
          <w:p>
            <w:pPr>
              <w:jc w:val="center"/>
            </w:pPr>
            <w:r/>
            <w:r>
              <w:rPr>
                <w:rFonts w:hint="eastAsia"/>
                <w:color w:val="000000"/>
                <w:sz w:val="21"/>
              </w:rPr>
              <w:t>加热盘</w:t>
            </w:r>
          </w:p>
        </w:tc>
        <w:tc>
          <w:tcPr>
            <w:tcW w:w="1182" w:type="pct"/>
            <w:tcBorders>
              <w:top w:val="single" w:sz="4" w:space="0" w:color="010000"/>
            </w:tcBorders>
            <w:vAlign w:val="center"/>
          </w:tcPr>
          <w:p>
            <w:pPr>
              <w:jc w:val="left"/>
            </w:pPr>
            <w:r/>
            <w:r>
              <w:rPr>
                <w:rFonts w:hint="eastAsia"/>
                <w:color w:val="000000"/>
                <w:sz w:val="21"/>
              </w:rPr>
              <w:t>该栏目未列示具体型号</w:t>
            </w:r>
          </w:p>
        </w:tc>
        <w:tc>
          <w:tcPr>
            <w:tcW w:w="1000" w:type="pct"/>
            <w:tcBorders>
              <w:top w:val="single" w:sz="4" w:space="0" w:color="010000"/>
            </w:tcBorders>
            <w:vAlign w:val="center"/>
          </w:tcPr>
          <w:p>
            <w:pPr>
              <w:jc w:val="left"/>
            </w:pPr>
            <w:r/>
            <w:r>
              <w:rPr>
                <w:rFonts w:hint="eastAsia"/>
                <w:color w:val="000000"/>
                <w:sz w:val="21"/>
              </w:rPr>
              <w:t>承载晶圆并控制温度均匀性与稳定性</w:t>
            </w:r>
          </w:p>
        </w:tc>
        <w:tc>
          <w:tcPr>
            <w:tcW w:w="909" w:type="pct"/>
            <w:tcBorders>
              <w:top w:val="single" w:sz="4" w:space="0" w:color="010000"/>
            </w:tcBorders>
            <w:vAlign w:val="center"/>
          </w:tcPr>
          <w:p>
            <w:pPr>
              <w:jc w:val="left"/>
            </w:pPr>
            <w:r/>
            <w:r>
              <w:rPr>
                <w:rFonts w:hint="eastAsia"/>
                <w:color w:val="000000"/>
                <w:sz w:val="21"/>
              </w:rPr>
              <w:t>氮化铝陶瓷；氧化铝陶瓷；铝合金</w:t>
            </w:r>
          </w:p>
        </w:tc>
        <w:tc>
          <w:tcPr>
            <w:tcW w:w="1364" w:type="pct"/>
            <w:tcBorders>
              <w:top w:val="single" w:sz="4" w:space="0" w:color="010000"/>
            </w:tcBorders>
            <w:vAlign w:val="center"/>
          </w:tcPr>
          <w:p>
            <w:pPr>
              <w:jc w:val="left"/>
            </w:pPr>
            <w:r/>
            <w:r>
              <w:rPr>
                <w:rFonts w:hint="eastAsia"/>
                <w:color w:val="000000"/>
                <w:sz w:val="21"/>
              </w:rPr>
              <w:t>陶瓷粉体成型与烧结；精密磨削；金属路线为机加工与焊接</w:t>
            </w:r>
          </w:p>
        </w:tc>
      </w:tr>
      <w:tr>
        <w:trPr>
          <w:cantSplit/>
          <w:jc w:val="center"/>
        </w:trPr>
        <w:tc>
          <w:tcPr>
            <w:tcW w:w="545" w:type="pct"/>
            <w:tcBorders>
              <w:top w:val="single" w:sz="4" w:space="0" w:color="010000"/>
            </w:tcBorders>
            <w:vAlign w:val="center"/>
          </w:tcPr>
          <w:p>
            <w:pPr>
              <w:jc w:val="center"/>
            </w:pPr>
            <w:r/>
            <w:r>
              <w:rPr>
                <w:rFonts w:hint="eastAsia"/>
                <w:color w:val="000000"/>
                <w:sz w:val="21"/>
              </w:rPr>
              <w:t>O型圈</w:t>
            </w:r>
          </w:p>
        </w:tc>
        <w:tc>
          <w:tcPr>
            <w:tcW w:w="1182" w:type="pct"/>
            <w:tcBorders>
              <w:top w:val="single" w:sz="4" w:space="0" w:color="010000"/>
            </w:tcBorders>
            <w:vAlign w:val="center"/>
          </w:tcPr>
          <w:p>
            <w:pPr>
              <w:jc w:val="left"/>
            </w:pPr>
            <w:r/>
            <w:r>
              <w:rPr>
                <w:rFonts w:hint="eastAsia"/>
                <w:color w:val="000000"/>
                <w:sz w:val="21"/>
              </w:rPr>
              <w:t>自有品牌CeaLution，型号包括F7068、F7072、F5076T、F7070、F5075、F9075等，产品外观颜色不同</w:t>
            </w:r>
          </w:p>
        </w:tc>
        <w:tc>
          <w:tcPr>
            <w:tcW w:w="1000" w:type="pct"/>
            <w:tcBorders>
              <w:top w:val="single" w:sz="4" w:space="0" w:color="010000"/>
            </w:tcBorders>
            <w:vAlign w:val="center"/>
          </w:tcPr>
          <w:p>
            <w:pPr>
              <w:jc w:val="left"/>
            </w:pPr>
            <w:r/>
            <w:r>
              <w:rPr>
                <w:rFonts w:hint="eastAsia"/>
                <w:color w:val="000000"/>
                <w:sz w:val="21"/>
              </w:rPr>
              <w:t>真空腔体密封</w:t>
            </w:r>
          </w:p>
        </w:tc>
        <w:tc>
          <w:tcPr>
            <w:tcW w:w="909" w:type="pct"/>
            <w:tcBorders>
              <w:top w:val="single" w:sz="4" w:space="0" w:color="010000"/>
            </w:tcBorders>
            <w:vAlign w:val="center"/>
          </w:tcPr>
          <w:p>
            <w:pPr>
              <w:jc w:val="left"/>
            </w:pPr>
            <w:r/>
            <w:r>
              <w:rPr>
                <w:rFonts w:hint="eastAsia"/>
                <w:color w:val="000000"/>
                <w:sz w:val="21"/>
              </w:rPr>
              <w:t>全氟醚橡胶（FFKM）等高分子材料</w:t>
            </w:r>
          </w:p>
        </w:tc>
        <w:tc>
          <w:tcPr>
            <w:tcW w:w="1364" w:type="pct"/>
            <w:tcBorders>
              <w:top w:val="single" w:sz="4" w:space="0" w:color="010000"/>
            </w:tcBorders>
            <w:vAlign w:val="center"/>
          </w:tcPr>
          <w:p>
            <w:pPr>
              <w:jc w:val="left"/>
            </w:pPr>
            <w:r/>
            <w:r>
              <w:rPr>
                <w:rFonts w:hint="eastAsia"/>
                <w:color w:val="000000"/>
                <w:sz w:val="21"/>
              </w:rPr>
              <w:t>胶料配方与混炼；模压成型与硫化；清洗与检测</w:t>
            </w:r>
          </w:p>
        </w:tc>
      </w:tr>
      <w:tr>
        <w:trPr>
          <w:cantSplit/>
          <w:jc w:val="center"/>
        </w:trPr>
        <w:tc>
          <w:tcPr>
            <w:tcW w:w="545" w:type="pct"/>
            <w:tcBorders>
              <w:top w:val="single" w:sz="4" w:space="0" w:color="010000"/>
            </w:tcBorders>
            <w:vAlign w:val="center"/>
          </w:tcPr>
          <w:p>
            <w:pPr>
              <w:jc w:val="center"/>
            </w:pPr>
            <w:r/>
            <w:r>
              <w:rPr>
                <w:rFonts w:hint="eastAsia"/>
                <w:color w:val="000000"/>
                <w:sz w:val="21"/>
              </w:rPr>
              <w:t>密封件门板</w:t>
            </w:r>
          </w:p>
        </w:tc>
        <w:tc>
          <w:tcPr>
            <w:tcW w:w="1182" w:type="pct"/>
            <w:tcBorders>
              <w:top w:val="single" w:sz="4" w:space="0" w:color="010000"/>
            </w:tcBorders>
            <w:vAlign w:val="center"/>
          </w:tcPr>
          <w:p>
            <w:pPr>
              <w:jc w:val="left"/>
            </w:pPr>
            <w:r/>
            <w:r>
              <w:rPr>
                <w:rFonts w:hint="eastAsia"/>
                <w:color w:val="000000"/>
                <w:sz w:val="21"/>
              </w:rPr>
              <w:t>方形门板、圆形门板</w:t>
            </w:r>
          </w:p>
        </w:tc>
        <w:tc>
          <w:tcPr>
            <w:tcW w:w="1000" w:type="pct"/>
            <w:tcBorders>
              <w:top w:val="single" w:sz="4" w:space="0" w:color="010000"/>
            </w:tcBorders>
            <w:vAlign w:val="center"/>
          </w:tcPr>
          <w:p>
            <w:pPr>
              <w:jc w:val="left"/>
            </w:pPr>
            <w:r/>
            <w:r>
              <w:rPr>
                <w:rFonts w:hint="eastAsia"/>
                <w:color w:val="000000"/>
                <w:sz w:val="21"/>
              </w:rPr>
              <w:t>腔体开合部位的密封与结构支撑</w:t>
            </w:r>
          </w:p>
        </w:tc>
        <w:tc>
          <w:tcPr>
            <w:tcW w:w="909" w:type="pct"/>
            <w:tcBorders>
              <w:top w:val="single" w:sz="4" w:space="0" w:color="010000"/>
            </w:tcBorders>
            <w:vAlign w:val="center"/>
          </w:tcPr>
          <w:p>
            <w:pPr>
              <w:jc w:val="left"/>
            </w:pPr>
            <w:r/>
            <w:r>
              <w:rPr>
                <w:rFonts w:hint="eastAsia"/>
                <w:color w:val="000000"/>
                <w:sz w:val="21"/>
              </w:rPr>
              <w:t>金属件与高分子密封件的组合</w:t>
            </w:r>
          </w:p>
        </w:tc>
        <w:tc>
          <w:tcPr>
            <w:tcW w:w="1364" w:type="pct"/>
            <w:tcBorders>
              <w:top w:val="single" w:sz="4" w:space="0" w:color="010000"/>
            </w:tcBorders>
            <w:vAlign w:val="center"/>
          </w:tcPr>
          <w:p>
            <w:pPr>
              <w:jc w:val="left"/>
            </w:pPr>
            <w:r/>
            <w:r>
              <w:rPr>
                <w:rFonts w:hint="eastAsia"/>
                <w:color w:val="000000"/>
                <w:sz w:val="21"/>
              </w:rPr>
              <w:t>机械加工、表面处理与密封件装配</w:t>
            </w:r>
          </w:p>
        </w:tc>
      </w:tr>
    </w:tbl>
    <w:p>
      <w:pPr>
        <w:pStyle w:val="a6"/>
        <w:jc w:val="center"/>
      </w:pPr>
      <w:r>
        <w:rPr>
          <w:rFonts w:hint="eastAsia"/>
          <w:sz w:val="11"/>
          <w:szCs w:val="11"/>
        </w:rPr>
        <w:t>资料来源：公司官网产品中心；托伦斯、臻宝科技招股说明书（注册稿），本报告整理。注：右两列为同类部件的通行材料与工艺，非公司披露信息，实际采用情况以当面确认为准。</w:t>
      </w:r>
    </w:p>
    <w:p>
      <w:pPr>
        <w:pStyle w:val="a0"/>
      </w:pPr>
      <w:r>
        <w:rPr>
          <w:rFonts w:hint="eastAsia"/>
        </w:rPr>
        <w:t>产品按客户机型命名。官网精密气体喷头栏目下的三个型号，标注的是设备厂商、平台名称与300mm制程，而非公司自定的规格编号，产品需与特定机型的既有部件在尺寸与接口上对应。公司的经营范围则同时覆盖金属与非金属两条材料路线，密封件制造、特种陶瓷制品制造与金属制品制造均在列。</w:t>
      </w:r>
    </w:p>
    <w:p>
      <w:pPr>
        <w:pStyle w:val="a0"/>
      </w:pPr>
      <w:r>
        <w:rPr>
          <w:rFonts w:hint="eastAsia"/>
        </w:rPr>
        <w:t>公开信息足以把气体喷头的技术路线收敛到金属一路，依据有三。一是机型。AHM、STRATA、Q-STRATA同属泛林VECTOR系列，该系列为等离子体增强化学气相沉积与原子层沉积平台，用于介质薄膜沉积，并非刻蚀平台；而硅与碳化硅材质的气体分配盘主要用在刻蚀设备上。二是材质表述。行业媒体报道公司本轮融资用于全氟密封圈、金属喷头等配件，直接以金属指称该产品。三是经营范围。其中列有金属制品研发与制造，未见硅、碳化硅等半导体材料加工的对应项。据此判断，公司的气体喷头为铝合金加表面处理的金属件，装配于薄膜沉积设备，而非刻蚀设备用的硅或碳化硅气体分配盘。材料牌号与表面处理工艺仍需当面确认。</w:t>
      </w:r>
    </w:p>
    <w:p>
      <w:pPr>
        <w:pStyle w:val="2"/>
        <w:spacing w:before="156" w:after="156"/>
      </w:pPr>
      <w:bookmarkStart w:id="1003" w:name="_Toc900003"/>
      <w:r>
        <w:rPr>
          <w:rFonts w:hint="eastAsia"/>
          <w:b/>
        </w:rPr>
        <w:t>所处环节与耗材属性</w:t>
      </w:r>
      <w:bookmarkEnd w:id="1003"/>
    </w:p>
    <w:p>
      <w:pPr>
        <w:pStyle w:val="3"/>
        <w:numPr>
          <w:ilvl w:val="0"/>
          <w:numId w:val="0"/>
        </w:numPr>
        <w:spacing w:before="156" w:after="156"/>
      </w:pPr>
      <w:bookmarkStart w:id="1004" w:name="_Toc900004"/>
      <w:r>
        <w:rPr>
          <w:rFonts w:hint="eastAsia"/>
        </w:rPr>
        <w:t>2.1 环节定位与零部件分类</w:t>
      </w:r>
      <w:bookmarkEnd w:id="1004"/>
    </w:p>
    <w:p>
      <w:pPr>
        <w:pStyle w:val="a0"/>
      </w:pPr>
      <w:r>
        <w:rPr>
          <w:rFonts w:hint="eastAsia"/>
        </w:rPr>
        <w:t>半导体设备零部件位于设备制造与晶圆制造之间，有两条采购路径：设备厂商采购用于整机装配，晶圆厂在设备运行中采购用于替换损耗件。在刻蚀机台与薄膜沉积机台的成本结构中，零部件占直接原材料的比重超过85%；结合设备毛利率折算，零部件通常占半导体设备价值量的50%。</w:t>
      </w:r>
    </w:p>
    <w:p>
      <w:pPr>
        <w:keepNext/>
        <w:jc w:val="center"/>
      </w:pPr>
      <w:r>
        <w:rPr>
          <w:rFonts w:hint="eastAsia"/>
          <w:b/>
          <w:sz w:val="21"/>
        </w:rPr>
        <w:t>表2  半导体设备零部件分类与无锡金源产品对应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800" w:type="pct"/>
            <w:tcBorders>
              <w:top w:val="single" w:sz="12" w:space="0" w:color="010000"/>
              <w:bottom w:val="single" w:sz="4" w:space="0" w:color="010000"/>
            </w:tcBorders>
            <w:vAlign w:val="center"/>
          </w:tcPr>
          <w:p>
            <w:pPr>
              <w:jc w:val="center"/>
            </w:pPr>
            <w:r/>
            <w:r>
              <w:rPr>
                <w:rFonts w:hint="eastAsia"/>
                <w:b/>
                <w:color w:val="000000"/>
                <w:sz w:val="21"/>
              </w:rPr>
              <w:t>分类</w:t>
            </w:r>
          </w:p>
        </w:tc>
        <w:tc>
          <w:tcPr>
            <w:tcW w:w="700" w:type="pct"/>
            <w:tcBorders>
              <w:top w:val="single" w:sz="12" w:space="0" w:color="010000"/>
              <w:bottom w:val="single" w:sz="4" w:space="0" w:color="010000"/>
            </w:tcBorders>
            <w:vAlign w:val="center"/>
          </w:tcPr>
          <w:p>
            <w:pPr>
              <w:jc w:val="center"/>
            </w:pPr>
            <w:r/>
            <w:r>
              <w:rPr>
                <w:rFonts w:hint="eastAsia"/>
                <w:b/>
                <w:color w:val="000000"/>
                <w:sz w:val="21"/>
              </w:rPr>
              <w:t>细分</w:t>
            </w:r>
          </w:p>
        </w:tc>
        <w:tc>
          <w:tcPr>
            <w:tcW w:w="2200" w:type="pct"/>
            <w:tcBorders>
              <w:top w:val="single" w:sz="12" w:space="0" w:color="010000"/>
              <w:bottom w:val="single" w:sz="4" w:space="0" w:color="010000"/>
            </w:tcBorders>
            <w:vAlign w:val="center"/>
          </w:tcPr>
          <w:p>
            <w:pPr>
              <w:jc w:val="center"/>
            </w:pPr>
            <w:r/>
            <w:r>
              <w:rPr>
                <w:rFonts w:hint="eastAsia"/>
                <w:b/>
                <w:color w:val="000000"/>
                <w:sz w:val="21"/>
              </w:rPr>
              <w:t>代表产品</w:t>
            </w:r>
          </w:p>
        </w:tc>
        <w:tc>
          <w:tcPr>
            <w:tcW w:w="1300" w:type="pct"/>
            <w:tcBorders>
              <w:top w:val="single" w:sz="12" w:space="0" w:color="010000"/>
              <w:bottom w:val="single" w:sz="4" w:space="0" w:color="010000"/>
            </w:tcBorders>
            <w:vAlign w:val="center"/>
          </w:tcPr>
          <w:p>
            <w:pPr>
              <w:jc w:val="center"/>
            </w:pPr>
            <w:r/>
            <w:r>
              <w:rPr>
                <w:rFonts w:hint="eastAsia"/>
                <w:b/>
                <w:color w:val="000000"/>
                <w:sz w:val="21"/>
              </w:rPr>
              <w:t>无锡金源对应产品</w:t>
            </w:r>
          </w:p>
        </w:tc>
      </w:tr>
      <w:tr>
        <w:trPr>
          <w:cantSplit/>
          <w:jc w:val="center"/>
        </w:trPr>
        <w:tc>
          <w:tcPr>
            <w:tcW w:w="800" w:type="pct"/>
            <w:tcBorders>
              <w:top w:val="single" w:sz="4" w:space="0" w:color="010000"/>
            </w:tcBorders>
            <w:vAlign w:val="center"/>
          </w:tcPr>
          <w:p>
            <w:pPr>
              <w:jc w:val="center"/>
            </w:pPr>
            <w:r/>
            <w:r>
              <w:rPr>
                <w:rFonts w:hint="eastAsia"/>
                <w:b/>
                <w:color w:val="000000"/>
                <w:sz w:val="21"/>
              </w:rPr>
              <w:t>机械类</w:t>
            </w:r>
          </w:p>
        </w:tc>
        <w:tc>
          <w:tcPr>
            <w:tcW w:w="700" w:type="pct"/>
            <w:tcBorders>
              <w:top w:val="single" w:sz="4" w:space="0" w:color="010000"/>
            </w:tcBorders>
            <w:vAlign w:val="center"/>
          </w:tcPr>
          <w:p>
            <w:pPr>
              <w:jc w:val="center"/>
            </w:pPr>
            <w:r/>
            <w:r>
              <w:rPr>
                <w:rFonts w:hint="eastAsia"/>
                <w:b/>
                <w:color w:val="000000"/>
                <w:sz w:val="21"/>
              </w:rPr>
              <w:t>金属工艺件</w:t>
            </w:r>
          </w:p>
        </w:tc>
        <w:tc>
          <w:tcPr>
            <w:tcW w:w="2200" w:type="pct"/>
            <w:tcBorders>
              <w:top w:val="single" w:sz="4" w:space="0" w:color="010000"/>
            </w:tcBorders>
            <w:vAlign w:val="center"/>
          </w:tcPr>
          <w:p>
            <w:pPr>
              <w:jc w:val="left"/>
            </w:pPr>
            <w:r/>
            <w:r>
              <w:rPr>
                <w:rFonts w:hint="eastAsia"/>
                <w:b/>
                <w:color w:val="000000"/>
                <w:sz w:val="21"/>
              </w:rPr>
              <w:t>反应腔、传输腔、过渡腔、金属上下部电极、金属壁板等</w:t>
            </w:r>
          </w:p>
        </w:tc>
        <w:tc>
          <w:tcPr>
            <w:tcW w:w="1300" w:type="pct"/>
            <w:tcBorders>
              <w:top w:val="single" w:sz="4" w:space="0" w:color="010000"/>
            </w:tcBorders>
            <w:vAlign w:val="center"/>
          </w:tcPr>
          <w:p>
            <w:pPr>
              <w:jc w:val="center"/>
            </w:pPr>
            <w:r/>
            <w:r>
              <w:rPr>
                <w:rFonts w:hint="eastAsia"/>
                <w:b/>
                <w:color w:val="000000"/>
                <w:sz w:val="21"/>
              </w:rPr>
              <w:t>精密气体喷头（金属路线）</w:t>
            </w:r>
          </w:p>
        </w:tc>
      </w:tr>
      <w:tr>
        <w:trPr>
          <w:cantSplit/>
          <w:jc w:val="center"/>
        </w:trPr>
        <w:tc>
          <w:tcPr>
            <w:tcW w:w="800" w:type="pct"/>
            <w:tcBorders>
              <w:top w:val="single" w:sz="4" w:space="0" w:color="010000"/>
            </w:tcBorders>
            <w:vAlign w:val="center"/>
          </w:tcPr>
          <w:p>
            <w:pPr>
              <w:jc w:val="center"/>
            </w:pPr>
            <w:r/>
            <w:r>
              <w:rPr>
                <w:rFonts w:hint="eastAsia"/>
                <w:b/>
                <w:color w:val="000000"/>
                <w:sz w:val="21"/>
              </w:rPr>
              <w:t>机械类</w:t>
            </w:r>
          </w:p>
        </w:tc>
        <w:tc>
          <w:tcPr>
            <w:tcW w:w="700" w:type="pct"/>
            <w:tcBorders>
              <w:top w:val="single" w:sz="4" w:space="0" w:color="010000"/>
            </w:tcBorders>
            <w:vAlign w:val="center"/>
          </w:tcPr>
          <w:p>
            <w:pPr>
              <w:jc w:val="center"/>
            </w:pPr>
            <w:r/>
            <w:r>
              <w:rPr>
                <w:rFonts w:hint="eastAsia"/>
                <w:b/>
                <w:color w:val="000000"/>
                <w:sz w:val="21"/>
              </w:rPr>
              <w:t>金属结构件</w:t>
            </w:r>
          </w:p>
        </w:tc>
        <w:tc>
          <w:tcPr>
            <w:tcW w:w="2200" w:type="pct"/>
            <w:tcBorders>
              <w:top w:val="single" w:sz="4" w:space="0" w:color="010000"/>
            </w:tcBorders>
            <w:vAlign w:val="center"/>
          </w:tcPr>
          <w:p>
            <w:pPr>
              <w:jc w:val="left"/>
            </w:pPr>
            <w:r/>
            <w:r>
              <w:rPr>
                <w:rFonts w:hint="eastAsia"/>
                <w:b/>
                <w:color w:val="000000"/>
                <w:sz w:val="21"/>
              </w:rPr>
              <w:t>托盘、底座、冷却板等</w:t>
            </w:r>
          </w:p>
        </w:tc>
        <w:tc>
          <w:tcPr>
            <w:tcW w:w="1300" w:type="pct"/>
            <w:tcBorders>
              <w:top w:val="single" w:sz="4" w:space="0" w:color="010000"/>
            </w:tcBorders>
            <w:vAlign w:val="center"/>
          </w:tcPr>
          <w:p>
            <w:pPr>
              <w:jc w:val="center"/>
            </w:pPr>
            <w:r/>
            <w:r>
              <w:rPr>
                <w:rFonts w:hint="eastAsia"/>
                <w:b/>
                <w:color w:val="000000"/>
                <w:sz w:val="21"/>
              </w:rPr>
              <w:t>密封件门板</w:t>
            </w:r>
          </w:p>
        </w:tc>
      </w:tr>
      <w:tr>
        <w:trPr>
          <w:cantSplit/>
          <w:jc w:val="center"/>
        </w:trPr>
        <w:tc>
          <w:tcPr>
            <w:tcW w:w="800" w:type="pct"/>
            <w:tcBorders>
              <w:top w:val="single" w:sz="4" w:space="0" w:color="010000"/>
            </w:tcBorders>
            <w:vAlign w:val="center"/>
          </w:tcPr>
          <w:p>
            <w:pPr>
              <w:jc w:val="center"/>
            </w:pPr>
            <w:r/>
            <w:r>
              <w:rPr>
                <w:rFonts w:hint="eastAsia"/>
                <w:b/>
                <w:color w:val="000000"/>
                <w:sz w:val="21"/>
              </w:rPr>
              <w:t>机械类</w:t>
            </w:r>
          </w:p>
        </w:tc>
        <w:tc>
          <w:tcPr>
            <w:tcW w:w="700" w:type="pct"/>
            <w:tcBorders>
              <w:top w:val="single" w:sz="4" w:space="0" w:color="010000"/>
            </w:tcBorders>
            <w:vAlign w:val="center"/>
          </w:tcPr>
          <w:p>
            <w:pPr>
              <w:jc w:val="center"/>
            </w:pPr>
            <w:r/>
            <w:r>
              <w:rPr>
                <w:rFonts w:hint="eastAsia"/>
                <w:b/>
                <w:color w:val="000000"/>
                <w:sz w:val="21"/>
              </w:rPr>
              <w:t>非金属机械件</w:t>
            </w:r>
          </w:p>
        </w:tc>
        <w:tc>
          <w:tcPr>
            <w:tcW w:w="2200" w:type="pct"/>
            <w:tcBorders>
              <w:top w:val="single" w:sz="4" w:space="0" w:color="010000"/>
            </w:tcBorders>
            <w:vAlign w:val="center"/>
          </w:tcPr>
          <w:p>
            <w:pPr>
              <w:jc w:val="left"/>
            </w:pPr>
            <w:r/>
            <w:r>
              <w:rPr>
                <w:rFonts w:hint="eastAsia"/>
                <w:b/>
                <w:color w:val="000000"/>
                <w:sz w:val="21"/>
              </w:rPr>
              <w:t>石英零部件、硅零部件、陶瓷零部件等</w:t>
            </w:r>
          </w:p>
        </w:tc>
        <w:tc>
          <w:tcPr>
            <w:tcW w:w="1300" w:type="pct"/>
            <w:tcBorders>
              <w:top w:val="single" w:sz="4" w:space="0" w:color="010000"/>
            </w:tcBorders>
            <w:vAlign w:val="center"/>
          </w:tcPr>
          <w:p>
            <w:pPr>
              <w:jc w:val="center"/>
            </w:pPr>
            <w:r/>
            <w:r>
              <w:rPr>
                <w:rFonts w:hint="eastAsia"/>
                <w:b/>
                <w:color w:val="000000"/>
                <w:sz w:val="21"/>
              </w:rPr>
              <w:t>精密气体喷头（非金属路线）、加热盘</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气体输送系统类</w:t>
            </w:r>
          </w:p>
        </w:tc>
        <w:tc>
          <w:tcPr>
            <w:tcW w:w="2200" w:type="pct"/>
            <w:tcBorders>
              <w:top w:val="single" w:sz="4" w:space="0" w:color="010000"/>
            </w:tcBorders>
            <w:vAlign w:val="center"/>
          </w:tcPr>
          <w:p>
            <w:pPr>
              <w:jc w:val="left"/>
            </w:pPr>
            <w:r/>
            <w:r>
              <w:rPr>
                <w:rFonts w:hint="eastAsia"/>
                <w:color w:val="000000"/>
                <w:sz w:val="21"/>
              </w:rPr>
              <w:t>气柜、气体管路等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真空系统类</w:t>
            </w:r>
          </w:p>
        </w:tc>
        <w:tc>
          <w:tcPr>
            <w:tcW w:w="2200" w:type="pct"/>
            <w:tcBorders>
              <w:top w:val="single" w:sz="4" w:space="0" w:color="010000"/>
            </w:tcBorders>
            <w:vAlign w:val="center"/>
          </w:tcPr>
          <w:p>
            <w:pPr>
              <w:jc w:val="left"/>
            </w:pPr>
            <w:r/>
            <w:r>
              <w:rPr>
                <w:rFonts w:hint="eastAsia"/>
                <w:color w:val="000000"/>
                <w:sz w:val="21"/>
              </w:rPr>
              <w:t>真空阀门、分子泵等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气动液压系统类</w:t>
            </w:r>
          </w:p>
        </w:tc>
        <w:tc>
          <w:tcPr>
            <w:tcW w:w="2200" w:type="pct"/>
            <w:tcBorders>
              <w:top w:val="single" w:sz="4" w:space="0" w:color="010000"/>
            </w:tcBorders>
            <w:vAlign w:val="center"/>
          </w:tcPr>
          <w:p>
            <w:pPr>
              <w:jc w:val="left"/>
            </w:pPr>
            <w:r/>
            <w:r>
              <w:rPr>
                <w:rFonts w:hint="eastAsia"/>
                <w:color w:val="000000"/>
                <w:sz w:val="21"/>
              </w:rPr>
              <w:t>阀门、过滤器、液体管路等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电气类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射频电源、射频匹配器、供电系统等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机电一体类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设备前端模块、机械手、腔体模组、阀体模组、温控系统等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仪器仪表类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气体流量计、真空压力计等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光学类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激光源、物镜等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b/>
                <w:color w:val="000000"/>
                <w:sz w:val="21"/>
              </w:rPr>
              <w:t>其他</w:t>
            </w:r>
          </w:p>
        </w:tc>
        <w:tc>
          <w:tcPr>
            <w:tcW w:w="700" w:type="pct"/>
            <w:tcBorders>
              <w:top w:val="single" w:sz="4" w:space="0" w:color="010000"/>
            </w:tcBorders>
            <w:vAlign w:val="center"/>
          </w:tcPr>
          <w:p>
            <w:pPr>
              <w:jc w:val="center"/>
            </w:pPr>
            <w:r/>
            <w:r>
              <w:rPr>
                <w:rFonts w:hint="eastAsia"/>
                <w:b/>
                <w:color w:val="000000"/>
                <w:sz w:val="21"/>
              </w:rPr>
              <w:t>—</w:t>
            </w:r>
          </w:p>
        </w:tc>
        <w:tc>
          <w:tcPr>
            <w:tcW w:w="2200" w:type="pct"/>
            <w:tcBorders>
              <w:top w:val="single" w:sz="4" w:space="0" w:color="010000"/>
            </w:tcBorders>
            <w:vAlign w:val="center"/>
          </w:tcPr>
          <w:p>
            <w:pPr>
              <w:jc w:val="left"/>
            </w:pPr>
            <w:r/>
            <w:r>
              <w:rPr>
                <w:rFonts w:hint="eastAsia"/>
                <w:b/>
                <w:color w:val="000000"/>
                <w:sz w:val="21"/>
              </w:rPr>
              <w:t>各类耗材等</w:t>
            </w:r>
          </w:p>
        </w:tc>
        <w:tc>
          <w:tcPr>
            <w:tcW w:w="1300" w:type="pct"/>
            <w:tcBorders>
              <w:top w:val="single" w:sz="4" w:space="0" w:color="010000"/>
            </w:tcBorders>
            <w:vAlign w:val="center"/>
          </w:tcPr>
          <w:p>
            <w:pPr>
              <w:jc w:val="center"/>
            </w:pPr>
            <w:r/>
            <w:r>
              <w:rPr>
                <w:rFonts w:hint="eastAsia"/>
                <w:b/>
                <w:color w:val="000000"/>
                <w:sz w:val="21"/>
              </w:rPr>
              <w:t>O型圈</w:t>
            </w:r>
          </w:p>
        </w:tc>
      </w:tr>
    </w:tbl>
    <w:p>
      <w:pPr>
        <w:pStyle w:val="a6"/>
        <w:jc w:val="center"/>
      </w:pPr>
      <w:r>
        <w:rPr>
          <w:rFonts w:hint="eastAsia"/>
          <w:sz w:val="11"/>
          <w:szCs w:val="11"/>
        </w:rPr>
        <w:t>资料来源：臻宝科技招股说明书（注册稿），本报告整理。注：分类与细分口径取自臻宝科技招股说明书；无锡金源对应产品一列系本报告按产品功能与材料属性归入——气体喷头按材料路线分列，本报告判断公司实际走金属路线，非金属一行一并列出以备核对；加热盘按陶瓷零部件归入非金属机械件，密封件门板按结构件归入金属结构件，O型圈按耗材归入其他类；标注为“—”者公司无对应产品。</w:t>
      </w:r>
    </w:p>
    <w:p>
      <w:pPr>
        <w:pStyle w:val="3"/>
        <w:numPr>
          <w:ilvl w:val="0"/>
          <w:numId w:val="0"/>
        </w:numPr>
        <w:spacing w:before="156" w:after="156"/>
      </w:pPr>
      <w:bookmarkStart w:id="1005" w:name="_Toc900005"/>
      <w:r>
        <w:rPr>
          <w:rFonts w:hint="eastAsia"/>
        </w:rPr>
        <w:t>2.2 耗材属性与更换周期</w:t>
      </w:r>
      <w:bookmarkEnd w:id="1005"/>
    </w:p>
    <w:p>
      <w:pPr>
        <w:keepNext/>
        <w:jc w:val="center"/>
      </w:pPr>
      <w:r>
        <w:rPr>
          <w:rFonts w:hint="eastAsia"/>
          <w:b/>
          <w:sz w:val="21"/>
        </w:rPr>
        <w:t>表3  零部件的更换属性与无锡金源产品对应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882" w:type="pct"/>
            <w:tcBorders>
              <w:top w:val="single" w:sz="12" w:space="0" w:color="010000"/>
              <w:bottom w:val="single" w:sz="4" w:space="0" w:color="010000"/>
            </w:tcBorders>
            <w:vAlign w:val="center"/>
          </w:tcPr>
          <w:p>
            <w:pPr>
              <w:jc w:val="center"/>
            </w:pPr>
            <w:r/>
            <w:r>
              <w:rPr>
                <w:rFonts w:hint="eastAsia"/>
                <w:b/>
                <w:color w:val="000000"/>
                <w:sz w:val="21"/>
              </w:rPr>
              <w:t>类别</w:t>
            </w:r>
          </w:p>
        </w:tc>
        <w:tc>
          <w:tcPr>
            <w:tcW w:w="1471" w:type="pct"/>
            <w:tcBorders>
              <w:top w:val="single" w:sz="12" w:space="0" w:color="010000"/>
              <w:bottom w:val="single" w:sz="4" w:space="0" w:color="010000"/>
            </w:tcBorders>
            <w:vAlign w:val="center"/>
          </w:tcPr>
          <w:p>
            <w:pPr>
              <w:jc w:val="center"/>
            </w:pPr>
            <w:r/>
            <w:r>
              <w:rPr>
                <w:rFonts w:hint="eastAsia"/>
                <w:b/>
                <w:color w:val="000000"/>
                <w:sz w:val="21"/>
              </w:rPr>
              <w:t>代表产品</w:t>
            </w:r>
          </w:p>
        </w:tc>
        <w:tc>
          <w:tcPr>
            <w:tcW w:w="1373" w:type="pct"/>
            <w:tcBorders>
              <w:top w:val="single" w:sz="12" w:space="0" w:color="010000"/>
              <w:bottom w:val="single" w:sz="4" w:space="0" w:color="010000"/>
            </w:tcBorders>
            <w:vAlign w:val="center"/>
          </w:tcPr>
          <w:p>
            <w:pPr>
              <w:jc w:val="center"/>
            </w:pPr>
            <w:r/>
            <w:r>
              <w:rPr>
                <w:rFonts w:hint="eastAsia"/>
                <w:b/>
                <w:color w:val="000000"/>
                <w:sz w:val="21"/>
              </w:rPr>
              <w:t>是否需定期更换</w:t>
            </w:r>
          </w:p>
        </w:tc>
        <w:tc>
          <w:tcPr>
            <w:tcW w:w="1275" w:type="pct"/>
            <w:tcBorders>
              <w:top w:val="single" w:sz="12" w:space="0" w:color="010000"/>
              <w:bottom w:val="single" w:sz="4" w:space="0" w:color="010000"/>
            </w:tcBorders>
            <w:vAlign w:val="center"/>
          </w:tcPr>
          <w:p>
            <w:pPr>
              <w:jc w:val="center"/>
            </w:pPr>
            <w:r/>
            <w:r>
              <w:rPr>
                <w:rFonts w:hint="eastAsia"/>
                <w:b/>
                <w:color w:val="000000"/>
                <w:sz w:val="21"/>
              </w:rPr>
              <w:t>无锡金源对应产品</w:t>
            </w:r>
          </w:p>
        </w:tc>
      </w:tr>
      <w:tr>
        <w:trPr>
          <w:cantSplit/>
          <w:jc w:val="center"/>
        </w:trPr>
        <w:tc>
          <w:tcPr>
            <w:tcW w:w="882" w:type="pct"/>
            <w:tcBorders>
              <w:top w:val="single" w:sz="4" w:space="0" w:color="010000"/>
            </w:tcBorders>
            <w:vAlign w:val="center"/>
          </w:tcPr>
          <w:p>
            <w:pPr>
              <w:jc w:val="center"/>
            </w:pPr>
            <w:r/>
            <w:r>
              <w:rPr>
                <w:rFonts w:hint="eastAsia"/>
                <w:b/>
                <w:color w:val="000000"/>
                <w:sz w:val="21"/>
              </w:rPr>
              <w:t>金属工艺零部件</w:t>
            </w:r>
          </w:p>
        </w:tc>
        <w:tc>
          <w:tcPr>
            <w:tcW w:w="1471" w:type="pct"/>
            <w:tcBorders>
              <w:top w:val="single" w:sz="4" w:space="0" w:color="010000"/>
            </w:tcBorders>
            <w:vAlign w:val="center"/>
          </w:tcPr>
          <w:p>
            <w:pPr>
              <w:jc w:val="left"/>
            </w:pPr>
            <w:r/>
            <w:r>
              <w:rPr>
                <w:rFonts w:hint="eastAsia"/>
                <w:b/>
                <w:color w:val="000000"/>
                <w:sz w:val="21"/>
              </w:rPr>
              <w:t>内衬、匀气盘、气体分布盘等</w:t>
            </w:r>
          </w:p>
        </w:tc>
        <w:tc>
          <w:tcPr>
            <w:tcW w:w="1373" w:type="pct"/>
            <w:tcBorders>
              <w:top w:val="single" w:sz="4" w:space="0" w:color="010000"/>
            </w:tcBorders>
            <w:vAlign w:val="center"/>
          </w:tcPr>
          <w:p>
            <w:pPr>
              <w:jc w:val="left"/>
            </w:pPr>
            <w:r/>
            <w:r>
              <w:rPr>
                <w:rFonts w:hint="eastAsia"/>
                <w:b/>
                <w:color w:val="000000"/>
                <w:sz w:val="21"/>
              </w:rPr>
              <w:t>需要，周期相对较长，可经表面处理后再次使用</w:t>
            </w:r>
          </w:p>
        </w:tc>
        <w:tc>
          <w:tcPr>
            <w:tcW w:w="1275" w:type="pct"/>
            <w:tcBorders>
              <w:top w:val="single" w:sz="4" w:space="0" w:color="010000"/>
            </w:tcBorders>
            <w:vAlign w:val="center"/>
          </w:tcPr>
          <w:p>
            <w:pPr>
              <w:jc w:val="center"/>
            </w:pPr>
            <w:r/>
            <w:r>
              <w:rPr>
                <w:rFonts w:hint="eastAsia"/>
                <w:b/>
                <w:color w:val="000000"/>
                <w:sz w:val="21"/>
              </w:rPr>
              <w:t>精密气体喷头（金属路线）</w:t>
            </w:r>
          </w:p>
        </w:tc>
      </w:tr>
      <w:tr>
        <w:trPr>
          <w:cantSplit/>
          <w:jc w:val="center"/>
        </w:trPr>
        <w:tc>
          <w:tcPr>
            <w:tcW w:w="882" w:type="pct"/>
            <w:tcBorders>
              <w:top w:val="single" w:sz="4" w:space="0" w:color="010000"/>
            </w:tcBorders>
            <w:vAlign w:val="center"/>
          </w:tcPr>
          <w:p>
            <w:pPr>
              <w:jc w:val="center"/>
            </w:pPr>
            <w:r/>
            <w:r>
              <w:rPr>
                <w:rFonts w:hint="eastAsia"/>
                <w:b/>
                <w:color w:val="000000"/>
                <w:sz w:val="21"/>
              </w:rPr>
              <w:t>金属结构零部件</w:t>
            </w:r>
          </w:p>
        </w:tc>
        <w:tc>
          <w:tcPr>
            <w:tcW w:w="1471" w:type="pct"/>
            <w:tcBorders>
              <w:top w:val="single" w:sz="4" w:space="0" w:color="010000"/>
            </w:tcBorders>
            <w:vAlign w:val="center"/>
          </w:tcPr>
          <w:p>
            <w:pPr>
              <w:jc w:val="left"/>
            </w:pPr>
            <w:r/>
            <w:r>
              <w:rPr>
                <w:rFonts w:hint="eastAsia"/>
                <w:b/>
                <w:color w:val="000000"/>
                <w:sz w:val="21"/>
              </w:rPr>
              <w:t>托盘、底座、冷却板、腔体、法兰等</w:t>
            </w:r>
          </w:p>
        </w:tc>
        <w:tc>
          <w:tcPr>
            <w:tcW w:w="1373" w:type="pct"/>
            <w:tcBorders>
              <w:top w:val="single" w:sz="4" w:space="0" w:color="010000"/>
            </w:tcBorders>
            <w:vAlign w:val="center"/>
          </w:tcPr>
          <w:p>
            <w:pPr>
              <w:jc w:val="left"/>
            </w:pPr>
            <w:r/>
            <w:r>
              <w:rPr>
                <w:rFonts w:hint="eastAsia"/>
                <w:b/>
                <w:color w:val="000000"/>
                <w:sz w:val="21"/>
              </w:rPr>
              <w:t>否，伴随设备生命周期</w:t>
            </w:r>
          </w:p>
        </w:tc>
        <w:tc>
          <w:tcPr>
            <w:tcW w:w="1275" w:type="pct"/>
            <w:tcBorders>
              <w:top w:val="single" w:sz="4" w:space="0" w:color="010000"/>
            </w:tcBorders>
            <w:vAlign w:val="center"/>
          </w:tcPr>
          <w:p>
            <w:pPr>
              <w:jc w:val="center"/>
            </w:pPr>
            <w:r/>
            <w:r>
              <w:rPr>
                <w:rFonts w:hint="eastAsia"/>
                <w:b/>
                <w:color w:val="000000"/>
                <w:sz w:val="21"/>
              </w:rPr>
              <w:t>密封件门板（门板本体）</w:t>
            </w:r>
          </w:p>
        </w:tc>
      </w:tr>
      <w:tr>
        <w:trPr>
          <w:cantSplit/>
          <w:jc w:val="center"/>
        </w:trPr>
        <w:tc>
          <w:tcPr>
            <w:tcW w:w="882" w:type="pct"/>
            <w:tcBorders>
              <w:top w:val="single" w:sz="4" w:space="0" w:color="010000"/>
            </w:tcBorders>
            <w:vAlign w:val="center"/>
          </w:tcPr>
          <w:p>
            <w:pPr>
              <w:jc w:val="center"/>
            </w:pPr>
            <w:r/>
            <w:r>
              <w:rPr>
                <w:rFonts w:hint="eastAsia"/>
                <w:b/>
                <w:color w:val="000000"/>
                <w:sz w:val="21"/>
              </w:rPr>
              <w:t>硅、石英、碳化硅零部件</w:t>
            </w:r>
          </w:p>
        </w:tc>
        <w:tc>
          <w:tcPr>
            <w:tcW w:w="1471" w:type="pct"/>
            <w:tcBorders>
              <w:top w:val="single" w:sz="4" w:space="0" w:color="010000"/>
            </w:tcBorders>
            <w:vAlign w:val="center"/>
          </w:tcPr>
          <w:p>
            <w:pPr>
              <w:jc w:val="left"/>
            </w:pPr>
            <w:r/>
            <w:r>
              <w:rPr>
                <w:rFonts w:hint="eastAsia"/>
                <w:b/>
                <w:color w:val="000000"/>
                <w:sz w:val="21"/>
              </w:rPr>
              <w:t>硅电极、聚焦环、石英舟、碳化硅气体分配盘等</w:t>
            </w:r>
          </w:p>
        </w:tc>
        <w:tc>
          <w:tcPr>
            <w:tcW w:w="1373" w:type="pct"/>
            <w:tcBorders>
              <w:top w:val="single" w:sz="4" w:space="0" w:color="010000"/>
            </w:tcBorders>
            <w:vAlign w:val="center"/>
          </w:tcPr>
          <w:p>
            <w:pPr>
              <w:jc w:val="left"/>
            </w:pPr>
            <w:r/>
            <w:r>
              <w:rPr>
                <w:rFonts w:hint="eastAsia"/>
                <w:b/>
                <w:color w:val="000000"/>
                <w:sz w:val="21"/>
              </w:rPr>
              <w:t>需要，刻蚀设备中用量大、更换周期较短</w:t>
            </w:r>
          </w:p>
        </w:tc>
        <w:tc>
          <w:tcPr>
            <w:tcW w:w="1275" w:type="pct"/>
            <w:tcBorders>
              <w:top w:val="single" w:sz="4" w:space="0" w:color="010000"/>
            </w:tcBorders>
            <w:vAlign w:val="center"/>
          </w:tcPr>
          <w:p>
            <w:pPr>
              <w:jc w:val="center"/>
            </w:pPr>
            <w:r/>
            <w:r>
              <w:rPr>
                <w:rFonts w:hint="eastAsia"/>
                <w:b/>
                <w:color w:val="000000"/>
                <w:sz w:val="21"/>
              </w:rPr>
              <w:t>精密气体喷头（非金属路线）</w:t>
            </w:r>
          </w:p>
        </w:tc>
      </w:tr>
      <w:tr>
        <w:trPr>
          <w:cantSplit/>
          <w:jc w:val="center"/>
        </w:trPr>
        <w:tc>
          <w:tcPr>
            <w:tcW w:w="882" w:type="pct"/>
            <w:tcBorders>
              <w:top w:val="single" w:sz="4" w:space="0" w:color="010000"/>
            </w:tcBorders>
            <w:vAlign w:val="center"/>
          </w:tcPr>
          <w:p>
            <w:pPr>
              <w:jc w:val="center"/>
            </w:pPr>
            <w:r/>
            <w:r>
              <w:rPr>
                <w:rFonts w:hint="eastAsia"/>
                <w:b/>
                <w:color w:val="000000"/>
                <w:sz w:val="21"/>
              </w:rPr>
              <w:t>陶瓷零部件</w:t>
            </w:r>
          </w:p>
        </w:tc>
        <w:tc>
          <w:tcPr>
            <w:tcW w:w="1471" w:type="pct"/>
            <w:tcBorders>
              <w:top w:val="single" w:sz="4" w:space="0" w:color="010000"/>
            </w:tcBorders>
            <w:vAlign w:val="center"/>
          </w:tcPr>
          <w:p>
            <w:pPr>
              <w:jc w:val="left"/>
            </w:pPr>
            <w:r/>
            <w:r>
              <w:rPr>
                <w:rFonts w:hint="eastAsia"/>
                <w:b/>
                <w:color w:val="000000"/>
                <w:sz w:val="21"/>
              </w:rPr>
              <w:t>陶瓷加热器、陶瓷筒、陶瓷板等</w:t>
            </w:r>
          </w:p>
        </w:tc>
        <w:tc>
          <w:tcPr>
            <w:tcW w:w="1373" w:type="pct"/>
            <w:tcBorders>
              <w:top w:val="single" w:sz="4" w:space="0" w:color="010000"/>
            </w:tcBorders>
            <w:vAlign w:val="center"/>
          </w:tcPr>
          <w:p>
            <w:pPr>
              <w:jc w:val="left"/>
            </w:pPr>
            <w:r/>
            <w:r>
              <w:rPr>
                <w:rFonts w:hint="eastAsia"/>
                <w:b/>
                <w:color w:val="000000"/>
                <w:sz w:val="21"/>
              </w:rPr>
              <w:t>需要，约1至3年更换一次</w:t>
            </w:r>
          </w:p>
        </w:tc>
        <w:tc>
          <w:tcPr>
            <w:tcW w:w="1275" w:type="pct"/>
            <w:tcBorders>
              <w:top w:val="single" w:sz="4" w:space="0" w:color="010000"/>
            </w:tcBorders>
            <w:vAlign w:val="center"/>
          </w:tcPr>
          <w:p>
            <w:pPr>
              <w:jc w:val="center"/>
            </w:pPr>
            <w:r/>
            <w:r>
              <w:rPr>
                <w:rFonts w:hint="eastAsia"/>
                <w:b/>
                <w:color w:val="000000"/>
                <w:sz w:val="21"/>
              </w:rPr>
              <w:t>加热盘（陶瓷路线）</w:t>
            </w:r>
          </w:p>
        </w:tc>
      </w:tr>
      <w:tr>
        <w:trPr>
          <w:cantSplit/>
          <w:jc w:val="center"/>
        </w:trPr>
        <w:tc>
          <w:tcPr>
            <w:tcW w:w="882" w:type="pct"/>
            <w:tcBorders>
              <w:top w:val="single" w:sz="4" w:space="0" w:color="010000"/>
            </w:tcBorders>
            <w:vAlign w:val="center"/>
          </w:tcPr>
          <w:p>
            <w:pPr>
              <w:jc w:val="center"/>
            </w:pPr>
            <w:r/>
            <w:r>
              <w:rPr>
                <w:rFonts w:hint="eastAsia"/>
                <w:b/>
                <w:color w:val="000000"/>
                <w:sz w:val="21"/>
              </w:rPr>
              <w:t>密封件</w:t>
            </w:r>
          </w:p>
        </w:tc>
        <w:tc>
          <w:tcPr>
            <w:tcW w:w="1471" w:type="pct"/>
            <w:tcBorders>
              <w:top w:val="single" w:sz="4" w:space="0" w:color="010000"/>
            </w:tcBorders>
            <w:vAlign w:val="center"/>
          </w:tcPr>
          <w:p>
            <w:pPr>
              <w:jc w:val="left"/>
            </w:pPr>
            <w:r/>
            <w:r>
              <w:rPr>
                <w:rFonts w:hint="eastAsia"/>
                <w:b/>
                <w:color w:val="000000"/>
                <w:sz w:val="21"/>
              </w:rPr>
              <w:t>O型圈、密封垫等</w:t>
            </w:r>
          </w:p>
        </w:tc>
        <w:tc>
          <w:tcPr>
            <w:tcW w:w="1373" w:type="pct"/>
            <w:tcBorders>
              <w:top w:val="single" w:sz="4" w:space="0" w:color="010000"/>
            </w:tcBorders>
            <w:vAlign w:val="center"/>
          </w:tcPr>
          <w:p>
            <w:pPr>
              <w:jc w:val="left"/>
            </w:pPr>
            <w:r/>
            <w:r>
              <w:rPr>
                <w:rFonts w:hint="eastAsia"/>
                <w:b/>
                <w:color w:val="000000"/>
                <w:sz w:val="21"/>
              </w:rPr>
              <w:t>需要，随腔体开合与工艺环境损耗</w:t>
            </w:r>
          </w:p>
        </w:tc>
        <w:tc>
          <w:tcPr>
            <w:tcW w:w="1275" w:type="pct"/>
            <w:tcBorders>
              <w:top w:val="single" w:sz="4" w:space="0" w:color="010000"/>
            </w:tcBorders>
            <w:vAlign w:val="center"/>
          </w:tcPr>
          <w:p>
            <w:pPr>
              <w:jc w:val="center"/>
            </w:pPr>
            <w:r/>
            <w:r>
              <w:rPr>
                <w:rFonts w:hint="eastAsia"/>
                <w:b/>
                <w:color w:val="000000"/>
                <w:sz w:val="21"/>
              </w:rPr>
              <w:t>O型圈、门板上的密封件</w:t>
            </w:r>
          </w:p>
        </w:tc>
      </w:tr>
    </w:tbl>
    <w:p>
      <w:pPr>
        <w:pStyle w:val="a6"/>
        <w:jc w:val="center"/>
      </w:pPr>
      <w:r>
        <w:rPr>
          <w:rFonts w:hint="eastAsia"/>
          <w:sz w:val="11"/>
          <w:szCs w:val="11"/>
        </w:rPr>
        <w:t>资料来源：臻宝科技招股说明书（注册稿），本报告整理。注：末列系本报告按产品功能与材料属性归入，气体喷头按两条材料路线分列，本报告判断公司实际走金属路线。密封件门板由金属门板本体与其上的密封件组成，本体属结构件、密封件属耗材，两者更换属性不同，公司的实际供货形态为整体供货还是仅供密封件未见公开披露。密封件一行的更换属性未见独立的公开统计，按其在真空腔体中的损耗特征归入耗材。</w:t>
      </w:r>
    </w:p>
    <w:p>
      <w:pPr>
        <w:pStyle w:val="a0"/>
      </w:pPr>
      <w:r>
        <w:rPr>
          <w:rFonts w:hint="eastAsia"/>
        </w:rPr>
        <w:t>无锡金源的四条产品线中，精密气体喷头、加热盘与O型圈均落在需定期更换的品类，收入形态以重复性替换为主；密封件门板的门板本体属结构件，随设备生命周期，其上的密封件属耗材。</w:t>
      </w:r>
    </w:p>
    <w:p>
      <w:pPr>
        <w:pStyle w:val="a0"/>
      </w:pPr>
      <w:r>
        <w:rPr>
          <w:rFonts w:hint="eastAsia"/>
        </w:rPr>
        <w:t>其中精密气体喷头有两种供货方式。一是作为新件交付。二是把损耗后的旧件经表面处理修复，重新投用。后者降低的是客户的单位使用成本，而不是一次采购价。对公司而言，收入也由一次性交易转为随设备运行持续发生。同一品类内，能不能提供修复再用，是供应商之间的主要差别。无锡金源的气体喷头两种方式都做。</w:t>
      </w:r>
    </w:p>
    <w:p>
      <w:pPr>
        <w:pStyle w:val="2"/>
        <w:spacing w:before="156" w:after="156"/>
      </w:pPr>
      <w:bookmarkStart w:id="1006" w:name="_Toc900006"/>
      <w:r>
        <w:rPr>
          <w:rFonts w:hint="eastAsia"/>
          <w:b/>
        </w:rPr>
        <w:t>上游材料与中游制造</w:t>
      </w:r>
      <w:bookmarkEnd w:id="1006"/>
    </w:p>
    <w:p>
      <w:pPr>
        <w:pStyle w:val="3"/>
        <w:numPr>
          <w:ilvl w:val="0"/>
          <w:numId w:val="0"/>
        </w:numPr>
        <w:spacing w:before="156" w:after="156"/>
      </w:pPr>
      <w:bookmarkStart w:id="1007" w:name="_Toc900007"/>
      <w:r>
        <w:rPr>
          <w:rFonts w:hint="eastAsia"/>
        </w:rPr>
        <w:t>3.1 上游：材料与技术难点</w:t>
      </w:r>
      <w:bookmarkEnd w:id="1007"/>
    </w:p>
    <w:p>
      <w:pPr>
        <w:pStyle w:val="a0"/>
      </w:pPr>
      <w:r>
        <w:rPr>
          <w:rFonts w:hint="eastAsia"/>
        </w:rPr>
        <w:t>硅与碳化硅零部件用于刻蚀设备，用量大、更换周期短；石英零部件用于刻蚀与炉管设备；氧化铝与氮化铝陶瓷用于加热与绝缘部件；全氟醚橡胶等高分子材料用于真空密封件。材料的选择同时决定了零部件的耐受性能与加工工艺路线。</w:t>
      </w:r>
    </w:p>
    <w:p>
      <w:pPr>
        <w:keepNext/>
        <w:jc w:val="center"/>
      </w:pPr>
      <w:r>
        <w:rPr>
          <w:rFonts w:hint="eastAsia"/>
          <w:b/>
          <w:sz w:val="21"/>
        </w:rPr>
        <w:t>表4  各类零部件按材质划分的技术难点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78" w:type="pct"/>
            <w:tcBorders>
              <w:top w:val="single" w:sz="12" w:space="0" w:color="010000"/>
              <w:bottom w:val="single" w:sz="4" w:space="0" w:color="010000"/>
            </w:tcBorders>
            <w:vAlign w:val="center"/>
          </w:tcPr>
          <w:p>
            <w:pPr>
              <w:jc w:val="center"/>
            </w:pPr>
            <w:r/>
            <w:r>
              <w:rPr>
                <w:rFonts w:hint="eastAsia"/>
                <w:b/>
                <w:color w:val="000000"/>
                <w:sz w:val="21"/>
              </w:rPr>
              <w:t>材料</w:t>
            </w:r>
          </w:p>
        </w:tc>
        <w:tc>
          <w:tcPr>
            <w:tcW w:w="2889" w:type="pct"/>
            <w:tcBorders>
              <w:top w:val="single" w:sz="12" w:space="0" w:color="010000"/>
              <w:bottom w:val="single" w:sz="4" w:space="0" w:color="010000"/>
            </w:tcBorders>
            <w:vAlign w:val="center"/>
          </w:tcPr>
          <w:p>
            <w:pPr>
              <w:jc w:val="center"/>
            </w:pPr>
            <w:r/>
            <w:r>
              <w:rPr>
                <w:rFonts w:hint="eastAsia"/>
                <w:b/>
                <w:color w:val="000000"/>
                <w:sz w:val="21"/>
              </w:rPr>
              <w:t>技术难点</w:t>
            </w:r>
          </w:p>
        </w:tc>
        <w:tc>
          <w:tcPr>
            <w:tcW w:w="1333" w:type="pct"/>
            <w:tcBorders>
              <w:top w:val="single" w:sz="12" w:space="0" w:color="010000"/>
              <w:bottom w:val="single" w:sz="4" w:space="0" w:color="010000"/>
            </w:tcBorders>
            <w:vAlign w:val="center"/>
          </w:tcPr>
          <w:p>
            <w:pPr>
              <w:jc w:val="center"/>
            </w:pPr>
            <w:r/>
            <w:r>
              <w:rPr>
                <w:rFonts w:hint="eastAsia"/>
                <w:b/>
                <w:color w:val="000000"/>
                <w:sz w:val="21"/>
              </w:rPr>
              <w:t>对应无锡金源产品</w:t>
            </w:r>
          </w:p>
        </w:tc>
      </w:tr>
      <w:tr>
        <w:trPr>
          <w:cantSplit/>
          <w:jc w:val="center"/>
        </w:trPr>
        <w:tc>
          <w:tcPr>
            <w:tcW w:w="778" w:type="pct"/>
            <w:tcBorders>
              <w:top w:val="single" w:sz="4" w:space="0" w:color="010000"/>
            </w:tcBorders>
            <w:vAlign w:val="center"/>
          </w:tcPr>
          <w:p>
            <w:pPr>
              <w:jc w:val="center"/>
            </w:pPr>
            <w:r/>
            <w:r>
              <w:rPr>
                <w:rFonts w:hint="eastAsia"/>
                <w:b/>
                <w:color w:val="000000"/>
                <w:sz w:val="21"/>
              </w:rPr>
              <w:t>金属件</w:t>
            </w:r>
          </w:p>
        </w:tc>
        <w:tc>
          <w:tcPr>
            <w:tcW w:w="2889" w:type="pct"/>
            <w:tcBorders>
              <w:top w:val="single" w:sz="4" w:space="0" w:color="010000"/>
            </w:tcBorders>
            <w:vAlign w:val="center"/>
          </w:tcPr>
          <w:p>
            <w:pPr>
              <w:jc w:val="left"/>
            </w:pPr>
            <w:r/>
            <w:r>
              <w:rPr>
                <w:rFonts w:hint="eastAsia"/>
                <w:b/>
                <w:color w:val="000000"/>
                <w:sz w:val="21"/>
              </w:rPr>
              <w:t>能承受较大机械应力和负载，难点集中在加工精度、分析检测、焊接及表面处理，需满足零部件物理结构及洁净度的极高要求</w:t>
            </w:r>
          </w:p>
        </w:tc>
        <w:tc>
          <w:tcPr>
            <w:tcW w:w="1333" w:type="pct"/>
            <w:tcBorders>
              <w:top w:val="single" w:sz="4" w:space="0" w:color="010000"/>
            </w:tcBorders>
            <w:vAlign w:val="center"/>
          </w:tcPr>
          <w:p>
            <w:pPr>
              <w:jc w:val="left"/>
            </w:pPr>
            <w:r/>
            <w:r>
              <w:rPr>
                <w:rFonts w:hint="eastAsia"/>
                <w:b/>
                <w:color w:val="000000"/>
                <w:sz w:val="21"/>
              </w:rPr>
              <w:t>精密气体喷头（金属路线）、密封件门板</w:t>
            </w:r>
          </w:p>
        </w:tc>
      </w:tr>
      <w:tr>
        <w:trPr>
          <w:cantSplit/>
          <w:jc w:val="center"/>
        </w:trPr>
        <w:tc>
          <w:tcPr>
            <w:tcW w:w="778" w:type="pct"/>
            <w:tcBorders>
              <w:top w:val="single" w:sz="4" w:space="0" w:color="010000"/>
            </w:tcBorders>
            <w:vAlign w:val="center"/>
          </w:tcPr>
          <w:p>
            <w:pPr>
              <w:jc w:val="center"/>
            </w:pPr>
            <w:r/>
            <w:r>
              <w:rPr>
                <w:rFonts w:hint="eastAsia"/>
                <w:b/>
                <w:color w:val="000000"/>
                <w:sz w:val="21"/>
              </w:rPr>
              <w:t>硅／碳化硅件</w:t>
            </w:r>
          </w:p>
        </w:tc>
        <w:tc>
          <w:tcPr>
            <w:tcW w:w="2889" w:type="pct"/>
            <w:tcBorders>
              <w:top w:val="single" w:sz="4" w:space="0" w:color="010000"/>
            </w:tcBorders>
            <w:vAlign w:val="center"/>
          </w:tcPr>
          <w:p>
            <w:pPr>
              <w:jc w:val="left"/>
            </w:pPr>
            <w:r/>
            <w:r>
              <w:rPr>
                <w:rFonts w:hint="eastAsia"/>
                <w:b/>
                <w:color w:val="000000"/>
                <w:sz w:val="21"/>
              </w:rPr>
              <w:t>原物料、加工工艺和精度均存在难点，需克服原材料脆性特点并实现高精度和复杂的制造</w:t>
            </w:r>
          </w:p>
        </w:tc>
        <w:tc>
          <w:tcPr>
            <w:tcW w:w="1333" w:type="pct"/>
            <w:tcBorders>
              <w:top w:val="single" w:sz="4" w:space="0" w:color="010000"/>
            </w:tcBorders>
            <w:vAlign w:val="center"/>
          </w:tcPr>
          <w:p>
            <w:pPr>
              <w:jc w:val="left"/>
            </w:pPr>
            <w:r/>
            <w:r>
              <w:rPr>
                <w:rFonts w:hint="eastAsia"/>
                <w:b/>
                <w:color w:val="000000"/>
                <w:sz w:val="21"/>
              </w:rPr>
              <w:t>精密气体喷头（非金属路线）</w:t>
            </w:r>
          </w:p>
        </w:tc>
      </w:tr>
      <w:tr>
        <w:trPr>
          <w:cantSplit/>
          <w:jc w:val="center"/>
        </w:trPr>
        <w:tc>
          <w:tcPr>
            <w:tcW w:w="778" w:type="pct"/>
            <w:tcBorders>
              <w:top w:val="single" w:sz="4" w:space="0" w:color="010000"/>
            </w:tcBorders>
            <w:vAlign w:val="center"/>
          </w:tcPr>
          <w:p>
            <w:pPr>
              <w:jc w:val="center"/>
            </w:pPr>
            <w:r/>
            <w:r>
              <w:rPr>
                <w:rFonts w:hint="eastAsia"/>
                <w:color w:val="000000"/>
                <w:sz w:val="21"/>
              </w:rPr>
              <w:t>石英件</w:t>
            </w:r>
          </w:p>
        </w:tc>
        <w:tc>
          <w:tcPr>
            <w:tcW w:w="2889" w:type="pct"/>
            <w:tcBorders>
              <w:top w:val="single" w:sz="4" w:space="0" w:color="010000"/>
            </w:tcBorders>
            <w:vAlign w:val="center"/>
          </w:tcPr>
          <w:p>
            <w:pPr>
              <w:jc w:val="left"/>
            </w:pPr>
            <w:r/>
            <w:r>
              <w:rPr>
                <w:rFonts w:hint="eastAsia"/>
                <w:color w:val="000000"/>
                <w:sz w:val="21"/>
              </w:rPr>
              <w:t>纯度、加工精度存在难点，杂质含量、原材料匹配性、表面颗粒质量、应力质量、加工精度均为关键因素</w:t>
            </w:r>
          </w:p>
        </w:tc>
        <w:tc>
          <w:tcPr>
            <w:tcW w:w="1333" w:type="pct"/>
            <w:tcBorders>
              <w:top w:val="single" w:sz="4" w:space="0" w:color="010000"/>
            </w:tcBorders>
            <w:vAlign w:val="center"/>
          </w:tcPr>
          <w:p>
            <w:pPr>
              <w:jc w:val="left"/>
            </w:pPr>
            <w:r/>
            <w:r>
              <w:rPr>
                <w:rFonts w:hint="eastAsia"/>
                <w:color w:val="000000"/>
                <w:sz w:val="21"/>
              </w:rPr>
              <w:t>—</w:t>
            </w:r>
          </w:p>
        </w:tc>
      </w:tr>
      <w:tr>
        <w:trPr>
          <w:cantSplit/>
          <w:jc w:val="center"/>
        </w:trPr>
        <w:tc>
          <w:tcPr>
            <w:tcW w:w="778" w:type="pct"/>
            <w:tcBorders>
              <w:top w:val="single" w:sz="4" w:space="0" w:color="010000"/>
            </w:tcBorders>
            <w:vAlign w:val="center"/>
          </w:tcPr>
          <w:p>
            <w:pPr>
              <w:jc w:val="center"/>
            </w:pPr>
            <w:r/>
            <w:r>
              <w:rPr>
                <w:rFonts w:hint="eastAsia"/>
                <w:b/>
                <w:color w:val="000000"/>
                <w:sz w:val="21"/>
              </w:rPr>
              <w:t>陶瓷件</w:t>
            </w:r>
          </w:p>
        </w:tc>
        <w:tc>
          <w:tcPr>
            <w:tcW w:w="2889" w:type="pct"/>
            <w:tcBorders>
              <w:top w:val="single" w:sz="4" w:space="0" w:color="010000"/>
            </w:tcBorders>
            <w:vAlign w:val="center"/>
          </w:tcPr>
          <w:p>
            <w:pPr>
              <w:jc w:val="left"/>
            </w:pPr>
            <w:r/>
            <w:r>
              <w:rPr>
                <w:rFonts w:hint="eastAsia"/>
                <w:b/>
                <w:color w:val="000000"/>
                <w:sz w:val="21"/>
              </w:rPr>
              <w:t>对陶瓷原材料纯度要求高，需克服原材料脆性特点并实现高精度和复杂的制造</w:t>
            </w:r>
          </w:p>
        </w:tc>
        <w:tc>
          <w:tcPr>
            <w:tcW w:w="1333" w:type="pct"/>
            <w:tcBorders>
              <w:top w:val="single" w:sz="4" w:space="0" w:color="010000"/>
            </w:tcBorders>
            <w:vAlign w:val="center"/>
          </w:tcPr>
          <w:p>
            <w:pPr>
              <w:jc w:val="left"/>
            </w:pPr>
            <w:r/>
            <w:r>
              <w:rPr>
                <w:rFonts w:hint="eastAsia"/>
                <w:b/>
                <w:color w:val="000000"/>
                <w:sz w:val="21"/>
              </w:rPr>
              <w:t>加热盘（陶瓷路线）</w:t>
            </w:r>
          </w:p>
        </w:tc>
      </w:tr>
      <w:tr>
        <w:trPr>
          <w:cantSplit/>
          <w:jc w:val="center"/>
        </w:trPr>
        <w:tc>
          <w:tcPr>
            <w:tcW w:w="778" w:type="pct"/>
            <w:tcBorders>
              <w:top w:val="single" w:sz="4" w:space="0" w:color="010000"/>
            </w:tcBorders>
            <w:vAlign w:val="center"/>
          </w:tcPr>
          <w:p>
            <w:pPr>
              <w:jc w:val="center"/>
            </w:pPr>
            <w:r/>
            <w:r>
              <w:rPr>
                <w:rFonts w:hint="eastAsia"/>
                <w:b/>
                <w:color w:val="000000"/>
                <w:sz w:val="21"/>
              </w:rPr>
              <w:t>密封件</w:t>
            </w:r>
          </w:p>
        </w:tc>
        <w:tc>
          <w:tcPr>
            <w:tcW w:w="2889" w:type="pct"/>
            <w:tcBorders>
              <w:top w:val="single" w:sz="4" w:space="0" w:color="010000"/>
            </w:tcBorders>
            <w:vAlign w:val="center"/>
          </w:tcPr>
          <w:p>
            <w:pPr>
              <w:jc w:val="left"/>
            </w:pPr>
            <w:r/>
            <w:r>
              <w:rPr>
                <w:rFonts w:hint="eastAsia"/>
                <w:b/>
                <w:color w:val="000000"/>
                <w:sz w:val="21"/>
              </w:rPr>
              <w:t>材料需做成分分析与掺杂；耐化性上要应对腐蚀性气体、化学品与臭氧等离子体，并耐高温与机械摩擦；形状特殊，模具加工难度较大</w:t>
            </w:r>
          </w:p>
        </w:tc>
        <w:tc>
          <w:tcPr>
            <w:tcW w:w="1333" w:type="pct"/>
            <w:tcBorders>
              <w:top w:val="single" w:sz="4" w:space="0" w:color="010000"/>
            </w:tcBorders>
            <w:vAlign w:val="center"/>
          </w:tcPr>
          <w:p>
            <w:pPr>
              <w:jc w:val="left"/>
            </w:pPr>
            <w:r/>
            <w:r>
              <w:rPr>
                <w:rFonts w:hint="eastAsia"/>
                <w:b/>
                <w:color w:val="000000"/>
                <w:sz w:val="21"/>
              </w:rPr>
              <w:t>O型圈、门板上的密封件</w:t>
            </w:r>
          </w:p>
        </w:tc>
      </w:tr>
    </w:tbl>
    <w:p>
      <w:pPr>
        <w:pStyle w:val="a6"/>
        <w:jc w:val="center"/>
      </w:pPr>
      <w:r>
        <w:rPr>
          <w:rFonts w:hint="eastAsia"/>
          <w:sz w:val="11"/>
          <w:szCs w:val="11"/>
        </w:rPr>
        <w:t>资料来源：托伦斯招股说明书（注册稿）；先锋精科招股说明书（注册稿），本报告整理。注：气体喷头按两条材料路线分列，本报告判断公司实际走金属路线。密封件一行取自先锋精科招股说明书列示的CIC数据，其余四行取自托伦斯招股说明书；末列系本报告按材料属性对应，公司实际采用的材料以当面确认为准。</w:t>
      </w:r>
    </w:p>
    <w:p>
      <w:pPr>
        <w:pStyle w:val="a0"/>
      </w:pPr>
      <w:r>
        <w:rPr>
          <w:rFonts w:hint="eastAsia"/>
        </w:rPr>
        <w:t>非金属零部件的原材料多通过委托加工定制与成品采购取得，主要供应商为境外企业且多数规模较小。这类材料既无市场公开报价，也无可比公司披露的同类采购价格可供对照，采购价格是否公允难以直接验证。</w:t>
      </w:r>
    </w:p>
    <w:p>
      <w:pPr>
        <w:pStyle w:val="a0"/>
      </w:pPr>
      <w:r>
        <w:rPr>
          <w:rFonts w:hint="eastAsia"/>
        </w:rPr>
        <w:t>无锡金源的三条主力产品线分属不同材料，上游的约束因此是分开的。加热盘受制于氮化铝粉体，O型圈受制于全氟醚胶料，气体喷头按本报告的判断走金属路线，受制于铝材与表面处理。三者的原材料端，竞争格局与国产化程度差别很大。</w:t>
      </w:r>
    </w:p>
    <w:p>
      <w:pPr>
        <w:pStyle w:val="a0"/>
      </w:pPr>
      <w:r>
        <w:rPr>
          <w:rFonts w:hint="eastAsia"/>
        </w:rPr>
        <w:t>氮化铝粉体这一端正在快速国产化。珂玛科技披露，我国先进陶瓷产业起步较晚，缺乏陶瓷粉料的一流国产供应商，氧化铝、氮化铝粉末终端需向日本、欧洲厂商采购。但其自身的采购结构变化很快：氮化铝原粉来自境外终端的比例由2021年的91.86%降至2022年的80.70%、2023年的29.33%，境内生产商相应升至70.67%。同期氧化铝原粉仍有99.998%来自境外终端，氧化钇熔射粉为95.79%。也就是说，陶瓷粉体整体仍靠进口，但氮化铝这一种已在三年内完成大部分切换，对应到加热盘，原料的可获得性风险低于其他陶瓷件。</w:t>
      </w:r>
    </w:p>
    <w:p>
      <w:pPr>
        <w:pStyle w:val="a0"/>
      </w:pPr>
      <w:r>
        <w:rPr>
          <w:rFonts w:hint="eastAsia"/>
        </w:rPr>
        <w:t>全氟醚胶料这一端仍是境外主导，但国内已出现成规模的下游供应商。芯密科技以半导体级全氟醚橡胶密封圈为主业，客户覆盖中国大陆前十大晶圆制造厂商中的九家、前五大半导体设备厂商中的四家，目前在科创板在审。其刻蚀用密封圈2022至2024年的毛利率为58.70%、61.72%、65.54%，高于本报告所列五家零部件可比公司的任何一家。这个位置能拿到这样的毛利率，说明门槛不在成型，而在胶料配方与验证。胶料自制还是外购，决定无锡金源在这条线上处在什么位置。</w:t>
      </w:r>
    </w:p>
    <w:p>
      <w:pPr>
        <w:pStyle w:val="a0"/>
      </w:pPr>
      <w:r>
        <w:rPr>
          <w:rFonts w:hint="eastAsia"/>
        </w:rPr>
        <w:t>铝材这一端门槛最低，原料本身不构成约束，差距体现在阳极氧化、熔射涂层等表面处理工艺上。三条线合起来看，公司在上游的真实风险集中在全氟醚胶料，氮化铝次之，铝材基本不构成风险。各类原料是自制还是外购，直接决定成本结构与单一供应商依赖程度。</w:t>
      </w:r>
    </w:p>
    <w:p>
      <w:pPr>
        <w:pStyle w:val="3"/>
        <w:numPr>
          <w:ilvl w:val="0"/>
          <w:numId w:val="0"/>
        </w:numPr>
        <w:spacing w:before="156" w:after="156"/>
      </w:pPr>
      <w:bookmarkStart w:id="1008" w:name="_Toc900008"/>
      <w:r>
        <w:rPr>
          <w:rFonts w:hint="eastAsia"/>
        </w:rPr>
        <w:t>3.2 中游：零部件制造与表面处理</w:t>
      </w:r>
      <w:bookmarkEnd w:id="1008"/>
    </w:p>
    <w:p>
      <w:pPr>
        <w:pStyle w:val="a0"/>
      </w:pPr>
      <w:r>
        <w:rPr>
          <w:rFonts w:hint="eastAsia"/>
        </w:rPr>
        <w:t>零部件制造的核心工艺有三类：精密机械加工、焊接、表面处理。产品的特点是精度高、批量小、多品种、尺寸特殊，一件产品往往要同时满足强度、抗腐蚀、电子特性、电磁特性、材料纯度等多项要求。</w:t>
      </w:r>
    </w:p>
    <w:p>
      <w:pPr>
        <w:pStyle w:val="a0"/>
      </w:pPr>
      <w:r>
        <w:rPr>
          <w:rFonts w:hint="eastAsia"/>
        </w:rPr>
        <w:t>表面处理既是制造环节，也可作为独立服务提供。零部件在使用中受污染与损耗后，通过熔射再生、阳极氧化、精密清洗等工艺可恢复性能并再次投入使用，形成再生服务市场。再生服务的可得性影响零部件的实际更换频次，进而影响耗材类产品的重复采购量。</w:t>
      </w:r>
    </w:p>
    <w:p>
      <w:pPr>
        <w:pStyle w:val="a0"/>
      </w:pPr>
      <w:r>
        <w:rPr>
          <w:rFonts w:hint="eastAsia"/>
        </w:rPr>
        <w:t>无锡金源在中游的位置，取决于它做到哪一段。只做制造，就是按图交付的零件供应商，收入随客户的采购批次波动。制造与表面处理都做，才能同时承接新件供货与后续修复，在客户端形成连续的服务关系。公司的气体喷头与门板都要经过表面处理，这一段的自制比例，是判断其生态位的关键。</w:t>
      </w:r>
    </w:p>
    <w:p>
      <w:pPr>
        <w:pStyle w:val="3"/>
        <w:numPr>
          <w:ilvl w:val="0"/>
          <w:numId w:val="0"/>
        </w:numPr>
        <w:spacing w:before="156" w:after="156"/>
      </w:pPr>
      <w:bookmarkStart w:id="1009" w:name="_Toc900009"/>
      <w:r>
        <w:rPr>
          <w:rFonts w:hint="eastAsia"/>
        </w:rPr>
        <w:t>3.3 下游客户结构</w:t>
      </w:r>
      <w:bookmarkEnd w:id="1009"/>
    </w:p>
    <w:p>
      <w:pPr>
        <w:pStyle w:val="a0"/>
      </w:pPr>
      <w:r>
        <w:rPr>
          <w:rFonts w:hint="eastAsia"/>
        </w:rPr>
        <w:t>下游环节的需求相对稳定。零部件厂商的客户分两类。一类以设备厂商为主，富创精密、先锋精科、珂玛科技、托伦斯的客户集中于北方华创、中微公司、拓荆科技等设备厂商；一类以晶圆厂为主，臻宝科技的客户为集成电路制造厂商与显示面板厂商。两类的订单节奏不同：前者跟随设备厂的出货与资本开支，后者跟随晶圆厂的产能利用率与工艺运行时长。无锡金源属于哪一类，尚不能判定。</w:t>
      </w:r>
    </w:p>
    <w:p>
      <w:pPr>
        <w:pStyle w:val="2"/>
        <w:spacing w:before="156" w:after="156"/>
      </w:pPr>
      <w:bookmarkStart w:id="1010" w:name="_Toc900010"/>
      <w:r>
        <w:rPr>
          <w:rFonts w:hint="eastAsia"/>
          <w:b/>
        </w:rPr>
        <w:t>市场规模与国产化进度</w:t>
      </w:r>
      <w:bookmarkEnd w:id="1010"/>
    </w:p>
    <w:p>
      <w:pPr>
        <w:pStyle w:val="3"/>
        <w:numPr>
          <w:ilvl w:val="0"/>
          <w:numId w:val="0"/>
        </w:numPr>
        <w:spacing w:before="156" w:after="156"/>
      </w:pPr>
      <w:bookmarkStart w:id="1011" w:name="_Toc900011"/>
      <w:r>
        <w:rPr>
          <w:rFonts w:hint="eastAsia"/>
        </w:rPr>
        <w:t>4.1 零部件环节的规模与结构</w:t>
      </w:r>
      <w:bookmarkEnd w:id="1011"/>
    </w:p>
    <w:p>
      <w:pPr>
        <w:pStyle w:val="a0"/>
      </w:pPr>
      <w:r>
        <w:rPr>
          <w:rFonts w:hint="eastAsia"/>
        </w:rPr>
        <w:t>2024年国内晶圆厂的半导体设备零部件采购额合计177.2亿元，其中向零部件厂商直接采购126.6亿元、占比71.4%；按弗若斯特沙利文预测，到2029年直接采购占比将升至80.3%、采购额达291.8亿元。</w:t>
      </w:r>
    </w:p>
    <w:p>
      <w:pPr>
        <w:keepNext/>
        <w:jc w:val="center"/>
      </w:pPr>
      <w:r>
        <w:rPr>
          <w:rFonts w:hint="eastAsia"/>
          <w:b/>
          <w:sz w:val="21"/>
        </w:rPr>
        <w:t>表5  中国晶圆厂零部件采购额及向零部件厂商直接采购情况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38" w:type="pct"/>
            <w:tcBorders>
              <w:top w:val="single" w:sz="12" w:space="0" w:color="010000"/>
              <w:bottom w:val="single" w:sz="4" w:space="0" w:color="010000"/>
            </w:tcBorders>
            <w:vAlign w:val="center"/>
          </w:tcPr>
          <w:p>
            <w:pPr>
              <w:jc w:val="center"/>
            </w:pPr>
            <w:r/>
            <w:r>
              <w:rPr>
                <w:rFonts w:hint="eastAsia"/>
                <w:b/>
                <w:color w:val="000000"/>
                <w:sz w:val="21"/>
              </w:rPr>
              <w:t>品类</w:t>
            </w:r>
          </w:p>
        </w:tc>
        <w:tc>
          <w:tcPr>
            <w:tcW w:w="1038" w:type="pct"/>
            <w:tcBorders>
              <w:top w:val="single" w:sz="12" w:space="0" w:color="010000"/>
              <w:bottom w:val="single" w:sz="4" w:space="0" w:color="010000"/>
            </w:tcBorders>
            <w:vAlign w:val="center"/>
          </w:tcPr>
          <w:p>
            <w:pPr>
              <w:jc w:val="center"/>
            </w:pPr>
            <w:r/>
            <w:r>
              <w:rPr>
                <w:rFonts w:hint="eastAsia"/>
                <w:b/>
                <w:color w:val="000000"/>
                <w:sz w:val="21"/>
              </w:rPr>
              <w:t>2024年晶圆厂采购额（亿元）</w:t>
            </w:r>
          </w:p>
        </w:tc>
        <w:tc>
          <w:tcPr>
            <w:tcW w:w="1038" w:type="pct"/>
            <w:tcBorders>
              <w:top w:val="single" w:sz="12" w:space="0" w:color="010000"/>
              <w:bottom w:val="single" w:sz="4" w:space="0" w:color="010000"/>
            </w:tcBorders>
            <w:vAlign w:val="center"/>
          </w:tcPr>
          <w:p>
            <w:pPr>
              <w:jc w:val="center"/>
            </w:pPr>
            <w:r/>
            <w:r>
              <w:rPr>
                <w:rFonts w:hint="eastAsia"/>
                <w:b/>
                <w:color w:val="000000"/>
                <w:sz w:val="21"/>
              </w:rPr>
              <w:t>2024年直接采购额（亿元）</w:t>
            </w:r>
          </w:p>
        </w:tc>
        <w:tc>
          <w:tcPr>
            <w:tcW w:w="849" w:type="pct"/>
            <w:tcBorders>
              <w:top w:val="single" w:sz="12" w:space="0" w:color="010000"/>
              <w:bottom w:val="single" w:sz="4" w:space="0" w:color="010000"/>
            </w:tcBorders>
            <w:vAlign w:val="center"/>
          </w:tcPr>
          <w:p>
            <w:pPr>
              <w:jc w:val="center"/>
            </w:pPr>
            <w:r/>
            <w:r>
              <w:rPr>
                <w:rFonts w:hint="eastAsia"/>
                <w:b/>
                <w:color w:val="000000"/>
                <w:sz w:val="21"/>
              </w:rPr>
              <w:t>2024年直接采购占比（%）</w:t>
            </w:r>
          </w:p>
        </w:tc>
        <w:tc>
          <w:tcPr>
            <w:tcW w:w="1038" w:type="pct"/>
            <w:tcBorders>
              <w:top w:val="single" w:sz="12" w:space="0" w:color="010000"/>
              <w:bottom w:val="single" w:sz="4" w:space="0" w:color="010000"/>
            </w:tcBorders>
            <w:vAlign w:val="center"/>
          </w:tcPr>
          <w:p>
            <w:pPr>
              <w:jc w:val="center"/>
            </w:pPr>
            <w:r/>
            <w:r>
              <w:rPr>
                <w:rFonts w:hint="eastAsia"/>
                <w:b/>
                <w:color w:val="000000"/>
                <w:sz w:val="21"/>
              </w:rPr>
              <w:t>2029年预测直接采购额（亿元）</w:t>
            </w:r>
          </w:p>
        </w:tc>
      </w:tr>
      <w:tr>
        <w:trPr>
          <w:cantSplit/>
          <w:jc w:val="center"/>
        </w:trPr>
        <w:tc>
          <w:tcPr>
            <w:tcW w:w="1038" w:type="pct"/>
            <w:tcBorders>
              <w:top w:val="single" w:sz="4" w:space="0" w:color="010000"/>
            </w:tcBorders>
            <w:vAlign w:val="center"/>
          </w:tcPr>
          <w:p>
            <w:pPr>
              <w:jc w:val="left"/>
            </w:pPr>
            <w:r/>
            <w:r>
              <w:rPr>
                <w:rFonts w:hint="eastAsia"/>
                <w:color w:val="000000"/>
                <w:sz w:val="21"/>
              </w:rPr>
              <w:t>零部件整体</w:t>
            </w:r>
          </w:p>
        </w:tc>
        <w:tc>
          <w:tcPr>
            <w:tcW w:w="1038" w:type="pct"/>
            <w:tcBorders>
              <w:top w:val="single" w:sz="4" w:space="0" w:color="010000"/>
            </w:tcBorders>
            <w:vAlign w:val="center"/>
          </w:tcPr>
          <w:p>
            <w:pPr>
              <w:jc w:val="right"/>
            </w:pPr>
            <w:r/>
            <w:r>
              <w:rPr>
                <w:rFonts w:hint="eastAsia"/>
                <w:color w:val="000000"/>
                <w:sz w:val="21"/>
              </w:rPr>
              <w:t>177.2</w:t>
            </w:r>
          </w:p>
        </w:tc>
        <w:tc>
          <w:tcPr>
            <w:tcW w:w="1038" w:type="pct"/>
            <w:tcBorders>
              <w:top w:val="single" w:sz="4" w:space="0" w:color="010000"/>
            </w:tcBorders>
            <w:vAlign w:val="center"/>
          </w:tcPr>
          <w:p>
            <w:pPr>
              <w:jc w:val="right"/>
            </w:pPr>
            <w:r/>
            <w:r>
              <w:rPr>
                <w:rFonts w:hint="eastAsia"/>
                <w:color w:val="000000"/>
                <w:sz w:val="21"/>
              </w:rPr>
              <w:t>126.6</w:t>
            </w:r>
          </w:p>
        </w:tc>
        <w:tc>
          <w:tcPr>
            <w:tcW w:w="849" w:type="pct"/>
            <w:tcBorders>
              <w:top w:val="single" w:sz="4" w:space="0" w:color="010000"/>
            </w:tcBorders>
            <w:vAlign w:val="center"/>
          </w:tcPr>
          <w:p>
            <w:pPr>
              <w:jc w:val="right"/>
            </w:pPr>
            <w:r/>
            <w:r>
              <w:rPr>
                <w:rFonts w:hint="eastAsia"/>
                <w:color w:val="000000"/>
                <w:sz w:val="21"/>
              </w:rPr>
              <w:t>71.4</w:t>
            </w:r>
          </w:p>
        </w:tc>
        <w:tc>
          <w:tcPr>
            <w:tcW w:w="1038" w:type="pct"/>
            <w:tcBorders>
              <w:top w:val="single" w:sz="4" w:space="0" w:color="010000"/>
            </w:tcBorders>
            <w:vAlign w:val="center"/>
          </w:tcPr>
          <w:p>
            <w:pPr>
              <w:jc w:val="right"/>
            </w:pPr>
            <w:r/>
            <w:r>
              <w:rPr>
                <w:rFonts w:hint="eastAsia"/>
                <w:color w:val="000000"/>
                <w:sz w:val="21"/>
              </w:rPr>
              <w:t>291.8</w:t>
            </w:r>
          </w:p>
        </w:tc>
      </w:tr>
      <w:tr>
        <w:trPr>
          <w:cantSplit/>
          <w:jc w:val="center"/>
        </w:trPr>
        <w:tc>
          <w:tcPr>
            <w:tcW w:w="1038" w:type="pct"/>
            <w:tcBorders>
              <w:top w:val="single" w:sz="4" w:space="0" w:color="010000"/>
            </w:tcBorders>
            <w:vAlign w:val="center"/>
          </w:tcPr>
          <w:p>
            <w:pPr>
              <w:jc w:val="left"/>
            </w:pPr>
            <w:r/>
            <w:r>
              <w:rPr>
                <w:rFonts w:hint="eastAsia"/>
                <w:color w:val="000000"/>
                <w:sz w:val="21"/>
              </w:rPr>
              <w:t>其中：非金属零部件</w:t>
            </w:r>
          </w:p>
        </w:tc>
        <w:tc>
          <w:tcPr>
            <w:tcW w:w="1038" w:type="pct"/>
            <w:tcBorders>
              <w:top w:val="single" w:sz="4" w:space="0" w:color="010000"/>
            </w:tcBorders>
            <w:vAlign w:val="center"/>
          </w:tcPr>
          <w:p>
            <w:pPr>
              <w:jc w:val="right"/>
            </w:pPr>
            <w:r/>
            <w:r>
              <w:rPr>
                <w:rFonts w:hint="eastAsia"/>
                <w:color w:val="000000"/>
                <w:sz w:val="21"/>
              </w:rPr>
              <w:t>113.5</w:t>
            </w:r>
          </w:p>
        </w:tc>
        <w:tc>
          <w:tcPr>
            <w:tcW w:w="1038" w:type="pct"/>
            <w:tcBorders>
              <w:top w:val="single" w:sz="4" w:space="0" w:color="010000"/>
            </w:tcBorders>
            <w:vAlign w:val="center"/>
          </w:tcPr>
          <w:p>
            <w:pPr>
              <w:jc w:val="right"/>
            </w:pPr>
            <w:r/>
            <w:r>
              <w:rPr>
                <w:rFonts w:hint="eastAsia"/>
                <w:color w:val="000000"/>
                <w:sz w:val="21"/>
              </w:rPr>
              <w:t>80.4</w:t>
            </w:r>
          </w:p>
        </w:tc>
        <w:tc>
          <w:tcPr>
            <w:tcW w:w="849" w:type="pct"/>
            <w:tcBorders>
              <w:top w:val="single" w:sz="4" w:space="0" w:color="010000"/>
            </w:tcBorders>
            <w:vAlign w:val="center"/>
          </w:tcPr>
          <w:p>
            <w:pPr>
              <w:jc w:val="right"/>
            </w:pPr>
            <w:r/>
            <w:r>
              <w:rPr>
                <w:rFonts w:hint="eastAsia"/>
                <w:color w:val="000000"/>
                <w:sz w:val="21"/>
              </w:rPr>
              <w:t>70.8</w:t>
            </w:r>
          </w:p>
        </w:tc>
        <w:tc>
          <w:tcPr>
            <w:tcW w:w="1038" w:type="pct"/>
            <w:tcBorders>
              <w:top w:val="single" w:sz="4" w:space="0" w:color="010000"/>
            </w:tcBorders>
            <w:vAlign w:val="center"/>
          </w:tcPr>
          <w:p>
            <w:pPr>
              <w:jc w:val="right"/>
            </w:pPr>
            <w:r/>
            <w:r>
              <w:rPr>
                <w:rFonts w:hint="eastAsia"/>
                <w:color w:val="000000"/>
                <w:sz w:val="21"/>
              </w:rPr>
              <w:t>212.0</w:t>
            </w:r>
          </w:p>
        </w:tc>
      </w:tr>
      <w:tr>
        <w:trPr>
          <w:cantSplit/>
          <w:jc w:val="center"/>
        </w:trPr>
        <w:tc>
          <w:tcPr>
            <w:tcW w:w="1038" w:type="pct"/>
            <w:tcBorders>
              <w:top w:val="single" w:sz="4" w:space="0" w:color="010000"/>
            </w:tcBorders>
            <w:vAlign w:val="center"/>
          </w:tcPr>
          <w:p>
            <w:pPr>
              <w:jc w:val="left"/>
            </w:pPr>
            <w:r/>
            <w:r>
              <w:rPr>
                <w:rFonts w:hint="eastAsia"/>
                <w:color w:val="000000"/>
                <w:sz w:val="21"/>
              </w:rPr>
              <w:t>硅零部件</w:t>
            </w:r>
          </w:p>
        </w:tc>
        <w:tc>
          <w:tcPr>
            <w:tcW w:w="1038" w:type="pct"/>
            <w:tcBorders>
              <w:top w:val="single" w:sz="4" w:space="0" w:color="010000"/>
            </w:tcBorders>
            <w:vAlign w:val="center"/>
          </w:tcPr>
          <w:p>
            <w:pPr>
              <w:jc w:val="right"/>
            </w:pPr>
            <w:r/>
            <w:r>
              <w:rPr>
                <w:rFonts w:hint="eastAsia"/>
                <w:color w:val="000000"/>
                <w:sz w:val="21"/>
              </w:rPr>
              <w:t>43.8</w:t>
            </w:r>
          </w:p>
        </w:tc>
        <w:tc>
          <w:tcPr>
            <w:tcW w:w="1038" w:type="pct"/>
            <w:tcBorders>
              <w:top w:val="single" w:sz="4" w:space="0" w:color="010000"/>
            </w:tcBorders>
            <w:vAlign w:val="center"/>
          </w:tcPr>
          <w:p>
            <w:pPr>
              <w:jc w:val="right"/>
            </w:pPr>
            <w:r/>
            <w:r>
              <w:rPr>
                <w:rFonts w:hint="eastAsia"/>
                <w:color w:val="000000"/>
                <w:sz w:val="21"/>
              </w:rPr>
              <w:t>35.7</w:t>
            </w:r>
          </w:p>
        </w:tc>
        <w:tc>
          <w:tcPr>
            <w:tcW w:w="849" w:type="pct"/>
            <w:tcBorders>
              <w:top w:val="single" w:sz="4" w:space="0" w:color="010000"/>
            </w:tcBorders>
            <w:vAlign w:val="center"/>
          </w:tcPr>
          <w:p>
            <w:pPr>
              <w:jc w:val="right"/>
            </w:pPr>
            <w:r/>
            <w:r>
              <w:rPr>
                <w:rFonts w:hint="eastAsia"/>
                <w:color w:val="000000"/>
                <w:sz w:val="21"/>
              </w:rPr>
              <w:t>81.6</w:t>
            </w:r>
          </w:p>
        </w:tc>
        <w:tc>
          <w:tcPr>
            <w:tcW w:w="1038" w:type="pct"/>
            <w:tcBorders>
              <w:top w:val="single" w:sz="4" w:space="0" w:color="010000"/>
            </w:tcBorders>
            <w:vAlign w:val="center"/>
          </w:tcPr>
          <w:p>
            <w:pPr>
              <w:jc w:val="right"/>
            </w:pPr>
            <w:r/>
            <w:r>
              <w:rPr>
                <w:rFonts w:hint="eastAsia"/>
                <w:color w:val="000000"/>
                <w:sz w:val="21"/>
              </w:rPr>
              <w:t>96.9</w:t>
            </w:r>
          </w:p>
        </w:tc>
      </w:tr>
      <w:tr>
        <w:trPr>
          <w:cantSplit/>
          <w:jc w:val="center"/>
        </w:trPr>
        <w:tc>
          <w:tcPr>
            <w:tcW w:w="1038" w:type="pct"/>
            <w:tcBorders>
              <w:top w:val="single" w:sz="4" w:space="0" w:color="010000"/>
            </w:tcBorders>
            <w:vAlign w:val="center"/>
          </w:tcPr>
          <w:p>
            <w:pPr>
              <w:jc w:val="left"/>
            </w:pPr>
            <w:r/>
            <w:r>
              <w:rPr>
                <w:rFonts w:hint="eastAsia"/>
                <w:color w:val="000000"/>
                <w:sz w:val="21"/>
              </w:rPr>
              <w:t>石英零部件</w:t>
            </w:r>
          </w:p>
        </w:tc>
        <w:tc>
          <w:tcPr>
            <w:tcW w:w="1038" w:type="pct"/>
            <w:tcBorders>
              <w:top w:val="single" w:sz="4" w:space="0" w:color="010000"/>
            </w:tcBorders>
            <w:vAlign w:val="center"/>
          </w:tcPr>
          <w:p>
            <w:pPr>
              <w:jc w:val="right"/>
            </w:pPr>
            <w:r/>
            <w:r>
              <w:rPr>
                <w:rFonts w:hint="eastAsia"/>
                <w:color w:val="000000"/>
                <w:sz w:val="21"/>
              </w:rPr>
              <w:t>34.8</w:t>
            </w:r>
          </w:p>
        </w:tc>
        <w:tc>
          <w:tcPr>
            <w:tcW w:w="1038" w:type="pct"/>
            <w:tcBorders>
              <w:top w:val="single" w:sz="4" w:space="0" w:color="010000"/>
            </w:tcBorders>
            <w:vAlign w:val="center"/>
          </w:tcPr>
          <w:p>
            <w:pPr>
              <w:jc w:val="right"/>
            </w:pPr>
            <w:r/>
            <w:r>
              <w:rPr>
                <w:rFonts w:hint="eastAsia"/>
                <w:color w:val="000000"/>
                <w:sz w:val="21"/>
              </w:rPr>
              <w:t>22.7</w:t>
            </w:r>
          </w:p>
        </w:tc>
        <w:tc>
          <w:tcPr>
            <w:tcW w:w="849" w:type="pct"/>
            <w:tcBorders>
              <w:top w:val="single" w:sz="4" w:space="0" w:color="010000"/>
            </w:tcBorders>
            <w:vAlign w:val="center"/>
          </w:tcPr>
          <w:p>
            <w:pPr>
              <w:jc w:val="right"/>
            </w:pPr>
            <w:r/>
            <w:r>
              <w:rPr>
                <w:rFonts w:hint="eastAsia"/>
                <w:color w:val="000000"/>
                <w:sz w:val="21"/>
              </w:rPr>
              <w:t>65.3</w:t>
            </w:r>
          </w:p>
        </w:tc>
        <w:tc>
          <w:tcPr>
            <w:tcW w:w="1038" w:type="pct"/>
            <w:tcBorders>
              <w:top w:val="single" w:sz="4" w:space="0" w:color="010000"/>
            </w:tcBorders>
            <w:vAlign w:val="center"/>
          </w:tcPr>
          <w:p>
            <w:pPr>
              <w:jc w:val="right"/>
            </w:pPr>
            <w:r/>
            <w:r>
              <w:rPr>
                <w:rFonts w:hint="eastAsia"/>
                <w:color w:val="000000"/>
                <w:sz w:val="21"/>
              </w:rPr>
              <w:t>—</w:t>
            </w:r>
          </w:p>
        </w:tc>
      </w:tr>
      <w:tr>
        <w:trPr>
          <w:cantSplit/>
          <w:jc w:val="center"/>
        </w:trPr>
        <w:tc>
          <w:tcPr>
            <w:tcW w:w="1038" w:type="pct"/>
            <w:tcBorders>
              <w:top w:val="single" w:sz="4" w:space="0" w:color="010000"/>
            </w:tcBorders>
            <w:vAlign w:val="center"/>
          </w:tcPr>
          <w:p>
            <w:pPr>
              <w:jc w:val="left"/>
            </w:pPr>
            <w:r/>
            <w:r>
              <w:rPr>
                <w:rFonts w:hint="eastAsia"/>
                <w:color w:val="000000"/>
                <w:sz w:val="21"/>
              </w:rPr>
              <w:t>陶瓷零部件</w:t>
            </w:r>
          </w:p>
        </w:tc>
        <w:tc>
          <w:tcPr>
            <w:tcW w:w="1038" w:type="pct"/>
            <w:tcBorders>
              <w:top w:val="single" w:sz="4" w:space="0" w:color="010000"/>
            </w:tcBorders>
            <w:vAlign w:val="center"/>
          </w:tcPr>
          <w:p>
            <w:pPr>
              <w:jc w:val="right"/>
            </w:pPr>
            <w:r/>
            <w:r>
              <w:rPr>
                <w:rFonts w:hint="eastAsia"/>
                <w:color w:val="000000"/>
                <w:sz w:val="21"/>
              </w:rPr>
              <w:t>29.4</w:t>
            </w:r>
          </w:p>
        </w:tc>
        <w:tc>
          <w:tcPr>
            <w:tcW w:w="1038" w:type="pct"/>
            <w:tcBorders>
              <w:top w:val="single" w:sz="4" w:space="0" w:color="010000"/>
            </w:tcBorders>
            <w:vAlign w:val="center"/>
          </w:tcPr>
          <w:p>
            <w:pPr>
              <w:jc w:val="right"/>
            </w:pPr>
            <w:r/>
            <w:r>
              <w:rPr>
                <w:rFonts w:hint="eastAsia"/>
                <w:color w:val="000000"/>
                <w:sz w:val="21"/>
              </w:rPr>
              <w:t>19.3</w:t>
            </w:r>
          </w:p>
        </w:tc>
        <w:tc>
          <w:tcPr>
            <w:tcW w:w="849" w:type="pct"/>
            <w:tcBorders>
              <w:top w:val="single" w:sz="4" w:space="0" w:color="010000"/>
            </w:tcBorders>
            <w:vAlign w:val="center"/>
          </w:tcPr>
          <w:p>
            <w:pPr>
              <w:jc w:val="right"/>
            </w:pPr>
            <w:r/>
            <w:r>
              <w:rPr>
                <w:rFonts w:hint="eastAsia"/>
                <w:color w:val="000000"/>
                <w:sz w:val="21"/>
              </w:rPr>
              <w:t>65.6</w:t>
            </w:r>
          </w:p>
        </w:tc>
        <w:tc>
          <w:tcPr>
            <w:tcW w:w="1038" w:type="pct"/>
            <w:tcBorders>
              <w:top w:val="single" w:sz="4" w:space="0" w:color="010000"/>
            </w:tcBorders>
            <w:vAlign w:val="center"/>
          </w:tcPr>
          <w:p>
            <w:pPr>
              <w:jc w:val="right"/>
            </w:pPr>
            <w:r/>
            <w:r>
              <w:rPr>
                <w:rFonts w:hint="eastAsia"/>
                <w:color w:val="000000"/>
                <w:sz w:val="21"/>
              </w:rPr>
              <w:t>—</w:t>
            </w:r>
          </w:p>
        </w:tc>
      </w:tr>
    </w:tbl>
    <w:p>
      <w:pPr>
        <w:pStyle w:val="a6"/>
        <w:jc w:val="center"/>
      </w:pPr>
      <w:r>
        <w:rPr>
          <w:rFonts w:hint="eastAsia"/>
          <w:sz w:val="11"/>
          <w:szCs w:val="11"/>
        </w:rPr>
        <w:t>资料来源：臻宝科技招股说明书（注册稿），本报告整理。注：数据发布机构为弗若斯特沙利文；2029年为该机构预测值；石英与陶瓷零部件的2029年预测直接采购额未在招股说明书中列示；各细分品类不构成零部件整体的完整拆分，不作加总。</w:t>
      </w:r>
    </w:p>
    <w:p>
      <w:pPr>
        <w:jc w:val="center"/>
      </w:pPr>
      <w:r>
        <w:drawing>
          <wp:inline xmlns:a="http://schemas.openxmlformats.org/drawingml/2006/main" xmlns:pic="http://schemas.openxmlformats.org/drawingml/2006/picture">
            <wp:extent cx="5074920" cy="2356212"/>
            <wp:docPr id="1" name="Picture 1"/>
            <wp:cNvGraphicFramePr>
              <a:graphicFrameLocks noChangeAspect="1"/>
            </wp:cNvGraphicFramePr>
            <a:graphic>
              <a:graphicData uri="http://schemas.openxmlformats.org/drawingml/2006/picture">
                <pic:pic>
                  <pic:nvPicPr>
                    <pic:cNvPr id="0" name="fig1_caigou.png"/>
                    <pic:cNvPicPr/>
                  </pic:nvPicPr>
                  <pic:blipFill>
                    <a:blip r:embed="rId16"/>
                    <a:stretch>
                      <a:fillRect/>
                    </a:stretch>
                  </pic:blipFill>
                  <pic:spPr>
                    <a:xfrm>
                      <a:off x="0" y="0"/>
                      <a:ext cx="5074920" cy="2356212"/>
                    </a:xfrm>
                    <a:prstGeom prst="rect"/>
                  </pic:spPr>
                </pic:pic>
              </a:graphicData>
            </a:graphic>
          </wp:inline>
        </w:drawing>
      </w:r>
    </w:p>
    <w:p>
      <w:pPr>
        <w:keepNext/>
        <w:jc w:val="center"/>
      </w:pPr>
      <w:r>
        <w:rPr>
          <w:rFonts w:hint="eastAsia"/>
          <w:b/>
          <w:sz w:val="21"/>
        </w:rPr>
        <w:t>图1  2024年中国晶圆厂零部件采购额与直接采购金额</w:t>
      </w:r>
    </w:p>
    <w:p>
      <w:pPr>
        <w:pStyle w:val="a6"/>
        <w:jc w:val="center"/>
      </w:pPr>
      <w:r>
        <w:rPr>
          <w:rFonts w:hint="eastAsia"/>
          <w:sz w:val="11"/>
          <w:szCs w:val="11"/>
        </w:rPr>
        <w:t>资料来源：臻宝科技招股说明书（注册稿），本报告整理。注：数据发布机构为弗若斯特沙利文。</w:t>
      </w:r>
    </w:p>
    <w:p>
      <w:pPr>
        <w:pStyle w:val="3"/>
        <w:numPr>
          <w:ilvl w:val="0"/>
          <w:numId w:val="0"/>
        </w:numPr>
        <w:spacing w:before="156" w:after="156"/>
      </w:pPr>
      <w:bookmarkStart w:id="1012" w:name="_Toc900012"/>
      <w:r>
        <w:rPr>
          <w:rFonts w:hint="eastAsia"/>
        </w:rPr>
        <w:t>4.2 与无锡金源产品对应的细分品类</w:t>
      </w:r>
      <w:bookmarkEnd w:id="1012"/>
    </w:p>
    <w:p>
      <w:pPr>
        <w:keepNext/>
        <w:jc w:val="center"/>
      </w:pPr>
      <w:r>
        <w:rPr>
          <w:rFonts w:hint="eastAsia"/>
          <w:b/>
          <w:sz w:val="21"/>
        </w:rPr>
        <w:t>表6  与无锡金源产品对应的细分品类规模与竞争格局</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176" w:type="pct"/>
            <w:tcBorders>
              <w:top w:val="single" w:sz="12" w:space="0" w:color="010000"/>
              <w:bottom w:val="single" w:sz="4" w:space="0" w:color="010000"/>
            </w:tcBorders>
            <w:vAlign w:val="center"/>
          </w:tcPr>
          <w:p>
            <w:pPr>
              <w:jc w:val="center"/>
            </w:pPr>
            <w:r/>
            <w:r>
              <w:rPr>
                <w:rFonts w:hint="eastAsia"/>
                <w:b/>
                <w:color w:val="000000"/>
                <w:sz w:val="21"/>
              </w:rPr>
              <w:t>细分品类</w:t>
            </w:r>
          </w:p>
        </w:tc>
        <w:tc>
          <w:tcPr>
            <w:tcW w:w="686" w:type="pct"/>
            <w:tcBorders>
              <w:top w:val="single" w:sz="12" w:space="0" w:color="010000"/>
              <w:bottom w:val="single" w:sz="4" w:space="0" w:color="010000"/>
            </w:tcBorders>
            <w:vAlign w:val="center"/>
          </w:tcPr>
          <w:p>
            <w:pPr>
              <w:jc w:val="center"/>
            </w:pPr>
            <w:r/>
            <w:r>
              <w:rPr>
                <w:rFonts w:hint="eastAsia"/>
                <w:b/>
                <w:color w:val="000000"/>
                <w:sz w:val="21"/>
              </w:rPr>
              <w:t>对应无锡金源产品</w:t>
            </w:r>
          </w:p>
        </w:tc>
        <w:tc>
          <w:tcPr>
            <w:tcW w:w="1275" w:type="pct"/>
            <w:tcBorders>
              <w:top w:val="single" w:sz="12" w:space="0" w:color="010000"/>
              <w:bottom w:val="single" w:sz="4" w:space="0" w:color="010000"/>
            </w:tcBorders>
            <w:vAlign w:val="center"/>
          </w:tcPr>
          <w:p>
            <w:pPr>
              <w:jc w:val="center"/>
            </w:pPr>
            <w:r/>
            <w:r>
              <w:rPr>
                <w:rFonts w:hint="eastAsia"/>
                <w:b/>
                <w:color w:val="000000"/>
                <w:sz w:val="21"/>
              </w:rPr>
              <w:t>市场规模</w:t>
            </w:r>
          </w:p>
        </w:tc>
        <w:tc>
          <w:tcPr>
            <w:tcW w:w="1863" w:type="pct"/>
            <w:tcBorders>
              <w:top w:val="single" w:sz="12" w:space="0" w:color="010000"/>
              <w:bottom w:val="single" w:sz="4" w:space="0" w:color="010000"/>
            </w:tcBorders>
            <w:vAlign w:val="center"/>
          </w:tcPr>
          <w:p>
            <w:pPr>
              <w:jc w:val="center"/>
            </w:pPr>
            <w:r/>
            <w:r>
              <w:rPr>
                <w:rFonts w:hint="eastAsia"/>
                <w:b/>
                <w:color w:val="000000"/>
                <w:sz w:val="21"/>
              </w:rPr>
              <w:t>竞争格局</w:t>
            </w:r>
          </w:p>
        </w:tc>
      </w:tr>
      <w:tr>
        <w:trPr>
          <w:cantSplit/>
          <w:jc w:val="center"/>
        </w:trPr>
        <w:tc>
          <w:tcPr>
            <w:tcW w:w="1176" w:type="pct"/>
            <w:tcBorders>
              <w:top w:val="single" w:sz="4" w:space="0" w:color="010000"/>
            </w:tcBorders>
            <w:vAlign w:val="center"/>
          </w:tcPr>
          <w:p>
            <w:pPr>
              <w:jc w:val="left"/>
            </w:pPr>
            <w:r/>
            <w:r>
              <w:rPr>
                <w:rFonts w:hint="eastAsia"/>
                <w:color w:val="000000"/>
                <w:sz w:val="21"/>
              </w:rPr>
              <w:t>气体分配盘／匀气盘（含硅、金属、碳化硅材质）</w:t>
            </w:r>
          </w:p>
        </w:tc>
        <w:tc>
          <w:tcPr>
            <w:tcW w:w="686" w:type="pct"/>
            <w:tcBorders>
              <w:top w:val="single" w:sz="4" w:space="0" w:color="010000"/>
            </w:tcBorders>
            <w:vAlign w:val="center"/>
          </w:tcPr>
          <w:p>
            <w:pPr>
              <w:jc w:val="center"/>
            </w:pPr>
            <w:r/>
            <w:r>
              <w:rPr>
                <w:rFonts w:hint="eastAsia"/>
                <w:color w:val="000000"/>
                <w:sz w:val="21"/>
              </w:rPr>
              <w:t>精密气体喷头</w:t>
            </w:r>
          </w:p>
        </w:tc>
        <w:tc>
          <w:tcPr>
            <w:tcW w:w="1275" w:type="pct"/>
            <w:tcBorders>
              <w:top w:val="single" w:sz="4" w:space="0" w:color="010000"/>
            </w:tcBorders>
            <w:vAlign w:val="center"/>
          </w:tcPr>
          <w:p>
            <w:pPr>
              <w:jc w:val="left"/>
            </w:pPr>
            <w:r/>
            <w:r>
              <w:rPr>
                <w:rFonts w:hint="eastAsia"/>
                <w:color w:val="000000"/>
                <w:sz w:val="21"/>
              </w:rPr>
              <w:t>2023年全球销售额9.44亿美元，预计2030年达15.44亿美元，年复合增长率7.0%</w:t>
            </w:r>
          </w:p>
        </w:tc>
        <w:tc>
          <w:tcPr>
            <w:tcW w:w="1863" w:type="pct"/>
            <w:tcBorders>
              <w:top w:val="single" w:sz="4" w:space="0" w:color="010000"/>
            </w:tcBorders>
            <w:vAlign w:val="center"/>
          </w:tcPr>
          <w:p>
            <w:pPr>
              <w:jc w:val="left"/>
            </w:pPr>
            <w:r/>
            <w:r>
              <w:rPr>
                <w:rFonts w:hint="eastAsia"/>
                <w:color w:val="000000"/>
                <w:sz w:val="21"/>
              </w:rPr>
              <w:t>金属材质国内已有多家量产：先锋精科2023年匀气盘收入4,287.18万元、销量6,034件；托伦斯2025年匀气盘与气体分布盘合计5,369.76万元。碳化硅材质由日系、韩系制造商主导，国内尚无稳定量产企业</w:t>
            </w:r>
          </w:p>
        </w:tc>
      </w:tr>
      <w:tr>
        <w:trPr>
          <w:cantSplit/>
          <w:jc w:val="center"/>
        </w:trPr>
        <w:tc>
          <w:tcPr>
            <w:tcW w:w="1176" w:type="pct"/>
            <w:tcBorders>
              <w:top w:val="single" w:sz="4" w:space="0" w:color="010000"/>
            </w:tcBorders>
            <w:vAlign w:val="center"/>
          </w:tcPr>
          <w:p>
            <w:pPr>
              <w:jc w:val="left"/>
            </w:pPr>
            <w:r/>
            <w:r>
              <w:rPr>
                <w:rFonts w:hint="eastAsia"/>
                <w:color w:val="000000"/>
                <w:sz w:val="21"/>
              </w:rPr>
              <w:t>半导体陶瓷加热器（氮化铝）</w:t>
            </w:r>
          </w:p>
        </w:tc>
        <w:tc>
          <w:tcPr>
            <w:tcW w:w="686" w:type="pct"/>
            <w:tcBorders>
              <w:top w:val="single" w:sz="4" w:space="0" w:color="010000"/>
            </w:tcBorders>
            <w:vAlign w:val="center"/>
          </w:tcPr>
          <w:p>
            <w:pPr>
              <w:jc w:val="center"/>
            </w:pPr>
            <w:r/>
            <w:r>
              <w:rPr>
                <w:rFonts w:hint="eastAsia"/>
                <w:color w:val="000000"/>
                <w:sz w:val="21"/>
              </w:rPr>
              <w:t>加热盘</w:t>
            </w:r>
          </w:p>
        </w:tc>
        <w:tc>
          <w:tcPr>
            <w:tcW w:w="1275" w:type="pct"/>
            <w:tcBorders>
              <w:top w:val="single" w:sz="4" w:space="0" w:color="010000"/>
            </w:tcBorders>
            <w:vAlign w:val="center"/>
          </w:tcPr>
          <w:p>
            <w:pPr>
              <w:jc w:val="left"/>
            </w:pPr>
            <w:r/>
            <w:r>
              <w:rPr>
                <w:rFonts w:hint="eastAsia"/>
                <w:color w:val="000000"/>
                <w:sz w:val="21"/>
              </w:rPr>
              <w:t>2023年全球市场规模约14.28亿美元，预计2030年达21.56亿美元，2024至2030年年复合增长率6.2%</w:t>
            </w:r>
          </w:p>
        </w:tc>
        <w:tc>
          <w:tcPr>
            <w:tcW w:w="1863" w:type="pct"/>
            <w:tcBorders>
              <w:top w:val="single" w:sz="4" w:space="0" w:color="010000"/>
            </w:tcBorders>
            <w:vAlign w:val="center"/>
          </w:tcPr>
          <w:p>
            <w:pPr>
              <w:jc w:val="left"/>
            </w:pPr>
            <w:r/>
            <w:r>
              <w:rPr>
                <w:rFonts w:hint="eastAsia"/>
                <w:color w:val="000000"/>
                <w:sz w:val="21"/>
              </w:rPr>
              <w:t>主要由日本NGK／NTK、Sumitomo Electric等企业主导；国内产业化程度较低，氮化铝路线国产化率不足10%。但已有企业突破：珂玛科技的陶瓷加热器已实现量产并完成国产替代，先锋精科2023年加热器收入4,857.94万元、销量1,407件</w:t>
            </w:r>
          </w:p>
        </w:tc>
      </w:tr>
      <w:tr>
        <w:trPr>
          <w:cantSplit/>
          <w:jc w:val="center"/>
        </w:trPr>
        <w:tc>
          <w:tcPr>
            <w:tcW w:w="1176" w:type="pct"/>
            <w:tcBorders>
              <w:top w:val="single" w:sz="4" w:space="0" w:color="010000"/>
            </w:tcBorders>
            <w:vAlign w:val="center"/>
          </w:tcPr>
          <w:p>
            <w:pPr>
              <w:jc w:val="left"/>
            </w:pPr>
            <w:r/>
            <w:r>
              <w:rPr>
                <w:rFonts w:hint="eastAsia"/>
                <w:color w:val="000000"/>
                <w:sz w:val="21"/>
              </w:rPr>
              <w:t>半导体设备用密封件（全氟醚橡胶等）</w:t>
            </w:r>
          </w:p>
        </w:tc>
        <w:tc>
          <w:tcPr>
            <w:tcW w:w="686" w:type="pct"/>
            <w:tcBorders>
              <w:top w:val="single" w:sz="4" w:space="0" w:color="010000"/>
            </w:tcBorders>
            <w:vAlign w:val="center"/>
          </w:tcPr>
          <w:p>
            <w:pPr>
              <w:jc w:val="center"/>
            </w:pPr>
            <w:r/>
            <w:r>
              <w:rPr>
                <w:rFonts w:hint="eastAsia"/>
                <w:color w:val="000000"/>
                <w:sz w:val="21"/>
              </w:rPr>
              <w:t>O型圈</w:t>
            </w:r>
          </w:p>
        </w:tc>
        <w:tc>
          <w:tcPr>
            <w:tcW w:w="1275" w:type="pct"/>
            <w:tcBorders>
              <w:top w:val="single" w:sz="4" w:space="0" w:color="010000"/>
            </w:tcBorders>
            <w:vAlign w:val="center"/>
          </w:tcPr>
          <w:p>
            <w:pPr>
              <w:jc w:val="left"/>
            </w:pPr>
            <w:r/>
            <w:r>
              <w:rPr>
                <w:rFonts w:hint="eastAsia"/>
                <w:color w:val="000000"/>
                <w:sz w:val="21"/>
              </w:rPr>
              <w:t>无独立的公开市场规模统计</w:t>
            </w:r>
          </w:p>
        </w:tc>
        <w:tc>
          <w:tcPr>
            <w:tcW w:w="1863" w:type="pct"/>
            <w:tcBorders>
              <w:top w:val="single" w:sz="4" w:space="0" w:color="010000"/>
            </w:tcBorders>
            <w:vAlign w:val="center"/>
          </w:tcPr>
          <w:p>
            <w:pPr>
              <w:jc w:val="left"/>
            </w:pPr>
            <w:r/>
            <w:r>
              <w:rPr>
                <w:rFonts w:hint="eastAsia"/>
                <w:color w:val="000000"/>
                <w:sz w:val="21"/>
              </w:rPr>
              <w:t>国内已有企业成规模供货：芯密科技（科创板在审）的刻蚀用密封圈2022至2024年收入由1,121.70万元增至9,109.84万元、销量由8,840个增至113,918个，客户覆盖中国大陆前十大晶圆制造厂商中的九家</w:t>
            </w:r>
          </w:p>
        </w:tc>
      </w:tr>
      <w:tr>
        <w:trPr>
          <w:cantSplit/>
          <w:jc w:val="center"/>
        </w:trPr>
        <w:tc>
          <w:tcPr>
            <w:tcW w:w="1176" w:type="pct"/>
            <w:tcBorders>
              <w:top w:val="single" w:sz="4" w:space="0" w:color="010000"/>
            </w:tcBorders>
            <w:vAlign w:val="center"/>
          </w:tcPr>
          <w:p>
            <w:pPr>
              <w:jc w:val="left"/>
            </w:pPr>
            <w:r/>
            <w:r>
              <w:rPr>
                <w:rFonts w:hint="eastAsia"/>
                <w:color w:val="000000"/>
                <w:sz w:val="21"/>
              </w:rPr>
              <w:t>腔体门板等金属结构件</w:t>
            </w:r>
          </w:p>
        </w:tc>
        <w:tc>
          <w:tcPr>
            <w:tcW w:w="686" w:type="pct"/>
            <w:tcBorders>
              <w:top w:val="single" w:sz="4" w:space="0" w:color="010000"/>
            </w:tcBorders>
            <w:vAlign w:val="center"/>
          </w:tcPr>
          <w:p>
            <w:pPr>
              <w:jc w:val="center"/>
            </w:pPr>
            <w:r/>
            <w:r>
              <w:rPr>
                <w:rFonts w:hint="eastAsia"/>
                <w:color w:val="000000"/>
                <w:sz w:val="21"/>
              </w:rPr>
              <w:t>密封件门板</w:t>
            </w:r>
          </w:p>
        </w:tc>
        <w:tc>
          <w:tcPr>
            <w:tcW w:w="1275" w:type="pct"/>
            <w:tcBorders>
              <w:top w:val="single" w:sz="4" w:space="0" w:color="010000"/>
            </w:tcBorders>
            <w:vAlign w:val="center"/>
          </w:tcPr>
          <w:p>
            <w:pPr>
              <w:jc w:val="left"/>
            </w:pPr>
            <w:r/>
            <w:r>
              <w:rPr>
                <w:rFonts w:hint="eastAsia"/>
                <w:color w:val="000000"/>
                <w:sz w:val="21"/>
              </w:rPr>
              <w:t>公开统计中未单列该品类</w:t>
            </w:r>
          </w:p>
        </w:tc>
        <w:tc>
          <w:tcPr>
            <w:tcW w:w="1863" w:type="pct"/>
            <w:tcBorders>
              <w:top w:val="single" w:sz="4" w:space="0" w:color="010000"/>
            </w:tcBorders>
            <w:vAlign w:val="center"/>
          </w:tcPr>
          <w:p>
            <w:pPr>
              <w:jc w:val="left"/>
            </w:pPr>
            <w:r/>
            <w:r>
              <w:rPr>
                <w:rFonts w:hint="eastAsia"/>
                <w:color w:val="000000"/>
                <w:sz w:val="21"/>
              </w:rPr>
              <w:t>属机械类中的简单结构产品，国产化率较高，国内企业已进入国际市场，高端产品国产化率仍低</w:t>
            </w:r>
          </w:p>
        </w:tc>
      </w:tr>
    </w:tbl>
    <w:p>
      <w:pPr>
        <w:pStyle w:val="a6"/>
        <w:jc w:val="center"/>
      </w:pPr>
      <w:r>
        <w:rPr>
          <w:rFonts w:hint="eastAsia"/>
          <w:sz w:val="11"/>
          <w:szCs w:val="11"/>
        </w:rPr>
        <w:t>资料来源：臻宝科技招股说明书（注册稿）及其第二轮审核问询函回复；先锋精科、托伦斯、珂玛科技招股说明书（注册稿），本报告整理。注一：前两个品类的规模数据发布机构为QY Research（QYR）；后两个品类无独立的公开市场规模统计，本报告不作估算。注二：第一行中“国内尚无稳定量产企业”在臻宝科技招股说明书中专指碳化硅材质，而规模数据为含硅、金属、碳化硅的全品类，两者口径不同，本报告分别列示。注三：芯密科技数据取自臻宝科技第二轮问询回复所引其招股说明书。注四：金属结构件的国产化表述取自托伦斯招股说明书的机械类口径。注五：托伦斯匀气盘与气体分布盘的合计数系本报告加总。</w:t>
      </w:r>
    </w:p>
    <w:p>
      <w:pPr>
        <w:pStyle w:val="a0"/>
      </w:pPr>
      <w:r>
        <w:rPr>
          <w:rFonts w:hint="eastAsia"/>
        </w:rPr>
        <w:t>碳化硅气体分配盘导热性好，抗等离子体腐蚀能力强于硅和石英，使用寿命是硅气体分配盘的2至4倍，设备的工作在线率也随之提高。材质直接决定这一品类的更换频次。</w:t>
      </w:r>
    </w:p>
    <w:p>
      <w:pPr>
        <w:pStyle w:val="a0"/>
      </w:pPr>
      <w:r>
        <w:rPr>
          <w:rFonts w:hint="eastAsia"/>
        </w:rPr>
        <w:t>这四个品类的国内供给状况，需要按材质分开看，不能一概说空白。匀气盘、气体分布盘与加热器，国内已有多家公司成规模生产：先锋精科在薄膜沉积领域供应加热器与匀气盘，2023年两项收入合计9,145.12万元；托伦斯的匀气盘、气体分布盘与加热器2025年合计6,664.91万元；珂玛科技承担国家02专项的PECVD设备用陶瓷加热盘课题，产品已实现量产，并被同行认定为完成了该部件的国产替代；富创精密的工艺零部件中同样包含匀气盘。真正尚无国产稳定量产的，是碳化硅材质的气体分配盘；氮化铝路线的陶瓷加热器国产化率不足10%，属于刚被突破、尚未铺开的状态。密封件一端，芯密科技的刻蚀用密封圈三年内收入从1,121.70万元做到9,109.84万元，销量由8,840个增至113,918个，也已不是空白市场。</w:t>
      </w:r>
    </w:p>
    <w:p>
      <w:pPr>
        <w:pStyle w:val="a0"/>
      </w:pPr>
      <w:r>
        <w:rPr>
          <w:rFonts w:hint="eastAsia"/>
        </w:rPr>
        <w:t>四条产品线的分量仍不相同。气体喷头与加热盘所在的品类价值量高、技术门槛集中在材料与精度，且境外厂商仍占主导，替代空间最大。O型圈虽同属耗材、收入可重复发生，但已有芯密科技这样的先行者，竞争不再是有无的问题；门板所属的金属结构件国产化率本身就较高，门槛集中在机加工与装配。</w:t>
      </w:r>
    </w:p>
    <w:p>
      <w:pPr>
        <w:pStyle w:val="a0"/>
      </w:pPr>
      <w:r>
        <w:rPr>
          <w:rFonts w:hint="eastAsia"/>
        </w:rPr>
        <w:t>本报告判断，公司的技术能力集中在气体喷头与加热盘两项，依据有三。一是替换位置。公司的喷头按泛林机型对位供货，尺寸、接口以至关键指标都要与进口原件对齐，否则无法装机。能进入这个位置，本身就是能力的证明。在国内同类厂商中，先锋精科同样以金属件切入薄膜沉积的匀气盘与加热器，两家的产品结构最为接近。二是技术归属。加热盘走陶瓷路线，公司的技术积累以自有专利为载体，不依附于外部授权。三是服务形态。气体喷头属可再生耗材，公司在新件之外还能提供修复再用，这在同品类供应商中并不普遍。O型圈与密封件门板不构成主要的能力来源，本报告不单独展开，其收入占比与毛利率列入当面确认事项。</w:t>
      </w:r>
    </w:p>
    <w:p>
      <w:pPr>
        <w:pStyle w:val="3"/>
        <w:numPr>
          <w:ilvl w:val="0"/>
          <w:numId w:val="0"/>
        </w:numPr>
        <w:spacing w:before="156" w:after="156"/>
      </w:pPr>
      <w:bookmarkStart w:id="1013" w:name="_Toc900013"/>
      <w:r>
        <w:rPr>
          <w:rFonts w:hint="eastAsia"/>
        </w:rPr>
        <w:t>4.3 国产化现状、难点与增长空间</w:t>
      </w:r>
      <w:bookmarkEnd w:id="1013"/>
    </w:p>
    <w:p>
      <w:pPr>
        <w:pStyle w:val="a0"/>
      </w:pPr>
      <w:r>
        <w:rPr>
          <w:rFonts w:hint="eastAsia"/>
        </w:rPr>
        <w:t>零部件是国内半导体设备的主要受制环节之一。IC World在2020年梳理过20类核心零部件的44家主要供应商，美国20家、约占45%，日本16家、约占36%，德国、瑞士、韩国各2家，英国1家，全部为境外企业。</w:t>
      </w:r>
    </w:p>
    <w:p>
      <w:pPr>
        <w:keepNext/>
        <w:jc w:val="center"/>
      </w:pPr>
      <w:r>
        <w:rPr>
          <w:rFonts w:hint="eastAsia"/>
          <w:b/>
          <w:sz w:val="21"/>
        </w:rPr>
        <w:t>表7  半导体设备零部件分类的国产化现状</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4153"/>
        <w:gridCol w:w="4153"/>
      </w:tblGrid>
      <w:tr>
        <w:trPr>
          <w:cantSplit/>
          <w:tblHeader/>
          <w:jc w:val="center"/>
        </w:trPr>
        <w:tc>
          <w:tcPr>
            <w:tcW w:w="1410" w:type="pct"/>
            <w:tcBorders>
              <w:top w:val="single" w:sz="12" w:space="0" w:color="010000"/>
              <w:bottom w:val="single" w:sz="4" w:space="0" w:color="010000"/>
            </w:tcBorders>
            <w:vAlign w:val="center"/>
          </w:tcPr>
          <w:p>
            <w:pPr>
              <w:jc w:val="center"/>
            </w:pPr>
            <w:r/>
            <w:r>
              <w:rPr>
                <w:rFonts w:hint="eastAsia"/>
                <w:b/>
                <w:color w:val="000000"/>
                <w:sz w:val="21"/>
              </w:rPr>
              <w:t>分类</w:t>
            </w:r>
          </w:p>
        </w:tc>
        <w:tc>
          <w:tcPr>
            <w:tcW w:w="3590" w:type="pct"/>
            <w:tcBorders>
              <w:top w:val="single" w:sz="12" w:space="0" w:color="010000"/>
              <w:bottom w:val="single" w:sz="4" w:space="0" w:color="010000"/>
            </w:tcBorders>
            <w:vAlign w:val="center"/>
          </w:tcPr>
          <w:p>
            <w:pPr>
              <w:jc w:val="center"/>
            </w:pPr>
            <w:r/>
            <w:r>
              <w:rPr>
                <w:rFonts w:hint="eastAsia"/>
                <w:b/>
                <w:color w:val="000000"/>
                <w:sz w:val="21"/>
              </w:rPr>
              <w:t>国产化现状</w:t>
            </w:r>
          </w:p>
        </w:tc>
      </w:tr>
      <w:tr>
        <w:trPr>
          <w:cantSplit/>
          <w:jc w:val="center"/>
        </w:trPr>
        <w:tc>
          <w:tcPr>
            <w:tcW w:w="1410" w:type="pct"/>
            <w:tcBorders>
              <w:top w:val="single" w:sz="4" w:space="0" w:color="010000"/>
            </w:tcBorders>
            <w:vAlign w:val="center"/>
          </w:tcPr>
          <w:p>
            <w:pPr>
              <w:jc w:val="center"/>
            </w:pPr>
            <w:r/>
            <w:r>
              <w:rPr>
                <w:rFonts w:hint="eastAsia"/>
                <w:color w:val="000000"/>
                <w:sz w:val="21"/>
              </w:rPr>
              <w:t>机械类</w:t>
            </w:r>
          </w:p>
        </w:tc>
        <w:tc>
          <w:tcPr>
            <w:tcW w:w="3590" w:type="pct"/>
            <w:tcBorders>
              <w:top w:val="single" w:sz="4" w:space="0" w:color="010000"/>
            </w:tcBorders>
            <w:vAlign w:val="center"/>
          </w:tcPr>
          <w:p>
            <w:pPr>
              <w:jc w:val="left"/>
            </w:pPr>
            <w:r/>
            <w:r>
              <w:rPr>
                <w:rFonts w:hint="eastAsia"/>
                <w:color w:val="000000"/>
                <w:sz w:val="21"/>
              </w:rPr>
              <w:t>简单结构产品国产化率较高，且国内企业已进入国际市场，但高端产品国产化率低</w:t>
            </w:r>
          </w:p>
        </w:tc>
      </w:tr>
      <w:tr>
        <w:trPr>
          <w:cantSplit/>
          <w:jc w:val="center"/>
        </w:trPr>
        <w:tc>
          <w:tcPr>
            <w:tcW w:w="1410" w:type="pct"/>
            <w:tcBorders>
              <w:top w:val="single" w:sz="4" w:space="0" w:color="010000"/>
            </w:tcBorders>
            <w:vAlign w:val="center"/>
          </w:tcPr>
          <w:p>
            <w:pPr>
              <w:jc w:val="center"/>
            </w:pPr>
            <w:r/>
            <w:r>
              <w:rPr>
                <w:rFonts w:hint="eastAsia"/>
                <w:color w:val="000000"/>
                <w:sz w:val="21"/>
              </w:rPr>
              <w:t>电气类</w:t>
            </w:r>
          </w:p>
        </w:tc>
        <w:tc>
          <w:tcPr>
            <w:tcW w:w="3590" w:type="pct"/>
            <w:tcBorders>
              <w:top w:val="single" w:sz="4" w:space="0" w:color="010000"/>
            </w:tcBorders>
            <w:vAlign w:val="center"/>
          </w:tcPr>
          <w:p>
            <w:pPr>
              <w:jc w:val="left"/>
            </w:pPr>
            <w:r/>
            <w:r>
              <w:rPr>
                <w:rFonts w:hint="eastAsia"/>
                <w:color w:val="000000"/>
                <w:sz w:val="21"/>
              </w:rPr>
              <w:t>本土厂商产品主要应用于国内半导体设备商，且部分高端产品仍由国际性企业主导，国产化率较低</w:t>
            </w:r>
          </w:p>
        </w:tc>
      </w:tr>
      <w:tr>
        <w:trPr>
          <w:cantSplit/>
          <w:jc w:val="center"/>
        </w:trPr>
        <w:tc>
          <w:tcPr>
            <w:tcW w:w="1410" w:type="pct"/>
            <w:tcBorders>
              <w:top w:val="single" w:sz="4" w:space="0" w:color="010000"/>
            </w:tcBorders>
            <w:vAlign w:val="center"/>
          </w:tcPr>
          <w:p>
            <w:pPr>
              <w:jc w:val="center"/>
            </w:pPr>
            <w:r/>
            <w:r>
              <w:rPr>
                <w:rFonts w:hint="eastAsia"/>
                <w:color w:val="000000"/>
                <w:sz w:val="21"/>
              </w:rPr>
              <w:t>机电一体类</w:t>
            </w:r>
          </w:p>
        </w:tc>
        <w:tc>
          <w:tcPr>
            <w:tcW w:w="3590" w:type="pct"/>
            <w:tcBorders>
              <w:top w:val="single" w:sz="4" w:space="0" w:color="010000"/>
            </w:tcBorders>
            <w:vAlign w:val="center"/>
          </w:tcPr>
          <w:p>
            <w:pPr>
              <w:jc w:val="left"/>
            </w:pPr>
            <w:r/>
            <w:r>
              <w:rPr>
                <w:rFonts w:hint="eastAsia"/>
                <w:color w:val="000000"/>
                <w:sz w:val="21"/>
              </w:rPr>
              <w:t>整体国产化率较低，部分品类进入国际市场，主要供应本土；功能复杂高端产品未国产化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气体、液体、真空系统类</w:t>
            </w:r>
          </w:p>
        </w:tc>
        <w:tc>
          <w:tcPr>
            <w:tcW w:w="3590" w:type="pct"/>
            <w:tcBorders>
              <w:top w:val="single" w:sz="4" w:space="0" w:color="010000"/>
            </w:tcBorders>
            <w:vAlign w:val="center"/>
          </w:tcPr>
          <w:p>
            <w:pPr>
              <w:jc w:val="left"/>
            </w:pPr>
            <w:r/>
            <w:r>
              <w:rPr>
                <w:rFonts w:hint="eastAsia"/>
                <w:color w:val="000000"/>
                <w:sz w:val="21"/>
              </w:rPr>
              <w:t>整体国产化率中等，少数企业部分产品进入国际市场；大部分高端产品未国产化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仪器仪表类</w:t>
            </w:r>
          </w:p>
        </w:tc>
        <w:tc>
          <w:tcPr>
            <w:tcW w:w="3590" w:type="pct"/>
            <w:tcBorders>
              <w:top w:val="single" w:sz="4" w:space="0" w:color="010000"/>
            </w:tcBorders>
            <w:vAlign w:val="center"/>
          </w:tcPr>
          <w:p>
            <w:pPr>
              <w:jc w:val="left"/>
            </w:pPr>
            <w:r/>
            <w:r>
              <w:rPr>
                <w:rFonts w:hint="eastAsia"/>
                <w:color w:val="000000"/>
                <w:sz w:val="21"/>
              </w:rPr>
              <w:t>国产化率低，企业主要通过收购参与国际市场；自研产品少量用于本土设备；设备商主要依赖进口；高端产品未国产化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光学类</w:t>
            </w:r>
          </w:p>
        </w:tc>
        <w:tc>
          <w:tcPr>
            <w:tcW w:w="3590" w:type="pct"/>
            <w:tcBorders>
              <w:top w:val="single" w:sz="4" w:space="0" w:color="010000"/>
            </w:tcBorders>
            <w:vAlign w:val="center"/>
          </w:tcPr>
          <w:p>
            <w:pPr>
              <w:jc w:val="left"/>
            </w:pPr>
            <w:r/>
            <w:r>
              <w:rPr>
                <w:rFonts w:hint="eastAsia"/>
                <w:color w:val="000000"/>
                <w:sz w:val="21"/>
              </w:rPr>
              <w:t>国产化率较低，少量用于本土光刻设备；尚未进入国际市场；高端产品未国产化</w:t>
            </w:r>
          </w:p>
        </w:tc>
      </w:tr>
    </w:tbl>
    <w:p>
      <w:pPr>
        <w:pStyle w:val="a6"/>
        <w:jc w:val="center"/>
      </w:pPr>
      <w:r>
        <w:rPr>
          <w:rFonts w:hint="eastAsia"/>
          <w:sz w:val="11"/>
          <w:szCs w:val="11"/>
        </w:rPr>
        <w:t>资料来源：托伦斯招股说明书（注册稿），本报告整理。注：本表的分类取自托伦斯，与前文的七类划分顶层一致。</w:t>
      </w:r>
    </w:p>
    <w:p>
      <w:pPr>
        <w:pStyle w:val="a0"/>
      </w:pPr>
      <w:r>
        <w:rPr>
          <w:rFonts w:hint="eastAsia"/>
        </w:rPr>
        <w:t>国产化的难点集中在三处。一是原材料。硅、碳化硅与陶瓷件受制于原材料的纯度与脆性，石英件还要看杂质含量与原材料匹配性。这一层不解决，加工精度无从谈起。二是生产工艺。金属件的难点在加工精度、焊接与表面处理，非金属件则是在脆性材料上做复杂结构，两者的技术积累路径不同。三是供应商导入，这一环最容易被低估。客户端的导入分三步：第一步是合格供应商认证，客户对加工能力、产能、工艺稳定性逐项评估，复杂工艺还要单独考察机加工、焊接与表面处理，全部通过方可进入名录；第二步是产品认证，按具体新品试制并交客户验证；第三步才是批量生产。前两步不产生收入，却决定订单归属。</w:t>
      </w:r>
    </w:p>
    <w:p>
      <w:pPr>
        <w:pStyle w:val="a0"/>
      </w:pPr>
      <w:r>
        <w:rPr>
          <w:rFonts w:hint="eastAsia"/>
        </w:rPr>
        <w:t>机械类中的简单结构件国产化率较高，国内企业已进入国际市场，高端产品仍未突破；仪器仪表类与光学类的高端产品则基本未国产化。越靠近工艺反应、对材料与精度要求越高的部件，国产化率越低。</w:t>
      </w:r>
    </w:p>
    <w:p>
      <w:pPr>
        <w:pStyle w:val="a0"/>
      </w:pPr>
      <w:r>
        <w:rPr>
          <w:rFonts w:hint="eastAsia"/>
        </w:rPr>
        <w:t>无锡金源的两条核心产品线并不在这条曲线的同一位置。金属匀气盘属于已被国内厂商打开的品类，竞争对手是同行而非进口件；氮化铝陶瓷加热盘的国产化率仍不足10%，境外厂商占主导，替代空间更大。不过，行业本身的增速并不高。按QY Research的预测，气体分配盘全球市场2023年至2030年的年复合增长率为7.0%，陶瓷加热器2024年至2030年为6.2%。增长空间主要来自替代而非扩容。2024年国内晶圆厂零部件采购中，向零部件厂商直接采购的比例为71.4%，弗若斯特沙利文预计2029年升至80.3%，非金属零部件由70.8%升至80.7%，这部分增量对应的正是境外供应商让出的份额。国产化率最低的品类，替代空间也最大。</w:t>
      </w:r>
    </w:p>
    <w:p>
      <w:pPr>
        <w:pStyle w:val="2"/>
        <w:spacing w:before="156" w:after="156"/>
      </w:pPr>
      <w:bookmarkStart w:id="1014" w:name="_Toc900014"/>
      <w:r>
        <w:rPr>
          <w:rFonts w:hint="eastAsia"/>
          <w:b/>
        </w:rPr>
        <w:t>可比公司</w:t>
      </w:r>
      <w:bookmarkEnd w:id="1014"/>
    </w:p>
    <w:p>
      <w:pPr>
        <w:pStyle w:val="3"/>
        <w:numPr>
          <w:ilvl w:val="0"/>
          <w:numId w:val="0"/>
        </w:numPr>
        <w:spacing w:before="156" w:after="156"/>
      </w:pPr>
      <w:bookmarkStart w:id="1015" w:name="_Toc900015"/>
      <w:r>
        <w:rPr>
          <w:rFonts w:hint="eastAsia"/>
        </w:rPr>
        <w:t>5.1 可比公司范围</w:t>
      </w:r>
      <w:bookmarkEnd w:id="1015"/>
    </w:p>
    <w:p>
      <w:pPr>
        <w:pStyle w:val="a0"/>
      </w:pPr>
      <w:r>
        <w:rPr>
          <w:rFonts w:hint="eastAsia"/>
        </w:rPr>
        <w:t>本报告选取五家境内上市或在审公司作为可比对象，选取标准为主营产品与无锡金源的气体喷头、加热盘两类核心部件重合，且已有公开披露的经营与毛利率数据。其中托伦斯的匀气盘、气体分布盘与加热器同时覆盖两条核心产品线，产品重合度最高。</w:t>
      </w:r>
    </w:p>
    <w:p>
      <w:pPr>
        <w:keepNext/>
        <w:jc w:val="center"/>
      </w:pPr>
      <w:r>
        <w:rPr>
          <w:rFonts w:hint="eastAsia"/>
          <w:b/>
          <w:sz w:val="21"/>
        </w:rPr>
        <w:t>表8  可比公司范围与2025年经营数据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00" w:type="pct"/>
            <w:tcBorders>
              <w:top w:val="single" w:sz="12" w:space="0" w:color="010000"/>
              <w:bottom w:val="single" w:sz="4" w:space="0" w:color="010000"/>
            </w:tcBorders>
            <w:vAlign w:val="center"/>
          </w:tcPr>
          <w:p>
            <w:pPr>
              <w:jc w:val="center"/>
            </w:pPr>
            <w:r/>
            <w:r>
              <w:rPr>
                <w:rFonts w:hint="eastAsia"/>
                <w:b/>
                <w:color w:val="000000"/>
                <w:sz w:val="21"/>
              </w:rPr>
              <w:t>公司</w:t>
            </w:r>
          </w:p>
        </w:tc>
        <w:tc>
          <w:tcPr>
            <w:tcW w:w="900" w:type="pct"/>
            <w:tcBorders>
              <w:top w:val="single" w:sz="12" w:space="0" w:color="010000"/>
              <w:bottom w:val="single" w:sz="4" w:space="0" w:color="010000"/>
            </w:tcBorders>
            <w:vAlign w:val="center"/>
          </w:tcPr>
          <w:p>
            <w:pPr>
              <w:jc w:val="center"/>
            </w:pPr>
            <w:r/>
            <w:r>
              <w:rPr>
                <w:rFonts w:hint="eastAsia"/>
                <w:b/>
                <w:color w:val="000000"/>
                <w:sz w:val="21"/>
              </w:rPr>
              <w:t>证券代码</w:t>
            </w:r>
          </w:p>
        </w:tc>
        <w:tc>
          <w:tcPr>
            <w:tcW w:w="1700" w:type="pct"/>
            <w:tcBorders>
              <w:top w:val="single" w:sz="12" w:space="0" w:color="010000"/>
              <w:bottom w:val="single" w:sz="4" w:space="0" w:color="010000"/>
            </w:tcBorders>
            <w:vAlign w:val="center"/>
          </w:tcPr>
          <w:p>
            <w:pPr>
              <w:jc w:val="center"/>
            </w:pPr>
            <w:r/>
            <w:r>
              <w:rPr>
                <w:rFonts w:hint="eastAsia"/>
                <w:b/>
                <w:color w:val="000000"/>
                <w:sz w:val="21"/>
              </w:rPr>
              <w:t>与无锡金源重合的产品</w:t>
            </w:r>
          </w:p>
        </w:tc>
        <w:tc>
          <w:tcPr>
            <w:tcW w:w="850" w:type="pct"/>
            <w:tcBorders>
              <w:top w:val="single" w:sz="12" w:space="0" w:color="010000"/>
              <w:bottom w:val="single" w:sz="4" w:space="0" w:color="010000"/>
            </w:tcBorders>
            <w:vAlign w:val="center"/>
          </w:tcPr>
          <w:p>
            <w:pPr>
              <w:jc w:val="center"/>
            </w:pPr>
            <w:r/>
            <w:r>
              <w:rPr>
                <w:rFonts w:hint="eastAsia"/>
                <w:b/>
                <w:color w:val="000000"/>
                <w:sz w:val="21"/>
              </w:rPr>
              <w:t>2025年营业收入（亿元）</w:t>
            </w:r>
          </w:p>
        </w:tc>
        <w:tc>
          <w:tcPr>
            <w:tcW w:w="850" w:type="pct"/>
            <w:tcBorders>
              <w:top w:val="single" w:sz="12" w:space="0" w:color="010000"/>
              <w:bottom w:val="single" w:sz="4" w:space="0" w:color="010000"/>
            </w:tcBorders>
            <w:vAlign w:val="center"/>
          </w:tcPr>
          <w:p>
            <w:pPr>
              <w:jc w:val="center"/>
            </w:pPr>
            <w:r/>
            <w:r>
              <w:rPr>
                <w:rFonts w:hint="eastAsia"/>
                <w:b/>
                <w:color w:val="000000"/>
                <w:sz w:val="21"/>
              </w:rPr>
              <w:t>2025年归母净利润（亿元）</w:t>
            </w:r>
          </w:p>
        </w:tc>
      </w:tr>
      <w:tr>
        <w:trPr>
          <w:cantSplit/>
          <w:jc w:val="center"/>
        </w:trPr>
        <w:tc>
          <w:tcPr>
            <w:tcW w:w="700" w:type="pct"/>
            <w:tcBorders>
              <w:top w:val="single" w:sz="4" w:space="0" w:color="010000"/>
            </w:tcBorders>
            <w:vAlign w:val="center"/>
          </w:tcPr>
          <w:p>
            <w:pPr>
              <w:jc w:val="center"/>
            </w:pPr>
            <w:r/>
            <w:r>
              <w:rPr>
                <w:rFonts w:hint="eastAsia"/>
                <w:color w:val="000000"/>
                <w:sz w:val="21"/>
              </w:rPr>
              <w:t>托伦斯</w:t>
            </w:r>
          </w:p>
        </w:tc>
        <w:tc>
          <w:tcPr>
            <w:tcW w:w="900" w:type="pct"/>
            <w:tcBorders>
              <w:top w:val="single" w:sz="4" w:space="0" w:color="010000"/>
            </w:tcBorders>
            <w:vAlign w:val="center"/>
          </w:tcPr>
          <w:p>
            <w:pPr>
              <w:jc w:val="center"/>
            </w:pPr>
            <w:r/>
            <w:r>
              <w:rPr>
                <w:rFonts w:hint="eastAsia"/>
                <w:color w:val="000000"/>
                <w:sz w:val="21"/>
              </w:rPr>
              <w:t>301583.SZ（在审）</w:t>
            </w:r>
          </w:p>
        </w:tc>
        <w:tc>
          <w:tcPr>
            <w:tcW w:w="1700" w:type="pct"/>
            <w:tcBorders>
              <w:top w:val="single" w:sz="4" w:space="0" w:color="010000"/>
            </w:tcBorders>
            <w:vAlign w:val="center"/>
          </w:tcPr>
          <w:p>
            <w:pPr>
              <w:jc w:val="left"/>
            </w:pPr>
            <w:r/>
            <w:r>
              <w:rPr>
                <w:rFonts w:hint="eastAsia"/>
                <w:color w:val="000000"/>
                <w:sz w:val="21"/>
              </w:rPr>
              <w:t>匀气盘、气体分布盘、加热器、静电卡盘基体</w:t>
            </w:r>
          </w:p>
        </w:tc>
        <w:tc>
          <w:tcPr>
            <w:tcW w:w="850" w:type="pct"/>
            <w:tcBorders>
              <w:top w:val="single" w:sz="4" w:space="0" w:color="010000"/>
            </w:tcBorders>
            <w:vAlign w:val="center"/>
          </w:tcPr>
          <w:p>
            <w:pPr>
              <w:jc w:val="right"/>
            </w:pPr>
            <w:r/>
            <w:r>
              <w:rPr>
                <w:rFonts w:hint="eastAsia"/>
                <w:color w:val="000000"/>
                <w:sz w:val="21"/>
              </w:rPr>
              <w:t>7.20</w:t>
            </w:r>
          </w:p>
        </w:tc>
        <w:tc>
          <w:tcPr>
            <w:tcW w:w="850" w:type="pct"/>
            <w:tcBorders>
              <w:top w:val="single" w:sz="4" w:space="0" w:color="010000"/>
            </w:tcBorders>
            <w:vAlign w:val="center"/>
          </w:tcPr>
          <w:p>
            <w:pPr>
              <w:jc w:val="right"/>
            </w:pPr>
            <w:r/>
            <w:r>
              <w:rPr>
                <w:rFonts w:hint="eastAsia"/>
                <w:color w:val="000000"/>
                <w:sz w:val="21"/>
              </w:rPr>
              <w:t>0.98</w:t>
            </w:r>
          </w:p>
        </w:tc>
      </w:tr>
      <w:tr>
        <w:trPr>
          <w:cantSplit/>
          <w:jc w:val="center"/>
        </w:trPr>
        <w:tc>
          <w:tcPr>
            <w:tcW w:w="700" w:type="pct"/>
            <w:tcBorders>
              <w:top w:val="single" w:sz="4" w:space="0" w:color="010000"/>
            </w:tcBorders>
            <w:vAlign w:val="center"/>
          </w:tcPr>
          <w:p>
            <w:pPr>
              <w:jc w:val="center"/>
            </w:pPr>
            <w:r/>
            <w:r>
              <w:rPr>
                <w:rFonts w:hint="eastAsia"/>
                <w:color w:val="000000"/>
                <w:sz w:val="21"/>
              </w:rPr>
              <w:t>珂玛科技</w:t>
            </w:r>
          </w:p>
        </w:tc>
        <w:tc>
          <w:tcPr>
            <w:tcW w:w="900" w:type="pct"/>
            <w:tcBorders>
              <w:top w:val="single" w:sz="4" w:space="0" w:color="010000"/>
            </w:tcBorders>
            <w:vAlign w:val="center"/>
          </w:tcPr>
          <w:p>
            <w:pPr>
              <w:jc w:val="center"/>
            </w:pPr>
            <w:r/>
            <w:r>
              <w:rPr>
                <w:rFonts w:hint="eastAsia"/>
                <w:color w:val="000000"/>
                <w:sz w:val="21"/>
              </w:rPr>
              <w:t>301611.SZ</w:t>
            </w:r>
          </w:p>
        </w:tc>
        <w:tc>
          <w:tcPr>
            <w:tcW w:w="1700" w:type="pct"/>
            <w:tcBorders>
              <w:top w:val="single" w:sz="4" w:space="0" w:color="010000"/>
            </w:tcBorders>
            <w:vAlign w:val="center"/>
          </w:tcPr>
          <w:p>
            <w:pPr>
              <w:jc w:val="left"/>
            </w:pPr>
            <w:r/>
            <w:r>
              <w:rPr>
                <w:rFonts w:hint="eastAsia"/>
                <w:color w:val="000000"/>
                <w:sz w:val="21"/>
              </w:rPr>
              <w:t>先进陶瓷材料零部件，含陶瓷加热器</w:t>
            </w:r>
          </w:p>
        </w:tc>
        <w:tc>
          <w:tcPr>
            <w:tcW w:w="850" w:type="pct"/>
            <w:tcBorders>
              <w:top w:val="single" w:sz="4" w:space="0" w:color="010000"/>
            </w:tcBorders>
            <w:vAlign w:val="center"/>
          </w:tcPr>
          <w:p>
            <w:pPr>
              <w:jc w:val="right"/>
            </w:pPr>
            <w:r/>
            <w:r>
              <w:rPr>
                <w:rFonts w:hint="eastAsia"/>
                <w:color w:val="000000"/>
                <w:sz w:val="21"/>
              </w:rPr>
              <w:t>10.73</w:t>
            </w:r>
          </w:p>
        </w:tc>
        <w:tc>
          <w:tcPr>
            <w:tcW w:w="850" w:type="pct"/>
            <w:tcBorders>
              <w:top w:val="single" w:sz="4" w:space="0" w:color="010000"/>
            </w:tcBorders>
            <w:vAlign w:val="center"/>
          </w:tcPr>
          <w:p>
            <w:pPr>
              <w:jc w:val="right"/>
            </w:pPr>
            <w:r/>
            <w:r>
              <w:rPr>
                <w:rFonts w:hint="eastAsia"/>
                <w:color w:val="000000"/>
                <w:sz w:val="21"/>
              </w:rPr>
              <w:t>2.89</w:t>
            </w:r>
          </w:p>
        </w:tc>
      </w:tr>
      <w:tr>
        <w:trPr>
          <w:cantSplit/>
          <w:jc w:val="center"/>
        </w:trPr>
        <w:tc>
          <w:tcPr>
            <w:tcW w:w="700" w:type="pct"/>
            <w:tcBorders>
              <w:top w:val="single" w:sz="4" w:space="0" w:color="010000"/>
            </w:tcBorders>
            <w:vAlign w:val="center"/>
          </w:tcPr>
          <w:p>
            <w:pPr>
              <w:jc w:val="center"/>
            </w:pPr>
            <w:r/>
            <w:r>
              <w:rPr>
                <w:rFonts w:hint="eastAsia"/>
                <w:color w:val="000000"/>
                <w:sz w:val="21"/>
              </w:rPr>
              <w:t>臻宝科技</w:t>
            </w:r>
          </w:p>
        </w:tc>
        <w:tc>
          <w:tcPr>
            <w:tcW w:w="900" w:type="pct"/>
            <w:tcBorders>
              <w:top w:val="single" w:sz="4" w:space="0" w:color="010000"/>
            </w:tcBorders>
            <w:vAlign w:val="center"/>
          </w:tcPr>
          <w:p>
            <w:pPr>
              <w:jc w:val="center"/>
            </w:pPr>
            <w:r/>
            <w:r>
              <w:rPr>
                <w:rFonts w:hint="eastAsia"/>
                <w:color w:val="000000"/>
                <w:sz w:val="21"/>
              </w:rPr>
              <w:t>688797.SH</w:t>
            </w:r>
          </w:p>
        </w:tc>
        <w:tc>
          <w:tcPr>
            <w:tcW w:w="1700" w:type="pct"/>
            <w:tcBorders>
              <w:top w:val="single" w:sz="4" w:space="0" w:color="010000"/>
            </w:tcBorders>
            <w:vAlign w:val="center"/>
          </w:tcPr>
          <w:p>
            <w:pPr>
              <w:jc w:val="left"/>
            </w:pPr>
            <w:r/>
            <w:r>
              <w:rPr>
                <w:rFonts w:hint="eastAsia"/>
                <w:color w:val="000000"/>
                <w:sz w:val="21"/>
              </w:rPr>
              <w:t>硅、石英、碳化硅与氧化铝陶瓷零部件</w:t>
            </w:r>
          </w:p>
        </w:tc>
        <w:tc>
          <w:tcPr>
            <w:tcW w:w="850" w:type="pct"/>
            <w:tcBorders>
              <w:top w:val="single" w:sz="4" w:space="0" w:color="010000"/>
            </w:tcBorders>
            <w:vAlign w:val="center"/>
          </w:tcPr>
          <w:p>
            <w:pPr>
              <w:jc w:val="right"/>
            </w:pPr>
            <w:r/>
            <w:r>
              <w:rPr>
                <w:rFonts w:hint="eastAsia"/>
                <w:color w:val="000000"/>
                <w:sz w:val="21"/>
              </w:rPr>
              <w:t>8.68</w:t>
            </w:r>
          </w:p>
        </w:tc>
        <w:tc>
          <w:tcPr>
            <w:tcW w:w="850" w:type="pct"/>
            <w:tcBorders>
              <w:top w:val="single" w:sz="4" w:space="0" w:color="010000"/>
            </w:tcBorders>
            <w:vAlign w:val="center"/>
          </w:tcPr>
          <w:p>
            <w:pPr>
              <w:jc w:val="right"/>
            </w:pPr>
            <w:r/>
            <w:r>
              <w:rPr>
                <w:rFonts w:hint="eastAsia"/>
                <w:color w:val="000000"/>
                <w:sz w:val="21"/>
              </w:rPr>
              <w:t>2.26</w:t>
            </w:r>
          </w:p>
        </w:tc>
      </w:tr>
      <w:tr>
        <w:trPr>
          <w:cantSplit/>
          <w:jc w:val="center"/>
        </w:trPr>
        <w:tc>
          <w:tcPr>
            <w:tcW w:w="700" w:type="pct"/>
            <w:tcBorders>
              <w:top w:val="single" w:sz="4" w:space="0" w:color="010000"/>
            </w:tcBorders>
            <w:vAlign w:val="center"/>
          </w:tcPr>
          <w:p>
            <w:pPr>
              <w:jc w:val="center"/>
            </w:pPr>
            <w:r/>
            <w:r>
              <w:rPr>
                <w:rFonts w:hint="eastAsia"/>
                <w:color w:val="000000"/>
                <w:sz w:val="21"/>
              </w:rPr>
              <w:t>富创精密</w:t>
            </w:r>
          </w:p>
        </w:tc>
        <w:tc>
          <w:tcPr>
            <w:tcW w:w="900" w:type="pct"/>
            <w:tcBorders>
              <w:top w:val="single" w:sz="4" w:space="0" w:color="010000"/>
            </w:tcBorders>
            <w:vAlign w:val="center"/>
          </w:tcPr>
          <w:p>
            <w:pPr>
              <w:jc w:val="center"/>
            </w:pPr>
            <w:r/>
            <w:r>
              <w:rPr>
                <w:rFonts w:hint="eastAsia"/>
                <w:color w:val="000000"/>
                <w:sz w:val="21"/>
              </w:rPr>
              <w:t>688409.SH</w:t>
            </w:r>
          </w:p>
        </w:tc>
        <w:tc>
          <w:tcPr>
            <w:tcW w:w="1700" w:type="pct"/>
            <w:tcBorders>
              <w:top w:val="single" w:sz="4" w:space="0" w:color="010000"/>
            </w:tcBorders>
            <w:vAlign w:val="center"/>
          </w:tcPr>
          <w:p>
            <w:pPr>
              <w:jc w:val="left"/>
            </w:pPr>
            <w:r/>
            <w:r>
              <w:rPr>
                <w:rFonts w:hint="eastAsia"/>
                <w:color w:val="000000"/>
                <w:sz w:val="21"/>
              </w:rPr>
              <w:t>匀气盘等工艺零部件</w:t>
            </w:r>
          </w:p>
        </w:tc>
        <w:tc>
          <w:tcPr>
            <w:tcW w:w="850" w:type="pct"/>
            <w:tcBorders>
              <w:top w:val="single" w:sz="4" w:space="0" w:color="010000"/>
            </w:tcBorders>
            <w:vAlign w:val="center"/>
          </w:tcPr>
          <w:p>
            <w:pPr>
              <w:jc w:val="right"/>
            </w:pPr>
            <w:r/>
            <w:r>
              <w:rPr>
                <w:rFonts w:hint="eastAsia"/>
                <w:color w:val="000000"/>
                <w:sz w:val="21"/>
              </w:rPr>
              <w:t>35.43</w:t>
            </w:r>
          </w:p>
        </w:tc>
        <w:tc>
          <w:tcPr>
            <w:tcW w:w="850" w:type="pct"/>
            <w:tcBorders>
              <w:top w:val="single" w:sz="4" w:space="0" w:color="010000"/>
            </w:tcBorders>
            <w:vAlign w:val="center"/>
          </w:tcPr>
          <w:p>
            <w:pPr>
              <w:jc w:val="right"/>
            </w:pPr>
            <w:r/>
            <w:r>
              <w:rPr>
                <w:rFonts w:hint="eastAsia"/>
                <w:color w:val="000000"/>
                <w:sz w:val="21"/>
              </w:rPr>
              <w:t>-0.09</w:t>
            </w:r>
          </w:p>
        </w:tc>
      </w:tr>
      <w:tr>
        <w:trPr>
          <w:cantSplit/>
          <w:jc w:val="center"/>
        </w:trPr>
        <w:tc>
          <w:tcPr>
            <w:tcW w:w="700" w:type="pct"/>
            <w:tcBorders>
              <w:top w:val="single" w:sz="4" w:space="0" w:color="010000"/>
            </w:tcBorders>
            <w:vAlign w:val="center"/>
          </w:tcPr>
          <w:p>
            <w:pPr>
              <w:jc w:val="center"/>
            </w:pPr>
            <w:r/>
            <w:r>
              <w:rPr>
                <w:rFonts w:hint="eastAsia"/>
                <w:color w:val="000000"/>
                <w:sz w:val="21"/>
              </w:rPr>
              <w:t>先锋精科</w:t>
            </w:r>
          </w:p>
        </w:tc>
        <w:tc>
          <w:tcPr>
            <w:tcW w:w="900" w:type="pct"/>
            <w:tcBorders>
              <w:top w:val="single" w:sz="4" w:space="0" w:color="010000"/>
            </w:tcBorders>
            <w:vAlign w:val="center"/>
          </w:tcPr>
          <w:p>
            <w:pPr>
              <w:jc w:val="center"/>
            </w:pPr>
            <w:r/>
            <w:r>
              <w:rPr>
                <w:rFonts w:hint="eastAsia"/>
                <w:color w:val="000000"/>
                <w:sz w:val="21"/>
              </w:rPr>
              <w:t>688605.SH</w:t>
            </w:r>
          </w:p>
        </w:tc>
        <w:tc>
          <w:tcPr>
            <w:tcW w:w="1700" w:type="pct"/>
            <w:tcBorders>
              <w:top w:val="single" w:sz="4" w:space="0" w:color="010000"/>
            </w:tcBorders>
            <w:vAlign w:val="center"/>
          </w:tcPr>
          <w:p>
            <w:pPr>
              <w:jc w:val="left"/>
            </w:pPr>
            <w:r/>
            <w:r>
              <w:rPr>
                <w:rFonts w:hint="eastAsia"/>
                <w:color w:val="000000"/>
                <w:sz w:val="21"/>
              </w:rPr>
              <w:t>加热器、匀气盘、气体分配环</w:t>
            </w:r>
          </w:p>
        </w:tc>
        <w:tc>
          <w:tcPr>
            <w:tcW w:w="850" w:type="pct"/>
            <w:tcBorders>
              <w:top w:val="single" w:sz="4" w:space="0" w:color="010000"/>
            </w:tcBorders>
            <w:vAlign w:val="center"/>
          </w:tcPr>
          <w:p>
            <w:pPr>
              <w:jc w:val="right"/>
            </w:pPr>
            <w:r/>
            <w:r>
              <w:rPr>
                <w:rFonts w:hint="eastAsia"/>
                <w:color w:val="000000"/>
                <w:sz w:val="21"/>
              </w:rPr>
              <w:t>12.38</w:t>
            </w:r>
          </w:p>
        </w:tc>
        <w:tc>
          <w:tcPr>
            <w:tcW w:w="850" w:type="pct"/>
            <w:tcBorders>
              <w:top w:val="single" w:sz="4" w:space="0" w:color="010000"/>
            </w:tcBorders>
            <w:vAlign w:val="center"/>
          </w:tcPr>
          <w:p>
            <w:pPr>
              <w:jc w:val="right"/>
            </w:pPr>
            <w:r/>
            <w:r>
              <w:rPr>
                <w:rFonts w:hint="eastAsia"/>
                <w:color w:val="000000"/>
                <w:sz w:val="21"/>
              </w:rPr>
              <w:t>1.89</w:t>
            </w:r>
          </w:p>
        </w:tc>
      </w:tr>
    </w:tbl>
    <w:p>
      <w:pPr>
        <w:pStyle w:val="a6"/>
        <w:jc w:val="center"/>
      </w:pPr>
      <w:r>
        <w:rPr>
          <w:rFonts w:hint="eastAsia"/>
          <w:sz w:val="11"/>
          <w:szCs w:val="11"/>
        </w:rPr>
        <w:t>数据来源：各公司2025年年度报告；托伦斯为其招股说明书（注册稿）列示数据；Wind整理成果，本报告整理。注：富创精密2025年归母净利润为亏损861.15万元。</w:t>
      </w:r>
    </w:p>
    <w:p>
      <w:pPr>
        <w:pStyle w:val="3"/>
        <w:numPr>
          <w:ilvl w:val="0"/>
          <w:numId w:val="0"/>
        </w:numPr>
        <w:spacing w:before="156" w:after="156"/>
      </w:pPr>
      <w:bookmarkStart w:id="1016" w:name="_Toc900016"/>
      <w:r>
        <w:rPr>
          <w:rFonts w:hint="eastAsia"/>
        </w:rPr>
        <w:t>5.2 不同材料路线的毛利率差异</w:t>
      </w:r>
      <w:bookmarkEnd w:id="1016"/>
    </w:p>
    <w:p>
      <w:pPr>
        <w:keepNext/>
        <w:jc w:val="center"/>
      </w:pPr>
      <w:r>
        <w:rPr>
          <w:rFonts w:hint="eastAsia"/>
          <w:b/>
          <w:sz w:val="21"/>
        </w:rPr>
        <w:t>表9  可比公司主营业务毛利率对比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20" w:type="pct"/>
            <w:tcBorders>
              <w:top w:val="single" w:sz="12" w:space="0" w:color="010000"/>
              <w:bottom w:val="single" w:sz="4" w:space="0" w:color="010000"/>
            </w:tcBorders>
            <w:vAlign w:val="center"/>
          </w:tcPr>
          <w:p>
            <w:pPr>
              <w:jc w:val="center"/>
            </w:pPr>
            <w:r/>
            <w:r>
              <w:rPr>
                <w:rFonts w:hint="eastAsia"/>
                <w:b/>
                <w:color w:val="000000"/>
                <w:sz w:val="21"/>
              </w:rPr>
              <w:t>公司</w:t>
            </w:r>
          </w:p>
        </w:tc>
        <w:tc>
          <w:tcPr>
            <w:tcW w:w="816" w:type="pct"/>
            <w:tcBorders>
              <w:top w:val="single" w:sz="12" w:space="0" w:color="010000"/>
              <w:bottom w:val="single" w:sz="4" w:space="0" w:color="010000"/>
            </w:tcBorders>
            <w:vAlign w:val="center"/>
          </w:tcPr>
          <w:p>
            <w:pPr>
              <w:jc w:val="center"/>
            </w:pPr>
            <w:r/>
            <w:r>
              <w:rPr>
                <w:rFonts w:hint="eastAsia"/>
                <w:b/>
                <w:color w:val="000000"/>
                <w:sz w:val="21"/>
              </w:rPr>
              <w:t>2025年（%）</w:t>
            </w:r>
          </w:p>
        </w:tc>
        <w:tc>
          <w:tcPr>
            <w:tcW w:w="816" w:type="pct"/>
            <w:tcBorders>
              <w:top w:val="single" w:sz="12" w:space="0" w:color="010000"/>
              <w:bottom w:val="single" w:sz="4" w:space="0" w:color="010000"/>
            </w:tcBorders>
            <w:vAlign w:val="center"/>
          </w:tcPr>
          <w:p>
            <w:pPr>
              <w:jc w:val="center"/>
            </w:pPr>
            <w:r/>
            <w:r>
              <w:rPr>
                <w:rFonts w:hint="eastAsia"/>
                <w:b/>
                <w:color w:val="000000"/>
                <w:sz w:val="21"/>
              </w:rPr>
              <w:t>2024年（%）</w:t>
            </w:r>
          </w:p>
        </w:tc>
        <w:tc>
          <w:tcPr>
            <w:tcW w:w="816" w:type="pct"/>
            <w:tcBorders>
              <w:top w:val="single" w:sz="12" w:space="0" w:color="010000"/>
              <w:bottom w:val="single" w:sz="4" w:space="0" w:color="010000"/>
            </w:tcBorders>
            <w:vAlign w:val="center"/>
          </w:tcPr>
          <w:p>
            <w:pPr>
              <w:jc w:val="center"/>
            </w:pPr>
            <w:r/>
            <w:r>
              <w:rPr>
                <w:rFonts w:hint="eastAsia"/>
                <w:b/>
                <w:color w:val="000000"/>
                <w:sz w:val="21"/>
              </w:rPr>
              <w:t>2023年（%）</w:t>
            </w:r>
          </w:p>
        </w:tc>
        <w:tc>
          <w:tcPr>
            <w:tcW w:w="1531" w:type="pct"/>
            <w:tcBorders>
              <w:top w:val="single" w:sz="12" w:space="0" w:color="010000"/>
              <w:bottom w:val="single" w:sz="4" w:space="0" w:color="010000"/>
            </w:tcBorders>
            <w:vAlign w:val="center"/>
          </w:tcPr>
          <w:p>
            <w:pPr>
              <w:jc w:val="center"/>
            </w:pPr>
            <w:r/>
            <w:r>
              <w:rPr>
                <w:rFonts w:hint="eastAsia"/>
                <w:b/>
                <w:color w:val="000000"/>
                <w:sz w:val="21"/>
              </w:rPr>
              <w:t>主要产品的材料属性</w:t>
            </w:r>
          </w:p>
        </w:tc>
      </w:tr>
      <w:tr>
        <w:trPr>
          <w:cantSplit/>
          <w:jc w:val="center"/>
        </w:trPr>
        <w:tc>
          <w:tcPr>
            <w:tcW w:w="1020" w:type="pct"/>
            <w:tcBorders>
              <w:top w:val="single" w:sz="4" w:space="0" w:color="010000"/>
            </w:tcBorders>
            <w:vAlign w:val="center"/>
          </w:tcPr>
          <w:p>
            <w:pPr>
              <w:jc w:val="center"/>
            </w:pPr>
            <w:r/>
            <w:r>
              <w:rPr>
                <w:rFonts w:hint="eastAsia"/>
                <w:color w:val="000000"/>
                <w:sz w:val="21"/>
              </w:rPr>
              <w:t>珂玛科技</w:t>
            </w:r>
          </w:p>
        </w:tc>
        <w:tc>
          <w:tcPr>
            <w:tcW w:w="816" w:type="pct"/>
            <w:tcBorders>
              <w:top w:val="single" w:sz="4" w:space="0" w:color="010000"/>
            </w:tcBorders>
            <w:vAlign w:val="center"/>
          </w:tcPr>
          <w:p>
            <w:pPr>
              <w:jc w:val="right"/>
            </w:pPr>
            <w:r/>
            <w:r>
              <w:rPr>
                <w:rFonts w:hint="eastAsia"/>
                <w:color w:val="000000"/>
                <w:sz w:val="21"/>
              </w:rPr>
              <w:t>53.94</w:t>
            </w:r>
          </w:p>
        </w:tc>
        <w:tc>
          <w:tcPr>
            <w:tcW w:w="816" w:type="pct"/>
            <w:tcBorders>
              <w:top w:val="single" w:sz="4" w:space="0" w:color="010000"/>
            </w:tcBorders>
            <w:vAlign w:val="center"/>
          </w:tcPr>
          <w:p>
            <w:pPr>
              <w:jc w:val="right"/>
            </w:pPr>
            <w:r/>
            <w:r>
              <w:rPr>
                <w:rFonts w:hint="eastAsia"/>
                <w:color w:val="000000"/>
                <w:sz w:val="21"/>
              </w:rPr>
              <w:t>58.49</w:t>
            </w:r>
          </w:p>
        </w:tc>
        <w:tc>
          <w:tcPr>
            <w:tcW w:w="816" w:type="pct"/>
            <w:tcBorders>
              <w:top w:val="single" w:sz="4" w:space="0" w:color="010000"/>
            </w:tcBorders>
            <w:vAlign w:val="center"/>
          </w:tcPr>
          <w:p>
            <w:pPr>
              <w:jc w:val="right"/>
            </w:pPr>
            <w:r/>
            <w:r>
              <w:rPr>
                <w:rFonts w:hint="eastAsia"/>
                <w:color w:val="000000"/>
                <w:sz w:val="21"/>
              </w:rPr>
              <w:t>39.78</w:t>
            </w:r>
          </w:p>
        </w:tc>
        <w:tc>
          <w:tcPr>
            <w:tcW w:w="1531" w:type="pct"/>
            <w:tcBorders>
              <w:top w:val="single" w:sz="4" w:space="0" w:color="010000"/>
            </w:tcBorders>
            <w:vAlign w:val="center"/>
          </w:tcPr>
          <w:p>
            <w:pPr>
              <w:jc w:val="left"/>
            </w:pPr>
            <w:r/>
            <w:r>
              <w:rPr>
                <w:rFonts w:hint="eastAsia"/>
                <w:color w:val="000000"/>
                <w:sz w:val="21"/>
              </w:rPr>
              <w:t>非金属，以陶瓷为主</w:t>
            </w:r>
          </w:p>
        </w:tc>
      </w:tr>
      <w:tr>
        <w:trPr>
          <w:cantSplit/>
          <w:jc w:val="center"/>
        </w:trPr>
        <w:tc>
          <w:tcPr>
            <w:tcW w:w="1020" w:type="pct"/>
            <w:tcBorders>
              <w:top w:val="single" w:sz="4" w:space="0" w:color="010000"/>
            </w:tcBorders>
            <w:vAlign w:val="center"/>
          </w:tcPr>
          <w:p>
            <w:pPr>
              <w:jc w:val="center"/>
            </w:pPr>
            <w:r/>
            <w:r>
              <w:rPr>
                <w:rFonts w:hint="eastAsia"/>
                <w:color w:val="000000"/>
                <w:sz w:val="21"/>
              </w:rPr>
              <w:t>臻宝科技</w:t>
            </w:r>
          </w:p>
        </w:tc>
        <w:tc>
          <w:tcPr>
            <w:tcW w:w="816" w:type="pct"/>
            <w:tcBorders>
              <w:top w:val="single" w:sz="4" w:space="0" w:color="010000"/>
            </w:tcBorders>
            <w:vAlign w:val="center"/>
          </w:tcPr>
          <w:p>
            <w:pPr>
              <w:jc w:val="right"/>
            </w:pPr>
            <w:r/>
            <w:r>
              <w:rPr>
                <w:rFonts w:hint="eastAsia"/>
                <w:color w:val="000000"/>
                <w:sz w:val="21"/>
              </w:rPr>
              <w:t>49.85</w:t>
            </w:r>
          </w:p>
        </w:tc>
        <w:tc>
          <w:tcPr>
            <w:tcW w:w="816" w:type="pct"/>
            <w:tcBorders>
              <w:top w:val="single" w:sz="4" w:space="0" w:color="010000"/>
            </w:tcBorders>
            <w:vAlign w:val="center"/>
          </w:tcPr>
          <w:p>
            <w:pPr>
              <w:jc w:val="right"/>
            </w:pPr>
            <w:r/>
            <w:r>
              <w:rPr>
                <w:rFonts w:hint="eastAsia"/>
                <w:color w:val="000000"/>
                <w:sz w:val="21"/>
              </w:rPr>
              <w:t>48.05</w:t>
            </w:r>
          </w:p>
        </w:tc>
        <w:tc>
          <w:tcPr>
            <w:tcW w:w="816" w:type="pct"/>
            <w:tcBorders>
              <w:top w:val="single" w:sz="4" w:space="0" w:color="010000"/>
            </w:tcBorders>
            <w:vAlign w:val="center"/>
          </w:tcPr>
          <w:p>
            <w:pPr>
              <w:jc w:val="right"/>
            </w:pPr>
            <w:r/>
            <w:r>
              <w:rPr>
                <w:rFonts w:hint="eastAsia"/>
                <w:color w:val="000000"/>
                <w:sz w:val="21"/>
              </w:rPr>
              <w:t>42.56</w:t>
            </w:r>
          </w:p>
        </w:tc>
        <w:tc>
          <w:tcPr>
            <w:tcW w:w="1531" w:type="pct"/>
            <w:tcBorders>
              <w:top w:val="single" w:sz="4" w:space="0" w:color="010000"/>
            </w:tcBorders>
            <w:vAlign w:val="center"/>
          </w:tcPr>
          <w:p>
            <w:pPr>
              <w:jc w:val="left"/>
            </w:pPr>
            <w:r/>
            <w:r>
              <w:rPr>
                <w:rFonts w:hint="eastAsia"/>
                <w:color w:val="000000"/>
                <w:sz w:val="21"/>
              </w:rPr>
              <w:t>非金属，硅、石英、碳化硅、陶瓷</w:t>
            </w:r>
          </w:p>
        </w:tc>
      </w:tr>
      <w:tr>
        <w:trPr>
          <w:cantSplit/>
          <w:jc w:val="center"/>
        </w:trPr>
        <w:tc>
          <w:tcPr>
            <w:tcW w:w="1020" w:type="pct"/>
            <w:tcBorders>
              <w:top w:val="single" w:sz="4" w:space="0" w:color="010000"/>
            </w:tcBorders>
            <w:vAlign w:val="center"/>
          </w:tcPr>
          <w:p>
            <w:pPr>
              <w:jc w:val="center"/>
            </w:pPr>
            <w:r/>
            <w:r>
              <w:rPr>
                <w:rFonts w:hint="eastAsia"/>
                <w:color w:val="000000"/>
                <w:sz w:val="21"/>
              </w:rPr>
              <w:t>先锋精科</w:t>
            </w:r>
          </w:p>
        </w:tc>
        <w:tc>
          <w:tcPr>
            <w:tcW w:w="816" w:type="pct"/>
            <w:tcBorders>
              <w:top w:val="single" w:sz="4" w:space="0" w:color="010000"/>
            </w:tcBorders>
            <w:vAlign w:val="center"/>
          </w:tcPr>
          <w:p>
            <w:pPr>
              <w:jc w:val="right"/>
            </w:pPr>
            <w:r/>
            <w:r>
              <w:rPr>
                <w:rFonts w:hint="eastAsia"/>
                <w:color w:val="000000"/>
                <w:sz w:val="21"/>
              </w:rPr>
              <w:t>29.02</w:t>
            </w:r>
          </w:p>
        </w:tc>
        <w:tc>
          <w:tcPr>
            <w:tcW w:w="816" w:type="pct"/>
            <w:tcBorders>
              <w:top w:val="single" w:sz="4" w:space="0" w:color="010000"/>
            </w:tcBorders>
            <w:vAlign w:val="center"/>
          </w:tcPr>
          <w:p>
            <w:pPr>
              <w:jc w:val="right"/>
            </w:pPr>
            <w:r/>
            <w:r>
              <w:rPr>
                <w:rFonts w:hint="eastAsia"/>
                <w:color w:val="000000"/>
                <w:sz w:val="21"/>
              </w:rPr>
              <w:t>33.83</w:t>
            </w:r>
          </w:p>
        </w:tc>
        <w:tc>
          <w:tcPr>
            <w:tcW w:w="816" w:type="pct"/>
            <w:tcBorders>
              <w:top w:val="single" w:sz="4" w:space="0" w:color="010000"/>
            </w:tcBorders>
            <w:vAlign w:val="center"/>
          </w:tcPr>
          <w:p>
            <w:pPr>
              <w:jc w:val="right"/>
            </w:pPr>
            <w:r/>
            <w:r>
              <w:rPr>
                <w:rFonts w:hint="eastAsia"/>
                <w:color w:val="000000"/>
                <w:sz w:val="21"/>
              </w:rPr>
              <w:t>29.93</w:t>
            </w:r>
          </w:p>
        </w:tc>
        <w:tc>
          <w:tcPr>
            <w:tcW w:w="1531" w:type="pct"/>
            <w:tcBorders>
              <w:top w:val="single" w:sz="4" w:space="0" w:color="010000"/>
            </w:tcBorders>
            <w:vAlign w:val="center"/>
          </w:tcPr>
          <w:p>
            <w:pPr>
              <w:jc w:val="left"/>
            </w:pPr>
            <w:r/>
            <w:r>
              <w:rPr>
                <w:rFonts w:hint="eastAsia"/>
                <w:color w:val="000000"/>
                <w:sz w:val="21"/>
              </w:rPr>
              <w:t>金属</w:t>
            </w:r>
          </w:p>
        </w:tc>
      </w:tr>
      <w:tr>
        <w:trPr>
          <w:cantSplit/>
          <w:jc w:val="center"/>
        </w:trPr>
        <w:tc>
          <w:tcPr>
            <w:tcW w:w="1020" w:type="pct"/>
            <w:tcBorders>
              <w:top w:val="single" w:sz="4" w:space="0" w:color="010000"/>
            </w:tcBorders>
            <w:vAlign w:val="center"/>
          </w:tcPr>
          <w:p>
            <w:pPr>
              <w:jc w:val="center"/>
            </w:pPr>
            <w:r/>
            <w:r>
              <w:rPr>
                <w:rFonts w:hint="eastAsia"/>
                <w:color w:val="000000"/>
                <w:sz w:val="21"/>
              </w:rPr>
              <w:t>托伦斯</w:t>
            </w:r>
          </w:p>
        </w:tc>
        <w:tc>
          <w:tcPr>
            <w:tcW w:w="816" w:type="pct"/>
            <w:tcBorders>
              <w:top w:val="single" w:sz="4" w:space="0" w:color="010000"/>
            </w:tcBorders>
            <w:vAlign w:val="center"/>
          </w:tcPr>
          <w:p>
            <w:pPr>
              <w:jc w:val="right"/>
            </w:pPr>
            <w:r/>
            <w:r>
              <w:rPr>
                <w:rFonts w:hint="eastAsia"/>
                <w:color w:val="000000"/>
                <w:sz w:val="21"/>
              </w:rPr>
              <w:t>27.14</w:t>
            </w:r>
          </w:p>
        </w:tc>
        <w:tc>
          <w:tcPr>
            <w:tcW w:w="816" w:type="pct"/>
            <w:tcBorders>
              <w:top w:val="single" w:sz="4" w:space="0" w:color="010000"/>
            </w:tcBorders>
            <w:vAlign w:val="center"/>
          </w:tcPr>
          <w:p>
            <w:pPr>
              <w:jc w:val="right"/>
            </w:pPr>
            <w:r/>
            <w:r>
              <w:rPr>
                <w:rFonts w:hint="eastAsia"/>
                <w:color w:val="000000"/>
                <w:sz w:val="21"/>
              </w:rPr>
              <w:t>29.89</w:t>
            </w:r>
          </w:p>
        </w:tc>
        <w:tc>
          <w:tcPr>
            <w:tcW w:w="816" w:type="pct"/>
            <w:tcBorders>
              <w:top w:val="single" w:sz="4" w:space="0" w:color="010000"/>
            </w:tcBorders>
            <w:vAlign w:val="center"/>
          </w:tcPr>
          <w:p>
            <w:pPr>
              <w:jc w:val="right"/>
            </w:pPr>
            <w:r/>
            <w:r>
              <w:rPr>
                <w:rFonts w:hint="eastAsia"/>
                <w:color w:val="000000"/>
                <w:sz w:val="21"/>
              </w:rPr>
              <w:t>23.26</w:t>
            </w:r>
          </w:p>
        </w:tc>
        <w:tc>
          <w:tcPr>
            <w:tcW w:w="1531" w:type="pct"/>
            <w:tcBorders>
              <w:top w:val="single" w:sz="4" w:space="0" w:color="010000"/>
            </w:tcBorders>
            <w:vAlign w:val="center"/>
          </w:tcPr>
          <w:p>
            <w:pPr>
              <w:jc w:val="left"/>
            </w:pPr>
            <w:r/>
            <w:r>
              <w:rPr>
                <w:rFonts w:hint="eastAsia"/>
                <w:color w:val="000000"/>
                <w:sz w:val="21"/>
              </w:rPr>
              <w:t>金属</w:t>
            </w:r>
          </w:p>
        </w:tc>
      </w:tr>
      <w:tr>
        <w:trPr>
          <w:cantSplit/>
          <w:jc w:val="center"/>
        </w:trPr>
        <w:tc>
          <w:tcPr>
            <w:tcW w:w="1020" w:type="pct"/>
            <w:tcBorders>
              <w:top w:val="single" w:sz="4" w:space="0" w:color="010000"/>
            </w:tcBorders>
            <w:vAlign w:val="center"/>
          </w:tcPr>
          <w:p>
            <w:pPr>
              <w:jc w:val="center"/>
            </w:pPr>
            <w:r/>
            <w:r>
              <w:rPr>
                <w:rFonts w:hint="eastAsia"/>
                <w:color w:val="000000"/>
                <w:sz w:val="21"/>
              </w:rPr>
              <w:t>富创精密</w:t>
            </w:r>
          </w:p>
        </w:tc>
        <w:tc>
          <w:tcPr>
            <w:tcW w:w="816" w:type="pct"/>
            <w:tcBorders>
              <w:top w:val="single" w:sz="4" w:space="0" w:color="010000"/>
            </w:tcBorders>
            <w:vAlign w:val="center"/>
          </w:tcPr>
          <w:p>
            <w:pPr>
              <w:jc w:val="right"/>
            </w:pPr>
            <w:r/>
            <w:r>
              <w:rPr>
                <w:rFonts w:hint="eastAsia"/>
                <w:color w:val="000000"/>
                <w:sz w:val="21"/>
              </w:rPr>
              <w:t>24.94</w:t>
            </w:r>
          </w:p>
        </w:tc>
        <w:tc>
          <w:tcPr>
            <w:tcW w:w="816" w:type="pct"/>
            <w:tcBorders>
              <w:top w:val="single" w:sz="4" w:space="0" w:color="010000"/>
            </w:tcBorders>
            <w:vAlign w:val="center"/>
          </w:tcPr>
          <w:p>
            <w:pPr>
              <w:jc w:val="right"/>
            </w:pPr>
            <w:r/>
            <w:r>
              <w:rPr>
                <w:rFonts w:hint="eastAsia"/>
                <w:color w:val="000000"/>
                <w:sz w:val="21"/>
              </w:rPr>
              <w:t>25.80</w:t>
            </w:r>
          </w:p>
        </w:tc>
        <w:tc>
          <w:tcPr>
            <w:tcW w:w="816" w:type="pct"/>
            <w:tcBorders>
              <w:top w:val="single" w:sz="4" w:space="0" w:color="010000"/>
            </w:tcBorders>
            <w:vAlign w:val="center"/>
          </w:tcPr>
          <w:p>
            <w:pPr>
              <w:jc w:val="right"/>
            </w:pPr>
            <w:r/>
            <w:r>
              <w:rPr>
                <w:rFonts w:hint="eastAsia"/>
                <w:color w:val="000000"/>
                <w:sz w:val="21"/>
              </w:rPr>
              <w:t>25.20</w:t>
            </w:r>
          </w:p>
        </w:tc>
        <w:tc>
          <w:tcPr>
            <w:tcW w:w="1531" w:type="pct"/>
            <w:tcBorders>
              <w:top w:val="single" w:sz="4" w:space="0" w:color="010000"/>
            </w:tcBorders>
            <w:vAlign w:val="center"/>
          </w:tcPr>
          <w:p>
            <w:pPr>
              <w:jc w:val="left"/>
            </w:pPr>
            <w:r/>
            <w:r>
              <w:rPr>
                <w:rFonts w:hint="eastAsia"/>
                <w:color w:val="000000"/>
                <w:sz w:val="21"/>
              </w:rPr>
              <w:t>金属，含模组</w:t>
            </w:r>
          </w:p>
        </w:tc>
      </w:tr>
    </w:tbl>
    <w:p>
      <w:pPr>
        <w:pStyle w:val="a6"/>
        <w:jc w:val="center"/>
      </w:pPr>
      <w:r>
        <w:rPr>
          <w:rFonts w:hint="eastAsia"/>
          <w:sz w:val="11"/>
          <w:szCs w:val="11"/>
        </w:rPr>
        <w:t>资料来源：托伦斯招股说明书（注册稿），本报告整理。注：2025年数据中，托伦斯、先锋精科、臻宝科技为全年口径，珂玛科技、富创精密为2025年1—9月口径；材料属性一列为本报告依据各公司主营产品描述归纳。</w:t>
      </w:r>
    </w:p>
    <w:p>
      <w:pPr>
        <w:jc w:val="center"/>
      </w:pPr>
      <w:r>
        <w:drawing>
          <wp:inline xmlns:a="http://schemas.openxmlformats.org/drawingml/2006/main" xmlns:pic="http://schemas.openxmlformats.org/drawingml/2006/picture">
            <wp:extent cx="5074920" cy="2347150"/>
            <wp:docPr id="2" name="Picture 2"/>
            <wp:cNvGraphicFramePr>
              <a:graphicFrameLocks noChangeAspect="1"/>
            </wp:cNvGraphicFramePr>
            <a:graphic>
              <a:graphicData uri="http://schemas.openxmlformats.org/drawingml/2006/picture">
                <pic:pic>
                  <pic:nvPicPr>
                    <pic:cNvPr id="0" name="fig2_maolilv.png"/>
                    <pic:cNvPicPr/>
                  </pic:nvPicPr>
                  <pic:blipFill>
                    <a:blip r:embed="rId17"/>
                    <a:stretch>
                      <a:fillRect/>
                    </a:stretch>
                  </pic:blipFill>
                  <pic:spPr>
                    <a:xfrm>
                      <a:off x="0" y="0"/>
                      <a:ext cx="5074920" cy="2347150"/>
                    </a:xfrm>
                    <a:prstGeom prst="rect"/>
                  </pic:spPr>
                </pic:pic>
              </a:graphicData>
            </a:graphic>
          </wp:inline>
        </w:drawing>
      </w:r>
    </w:p>
    <w:p>
      <w:pPr>
        <w:keepNext/>
        <w:jc w:val="center"/>
      </w:pPr>
      <w:r>
        <w:rPr>
          <w:rFonts w:hint="eastAsia"/>
          <w:b/>
          <w:sz w:val="21"/>
        </w:rPr>
        <w:t>图2  可比公司主营业务毛利率（按材料路线分组）</w:t>
      </w:r>
    </w:p>
    <w:p>
      <w:pPr>
        <w:pStyle w:val="a6"/>
        <w:jc w:val="center"/>
      </w:pPr>
      <w:r>
        <w:rPr>
          <w:rFonts w:hint="eastAsia"/>
          <w:sz w:val="11"/>
          <w:szCs w:val="11"/>
        </w:rPr>
        <w:t>资料来源：托伦斯招股说明书（注册稿），本报告整理。注：口径同表9。</w:t>
      </w:r>
    </w:p>
    <w:p>
      <w:pPr>
        <w:pStyle w:val="a0"/>
      </w:pPr>
      <w:r>
        <w:rPr>
          <w:rFonts w:hint="eastAsia"/>
        </w:rPr>
        <w:t>五家公司的毛利率分成两档。非金属路线的珂玛科技、臻宝科技在50%上下；金属路线的先锋精科、托伦斯、富创精密均不到30%，分别为29.02%、27.14%与24.94%。两档之间最窄处也相差约20个百分点。同行业公司对此的解释是加工附加值与原材料成本的比例不同：非金属零部件在加工过程中产生的附加值高于原材料成本，金属件更接近材料加工，模组类产品还要计入外购零部件成本。无锡金源的产品跨这两条路线。加热盘若走氮化铝陶瓷路线，落在高毛利率一档；气体喷头按本报告判断为金属件，落在低毛利率一档。O型圈属高分子密封件，两档都不覆盖；门板属结构件，附加值最低。因此公司的综合毛利率主要取决于加热盘的收入占比。</w:t>
      </w:r>
    </w:p>
    <w:p>
      <w:pPr>
        <w:pStyle w:val="3"/>
        <w:numPr>
          <w:ilvl w:val="0"/>
          <w:numId w:val="0"/>
        </w:numPr>
        <w:spacing w:before="156" w:after="156"/>
      </w:pPr>
      <w:bookmarkStart w:id="1017" w:name="_Toc900017"/>
      <w:r>
        <w:rPr>
          <w:rFonts w:hint="eastAsia"/>
        </w:rPr>
        <w:t>5.3 单一产品的毛利率水平</w:t>
      </w:r>
      <w:bookmarkEnd w:id="1017"/>
    </w:p>
    <w:p>
      <w:pPr>
        <w:pStyle w:val="a0"/>
      </w:pPr>
      <w:r>
        <w:rPr>
          <w:rFonts w:hint="eastAsia"/>
        </w:rPr>
        <w:t>五家可比公司中，托伦斯与先锋精科按单品披露了毛利率，富创精密未作单品拆分。与无锡金源两条核心产品线直接对应的是匀气盘（气体分布盘）与加热器，这也正是公司技术能力最强的两项。O型圈与密封件门板在五家可比公司中均无对应的分产品披露，公开数据无法覆盖，只能当面取数。</w:t>
      </w:r>
    </w:p>
    <w:p>
      <w:pPr>
        <w:keepNext/>
        <w:jc w:val="center"/>
      </w:pPr>
      <w:r>
        <w:rPr>
          <w:rFonts w:hint="eastAsia"/>
          <w:b/>
          <w:sz w:val="21"/>
        </w:rPr>
        <w:t>表10  与无锡金源产品对应品类的分产品毛利率</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816" w:type="pct"/>
            <w:tcBorders>
              <w:top w:val="single" w:sz="12" w:space="0" w:color="010000"/>
              <w:bottom w:val="single" w:sz="4" w:space="0" w:color="010000"/>
            </w:tcBorders>
            <w:vAlign w:val="center"/>
          </w:tcPr>
          <w:p>
            <w:pPr>
              <w:jc w:val="center"/>
            </w:pPr>
            <w:r/>
            <w:r>
              <w:rPr>
                <w:rFonts w:hint="eastAsia"/>
                <w:b/>
                <w:color w:val="000000"/>
                <w:sz w:val="21"/>
              </w:rPr>
              <w:t>产品</w:t>
            </w:r>
          </w:p>
        </w:tc>
        <w:tc>
          <w:tcPr>
            <w:tcW w:w="918" w:type="pct"/>
            <w:tcBorders>
              <w:top w:val="single" w:sz="12" w:space="0" w:color="010000"/>
              <w:bottom w:val="single" w:sz="4" w:space="0" w:color="010000"/>
            </w:tcBorders>
            <w:vAlign w:val="center"/>
          </w:tcPr>
          <w:p>
            <w:pPr>
              <w:jc w:val="center"/>
            </w:pPr>
            <w:r/>
            <w:r>
              <w:rPr>
                <w:rFonts w:hint="eastAsia"/>
                <w:b/>
                <w:color w:val="000000"/>
                <w:sz w:val="21"/>
              </w:rPr>
              <w:t>对应无锡金源产品</w:t>
            </w:r>
          </w:p>
        </w:tc>
        <w:tc>
          <w:tcPr>
            <w:tcW w:w="816" w:type="pct"/>
            <w:tcBorders>
              <w:top w:val="single" w:sz="12" w:space="0" w:color="010000"/>
              <w:bottom w:val="single" w:sz="4" w:space="0" w:color="010000"/>
            </w:tcBorders>
            <w:vAlign w:val="center"/>
          </w:tcPr>
          <w:p>
            <w:pPr>
              <w:jc w:val="center"/>
            </w:pPr>
            <w:r/>
            <w:r>
              <w:rPr>
                <w:rFonts w:hint="eastAsia"/>
                <w:b/>
                <w:color w:val="000000"/>
                <w:sz w:val="21"/>
              </w:rPr>
              <w:t>公司</w:t>
            </w:r>
          </w:p>
        </w:tc>
        <w:tc>
          <w:tcPr>
            <w:tcW w:w="816" w:type="pct"/>
            <w:tcBorders>
              <w:top w:val="single" w:sz="12" w:space="0" w:color="010000"/>
              <w:bottom w:val="single" w:sz="4" w:space="0" w:color="010000"/>
            </w:tcBorders>
            <w:vAlign w:val="center"/>
          </w:tcPr>
          <w:p>
            <w:pPr>
              <w:jc w:val="center"/>
            </w:pPr>
            <w:r/>
            <w:r>
              <w:rPr>
                <w:rFonts w:hint="eastAsia"/>
                <w:b/>
                <w:color w:val="000000"/>
                <w:sz w:val="21"/>
              </w:rPr>
              <w:t>2024年（%）</w:t>
            </w:r>
          </w:p>
        </w:tc>
        <w:tc>
          <w:tcPr>
            <w:tcW w:w="816" w:type="pct"/>
            <w:tcBorders>
              <w:top w:val="single" w:sz="12" w:space="0" w:color="010000"/>
              <w:bottom w:val="single" w:sz="4" w:space="0" w:color="010000"/>
            </w:tcBorders>
            <w:vAlign w:val="center"/>
          </w:tcPr>
          <w:p>
            <w:pPr>
              <w:jc w:val="center"/>
            </w:pPr>
            <w:r/>
            <w:r>
              <w:rPr>
                <w:rFonts w:hint="eastAsia"/>
                <w:b/>
                <w:color w:val="000000"/>
                <w:sz w:val="21"/>
              </w:rPr>
              <w:t>2023年（%）</w:t>
            </w:r>
          </w:p>
        </w:tc>
        <w:tc>
          <w:tcPr>
            <w:tcW w:w="816" w:type="pct"/>
            <w:tcBorders>
              <w:top w:val="single" w:sz="12" w:space="0" w:color="010000"/>
              <w:bottom w:val="single" w:sz="4" w:space="0" w:color="010000"/>
            </w:tcBorders>
            <w:vAlign w:val="center"/>
          </w:tcPr>
          <w:p>
            <w:pPr>
              <w:jc w:val="center"/>
            </w:pPr>
            <w:r/>
            <w:r>
              <w:rPr>
                <w:rFonts w:hint="eastAsia"/>
                <w:b/>
                <w:color w:val="000000"/>
                <w:sz w:val="21"/>
              </w:rPr>
              <w:t>2022年（%）</w:t>
            </w:r>
          </w:p>
        </w:tc>
      </w:tr>
      <w:tr>
        <w:trPr>
          <w:cantSplit/>
          <w:jc w:val="center"/>
        </w:trPr>
        <w:tc>
          <w:tcPr>
            <w:tcW w:w="816" w:type="pct"/>
            <w:tcBorders>
              <w:top w:val="single" w:sz="4" w:space="0" w:color="010000"/>
            </w:tcBorders>
            <w:vAlign w:val="center"/>
          </w:tcPr>
          <w:p>
            <w:pPr>
              <w:jc w:val="center"/>
            </w:pPr>
            <w:r/>
            <w:r>
              <w:rPr>
                <w:rFonts w:hint="eastAsia"/>
                <w:b/>
                <w:color w:val="000000"/>
                <w:sz w:val="21"/>
              </w:rPr>
              <w:t>匀气盘</w:t>
            </w:r>
          </w:p>
        </w:tc>
        <w:tc>
          <w:tcPr>
            <w:tcW w:w="918" w:type="pct"/>
            <w:tcBorders>
              <w:top w:val="single" w:sz="4" w:space="0" w:color="010000"/>
            </w:tcBorders>
            <w:vAlign w:val="center"/>
          </w:tcPr>
          <w:p>
            <w:pPr>
              <w:jc w:val="center"/>
            </w:pPr>
            <w:r/>
            <w:r>
              <w:rPr>
                <w:rFonts w:hint="eastAsia"/>
                <w:b/>
                <w:color w:val="000000"/>
                <w:sz w:val="21"/>
              </w:rPr>
              <w:t>精密气体喷头</w:t>
            </w:r>
          </w:p>
        </w:tc>
        <w:tc>
          <w:tcPr>
            <w:tcW w:w="816" w:type="pct"/>
            <w:tcBorders>
              <w:top w:val="single" w:sz="4" w:space="0" w:color="010000"/>
            </w:tcBorders>
            <w:vAlign w:val="center"/>
          </w:tcPr>
          <w:p>
            <w:pPr>
              <w:jc w:val="center"/>
            </w:pPr>
            <w:r/>
            <w:r>
              <w:rPr>
                <w:rFonts w:hint="eastAsia"/>
                <w:b/>
                <w:color w:val="000000"/>
                <w:sz w:val="21"/>
              </w:rPr>
              <w:t>先锋精科</w:t>
            </w:r>
          </w:p>
        </w:tc>
        <w:tc>
          <w:tcPr>
            <w:tcW w:w="816" w:type="pct"/>
            <w:tcBorders>
              <w:top w:val="single" w:sz="4" w:space="0" w:color="010000"/>
            </w:tcBorders>
            <w:vAlign w:val="center"/>
          </w:tcPr>
          <w:p>
            <w:pPr>
              <w:jc w:val="right"/>
            </w:pPr>
            <w:r/>
            <w:r>
              <w:rPr>
                <w:rFonts w:hint="eastAsia"/>
                <w:b/>
                <w:color w:val="000000"/>
                <w:sz w:val="21"/>
              </w:rPr>
              <w:t>40.73</w:t>
            </w:r>
          </w:p>
        </w:tc>
        <w:tc>
          <w:tcPr>
            <w:tcW w:w="816" w:type="pct"/>
            <w:tcBorders>
              <w:top w:val="single" w:sz="4" w:space="0" w:color="010000"/>
            </w:tcBorders>
            <w:vAlign w:val="center"/>
          </w:tcPr>
          <w:p>
            <w:pPr>
              <w:jc w:val="right"/>
            </w:pPr>
            <w:r/>
            <w:r>
              <w:rPr>
                <w:rFonts w:hint="eastAsia"/>
                <w:b/>
                <w:color w:val="000000"/>
                <w:sz w:val="21"/>
              </w:rPr>
              <w:t>39.76</w:t>
            </w:r>
          </w:p>
        </w:tc>
        <w:tc>
          <w:tcPr>
            <w:tcW w:w="816" w:type="pct"/>
            <w:tcBorders>
              <w:top w:val="single" w:sz="4" w:space="0" w:color="010000"/>
            </w:tcBorders>
            <w:vAlign w:val="center"/>
          </w:tcPr>
          <w:p>
            <w:pPr>
              <w:jc w:val="right"/>
            </w:pPr>
            <w:r/>
            <w:r>
              <w:rPr>
                <w:rFonts w:hint="eastAsia"/>
                <w:b/>
                <w:color w:val="000000"/>
                <w:sz w:val="21"/>
              </w:rPr>
              <w:t>43.31</w:t>
            </w:r>
          </w:p>
        </w:tc>
      </w:tr>
      <w:tr>
        <w:trPr>
          <w:cantSplit/>
          <w:jc w:val="center"/>
        </w:trPr>
        <w:tc>
          <w:tcPr>
            <w:tcW w:w="816" w:type="pct"/>
            <w:tcBorders>
              <w:top w:val="single" w:sz="4" w:space="0" w:color="010000"/>
            </w:tcBorders>
            <w:vAlign w:val="center"/>
          </w:tcPr>
          <w:p>
            <w:pPr>
              <w:jc w:val="center"/>
            </w:pPr>
            <w:r/>
            <w:r>
              <w:rPr>
                <w:rFonts w:hint="eastAsia"/>
                <w:b/>
                <w:color w:val="000000"/>
                <w:sz w:val="21"/>
              </w:rPr>
              <w:t>匀气盘</w:t>
            </w:r>
          </w:p>
        </w:tc>
        <w:tc>
          <w:tcPr>
            <w:tcW w:w="918" w:type="pct"/>
            <w:tcBorders>
              <w:top w:val="single" w:sz="4" w:space="0" w:color="010000"/>
            </w:tcBorders>
            <w:vAlign w:val="center"/>
          </w:tcPr>
          <w:p>
            <w:pPr>
              <w:jc w:val="center"/>
            </w:pPr>
            <w:r/>
            <w:r>
              <w:rPr>
                <w:rFonts w:hint="eastAsia"/>
                <w:b/>
                <w:color w:val="000000"/>
                <w:sz w:val="21"/>
              </w:rPr>
              <w:t>精密气体喷头</w:t>
            </w:r>
          </w:p>
        </w:tc>
        <w:tc>
          <w:tcPr>
            <w:tcW w:w="816" w:type="pct"/>
            <w:tcBorders>
              <w:top w:val="single" w:sz="4" w:space="0" w:color="010000"/>
            </w:tcBorders>
            <w:vAlign w:val="center"/>
          </w:tcPr>
          <w:p>
            <w:pPr>
              <w:jc w:val="center"/>
            </w:pPr>
            <w:r/>
            <w:r>
              <w:rPr>
                <w:rFonts w:hint="eastAsia"/>
                <w:b/>
                <w:color w:val="000000"/>
                <w:sz w:val="21"/>
              </w:rPr>
              <w:t>托伦斯</w:t>
            </w:r>
          </w:p>
        </w:tc>
        <w:tc>
          <w:tcPr>
            <w:tcW w:w="816" w:type="pct"/>
            <w:tcBorders>
              <w:top w:val="single" w:sz="4" w:space="0" w:color="010000"/>
            </w:tcBorders>
            <w:vAlign w:val="center"/>
          </w:tcPr>
          <w:p>
            <w:pPr>
              <w:jc w:val="right"/>
            </w:pPr>
            <w:r/>
            <w:r>
              <w:rPr>
                <w:rFonts w:hint="eastAsia"/>
                <w:b/>
                <w:color w:val="000000"/>
                <w:sz w:val="21"/>
              </w:rPr>
              <w:t>31.86</w:t>
            </w:r>
          </w:p>
        </w:tc>
        <w:tc>
          <w:tcPr>
            <w:tcW w:w="816" w:type="pct"/>
            <w:tcBorders>
              <w:top w:val="single" w:sz="4" w:space="0" w:color="010000"/>
            </w:tcBorders>
            <w:vAlign w:val="center"/>
          </w:tcPr>
          <w:p>
            <w:pPr>
              <w:jc w:val="right"/>
            </w:pPr>
            <w:r/>
            <w:r>
              <w:rPr>
                <w:rFonts w:hint="eastAsia"/>
                <w:b/>
                <w:color w:val="000000"/>
                <w:sz w:val="21"/>
              </w:rPr>
              <w:t>27.44</w:t>
            </w:r>
          </w:p>
        </w:tc>
        <w:tc>
          <w:tcPr>
            <w:tcW w:w="816" w:type="pct"/>
            <w:tcBorders>
              <w:top w:val="single" w:sz="4" w:space="0" w:color="010000"/>
            </w:tcBorders>
            <w:vAlign w:val="center"/>
          </w:tcPr>
          <w:p>
            <w:pPr>
              <w:jc w:val="right"/>
            </w:pPr>
            <w:r/>
            <w:r>
              <w:rPr>
                <w:rFonts w:hint="eastAsia"/>
                <w:b/>
                <w:color w:val="000000"/>
                <w:sz w:val="21"/>
              </w:rPr>
              <w:t>26.72</w:t>
            </w:r>
          </w:p>
        </w:tc>
      </w:tr>
      <w:tr>
        <w:trPr>
          <w:cantSplit/>
          <w:jc w:val="center"/>
        </w:trPr>
        <w:tc>
          <w:tcPr>
            <w:tcW w:w="816" w:type="pct"/>
            <w:tcBorders>
              <w:top w:val="single" w:sz="4" w:space="0" w:color="010000"/>
            </w:tcBorders>
            <w:vAlign w:val="center"/>
          </w:tcPr>
          <w:p>
            <w:pPr>
              <w:jc w:val="center"/>
            </w:pPr>
            <w:r/>
            <w:r>
              <w:rPr>
                <w:rFonts w:hint="eastAsia"/>
                <w:b/>
                <w:color w:val="000000"/>
                <w:sz w:val="21"/>
              </w:rPr>
              <w:t>气体分布盘</w:t>
            </w:r>
          </w:p>
        </w:tc>
        <w:tc>
          <w:tcPr>
            <w:tcW w:w="918" w:type="pct"/>
            <w:tcBorders>
              <w:top w:val="single" w:sz="4" w:space="0" w:color="010000"/>
            </w:tcBorders>
            <w:vAlign w:val="center"/>
          </w:tcPr>
          <w:p>
            <w:pPr>
              <w:jc w:val="center"/>
            </w:pPr>
            <w:r/>
            <w:r>
              <w:rPr>
                <w:rFonts w:hint="eastAsia"/>
                <w:b/>
                <w:color w:val="000000"/>
                <w:sz w:val="21"/>
              </w:rPr>
              <w:t>精密气体喷头</w:t>
            </w:r>
          </w:p>
        </w:tc>
        <w:tc>
          <w:tcPr>
            <w:tcW w:w="816" w:type="pct"/>
            <w:tcBorders>
              <w:top w:val="single" w:sz="4" w:space="0" w:color="010000"/>
            </w:tcBorders>
            <w:vAlign w:val="center"/>
          </w:tcPr>
          <w:p>
            <w:pPr>
              <w:jc w:val="center"/>
            </w:pPr>
            <w:r/>
            <w:r>
              <w:rPr>
                <w:rFonts w:hint="eastAsia"/>
                <w:b/>
                <w:color w:val="000000"/>
                <w:sz w:val="21"/>
              </w:rPr>
              <w:t>托伦斯</w:t>
            </w:r>
          </w:p>
        </w:tc>
        <w:tc>
          <w:tcPr>
            <w:tcW w:w="816" w:type="pct"/>
            <w:tcBorders>
              <w:top w:val="single" w:sz="4" w:space="0" w:color="010000"/>
            </w:tcBorders>
            <w:vAlign w:val="center"/>
          </w:tcPr>
          <w:p>
            <w:pPr>
              <w:jc w:val="right"/>
            </w:pPr>
            <w:r/>
            <w:r>
              <w:rPr>
                <w:rFonts w:hint="eastAsia"/>
                <w:b/>
                <w:color w:val="000000"/>
                <w:sz w:val="21"/>
              </w:rPr>
              <w:t>25.88</w:t>
            </w:r>
          </w:p>
        </w:tc>
        <w:tc>
          <w:tcPr>
            <w:tcW w:w="816" w:type="pct"/>
            <w:tcBorders>
              <w:top w:val="single" w:sz="4" w:space="0" w:color="010000"/>
            </w:tcBorders>
            <w:vAlign w:val="center"/>
          </w:tcPr>
          <w:p>
            <w:pPr>
              <w:jc w:val="right"/>
            </w:pPr>
            <w:r/>
            <w:r>
              <w:rPr>
                <w:rFonts w:hint="eastAsia"/>
                <w:b/>
                <w:color w:val="000000"/>
                <w:sz w:val="21"/>
              </w:rPr>
              <w:t>20.05</w:t>
            </w:r>
          </w:p>
        </w:tc>
        <w:tc>
          <w:tcPr>
            <w:tcW w:w="816" w:type="pct"/>
            <w:tcBorders>
              <w:top w:val="single" w:sz="4" w:space="0" w:color="010000"/>
            </w:tcBorders>
            <w:vAlign w:val="center"/>
          </w:tcPr>
          <w:p>
            <w:pPr>
              <w:jc w:val="right"/>
            </w:pPr>
            <w:r/>
            <w:r>
              <w:rPr>
                <w:rFonts w:hint="eastAsia"/>
                <w:b/>
                <w:color w:val="000000"/>
                <w:sz w:val="21"/>
              </w:rPr>
              <w:t>40.93</w:t>
            </w:r>
          </w:p>
        </w:tc>
      </w:tr>
      <w:tr>
        <w:trPr>
          <w:cantSplit/>
          <w:jc w:val="center"/>
        </w:trPr>
        <w:tc>
          <w:tcPr>
            <w:tcW w:w="816" w:type="pct"/>
            <w:tcBorders>
              <w:top w:val="single" w:sz="4" w:space="0" w:color="010000"/>
            </w:tcBorders>
            <w:vAlign w:val="center"/>
          </w:tcPr>
          <w:p>
            <w:pPr>
              <w:jc w:val="center"/>
            </w:pPr>
            <w:r/>
            <w:r>
              <w:rPr>
                <w:rFonts w:hint="eastAsia"/>
                <w:b/>
                <w:color w:val="000000"/>
                <w:sz w:val="21"/>
              </w:rPr>
              <w:t>加热器</w:t>
            </w:r>
          </w:p>
        </w:tc>
        <w:tc>
          <w:tcPr>
            <w:tcW w:w="918" w:type="pct"/>
            <w:tcBorders>
              <w:top w:val="single" w:sz="4" w:space="0" w:color="010000"/>
            </w:tcBorders>
            <w:vAlign w:val="center"/>
          </w:tcPr>
          <w:p>
            <w:pPr>
              <w:jc w:val="center"/>
            </w:pPr>
            <w:r/>
            <w:r>
              <w:rPr>
                <w:rFonts w:hint="eastAsia"/>
                <w:b/>
                <w:color w:val="000000"/>
                <w:sz w:val="21"/>
              </w:rPr>
              <w:t>加热盘</w:t>
            </w:r>
          </w:p>
        </w:tc>
        <w:tc>
          <w:tcPr>
            <w:tcW w:w="816" w:type="pct"/>
            <w:tcBorders>
              <w:top w:val="single" w:sz="4" w:space="0" w:color="010000"/>
            </w:tcBorders>
            <w:vAlign w:val="center"/>
          </w:tcPr>
          <w:p>
            <w:pPr>
              <w:jc w:val="center"/>
            </w:pPr>
            <w:r/>
            <w:r>
              <w:rPr>
                <w:rFonts w:hint="eastAsia"/>
                <w:b/>
                <w:color w:val="000000"/>
                <w:sz w:val="21"/>
              </w:rPr>
              <w:t>先锋精科</w:t>
            </w:r>
          </w:p>
        </w:tc>
        <w:tc>
          <w:tcPr>
            <w:tcW w:w="816" w:type="pct"/>
            <w:tcBorders>
              <w:top w:val="single" w:sz="4" w:space="0" w:color="010000"/>
            </w:tcBorders>
            <w:vAlign w:val="center"/>
          </w:tcPr>
          <w:p>
            <w:pPr>
              <w:jc w:val="right"/>
            </w:pPr>
            <w:r/>
            <w:r>
              <w:rPr>
                <w:rFonts w:hint="eastAsia"/>
                <w:b/>
                <w:color w:val="000000"/>
                <w:sz w:val="21"/>
              </w:rPr>
              <w:t>43.66</w:t>
            </w:r>
          </w:p>
        </w:tc>
        <w:tc>
          <w:tcPr>
            <w:tcW w:w="816" w:type="pct"/>
            <w:tcBorders>
              <w:top w:val="single" w:sz="4" w:space="0" w:color="010000"/>
            </w:tcBorders>
            <w:vAlign w:val="center"/>
          </w:tcPr>
          <w:p>
            <w:pPr>
              <w:jc w:val="right"/>
            </w:pPr>
            <w:r/>
            <w:r>
              <w:rPr>
                <w:rFonts w:hint="eastAsia"/>
                <w:b/>
                <w:color w:val="000000"/>
                <w:sz w:val="21"/>
              </w:rPr>
              <w:t>39.85</w:t>
            </w:r>
          </w:p>
        </w:tc>
        <w:tc>
          <w:tcPr>
            <w:tcW w:w="816" w:type="pct"/>
            <w:tcBorders>
              <w:top w:val="single" w:sz="4" w:space="0" w:color="010000"/>
            </w:tcBorders>
            <w:vAlign w:val="center"/>
          </w:tcPr>
          <w:p>
            <w:pPr>
              <w:jc w:val="right"/>
            </w:pPr>
            <w:r/>
            <w:r>
              <w:rPr>
                <w:rFonts w:hint="eastAsia"/>
                <w:b/>
                <w:color w:val="000000"/>
                <w:sz w:val="21"/>
              </w:rPr>
              <w:t>49.85</w:t>
            </w:r>
          </w:p>
        </w:tc>
      </w:tr>
      <w:tr>
        <w:trPr>
          <w:cantSplit/>
          <w:jc w:val="center"/>
        </w:trPr>
        <w:tc>
          <w:tcPr>
            <w:tcW w:w="816" w:type="pct"/>
            <w:tcBorders>
              <w:top w:val="single" w:sz="4" w:space="0" w:color="010000"/>
            </w:tcBorders>
            <w:vAlign w:val="center"/>
          </w:tcPr>
          <w:p>
            <w:pPr>
              <w:jc w:val="center"/>
            </w:pPr>
            <w:r/>
            <w:r>
              <w:rPr>
                <w:rFonts w:hint="eastAsia"/>
                <w:b/>
                <w:color w:val="000000"/>
                <w:sz w:val="21"/>
              </w:rPr>
              <w:t>加热器</w:t>
            </w:r>
          </w:p>
        </w:tc>
        <w:tc>
          <w:tcPr>
            <w:tcW w:w="918" w:type="pct"/>
            <w:tcBorders>
              <w:top w:val="single" w:sz="4" w:space="0" w:color="010000"/>
            </w:tcBorders>
            <w:vAlign w:val="center"/>
          </w:tcPr>
          <w:p>
            <w:pPr>
              <w:jc w:val="center"/>
            </w:pPr>
            <w:r/>
            <w:r>
              <w:rPr>
                <w:rFonts w:hint="eastAsia"/>
                <w:b/>
                <w:color w:val="000000"/>
                <w:sz w:val="21"/>
              </w:rPr>
              <w:t>加热盘</w:t>
            </w:r>
          </w:p>
        </w:tc>
        <w:tc>
          <w:tcPr>
            <w:tcW w:w="816" w:type="pct"/>
            <w:tcBorders>
              <w:top w:val="single" w:sz="4" w:space="0" w:color="010000"/>
            </w:tcBorders>
            <w:vAlign w:val="center"/>
          </w:tcPr>
          <w:p>
            <w:pPr>
              <w:jc w:val="center"/>
            </w:pPr>
            <w:r/>
            <w:r>
              <w:rPr>
                <w:rFonts w:hint="eastAsia"/>
                <w:b/>
                <w:color w:val="000000"/>
                <w:sz w:val="21"/>
              </w:rPr>
              <w:t>托伦斯</w:t>
            </w:r>
          </w:p>
        </w:tc>
        <w:tc>
          <w:tcPr>
            <w:tcW w:w="816" w:type="pct"/>
            <w:tcBorders>
              <w:top w:val="single" w:sz="4" w:space="0" w:color="010000"/>
            </w:tcBorders>
            <w:vAlign w:val="center"/>
          </w:tcPr>
          <w:p>
            <w:pPr>
              <w:jc w:val="right"/>
            </w:pPr>
            <w:r/>
            <w:r>
              <w:rPr>
                <w:rFonts w:hint="eastAsia"/>
                <w:b/>
                <w:color w:val="000000"/>
                <w:sz w:val="21"/>
              </w:rPr>
              <w:t>52.79</w:t>
            </w:r>
          </w:p>
        </w:tc>
        <w:tc>
          <w:tcPr>
            <w:tcW w:w="816" w:type="pct"/>
            <w:tcBorders>
              <w:top w:val="single" w:sz="4" w:space="0" w:color="010000"/>
            </w:tcBorders>
            <w:vAlign w:val="center"/>
          </w:tcPr>
          <w:p>
            <w:pPr>
              <w:jc w:val="right"/>
            </w:pPr>
            <w:r/>
            <w:r>
              <w:rPr>
                <w:rFonts w:hint="eastAsia"/>
                <w:b/>
                <w:color w:val="000000"/>
                <w:sz w:val="21"/>
              </w:rPr>
              <w:t>14.39</w:t>
            </w:r>
          </w:p>
        </w:tc>
        <w:tc>
          <w:tcPr>
            <w:tcW w:w="816" w:type="pct"/>
            <w:tcBorders>
              <w:top w:val="single" w:sz="4" w:space="0" w:color="010000"/>
            </w:tcBorders>
            <w:vAlign w:val="center"/>
          </w:tcPr>
          <w:p>
            <w:pPr>
              <w:jc w:val="right"/>
            </w:pPr>
            <w:r/>
            <w:r>
              <w:rPr>
                <w:rFonts w:hint="eastAsia"/>
                <w:b/>
                <w:color w:val="000000"/>
                <w:sz w:val="21"/>
              </w:rPr>
              <w:t>-18.68</w:t>
            </w:r>
          </w:p>
        </w:tc>
      </w:tr>
    </w:tbl>
    <w:p>
      <w:pPr>
        <w:pStyle w:val="a6"/>
        <w:jc w:val="center"/>
      </w:pPr>
      <w:r>
        <w:rPr>
          <w:rFonts w:hint="eastAsia"/>
          <w:sz w:val="11"/>
          <w:szCs w:val="11"/>
        </w:rPr>
        <w:t>资料来源：托伦斯关于第二轮审核问询函的回复意见；先锋精科招股说明书（注册稿），本报告整理。注：先锋精科2024年为1—3月数据；托伦斯的气体分布盘与匀气盘为两个独立品类，先锋精科未单列气体分布盘。</w:t>
      </w:r>
    </w:p>
    <w:p>
      <w:pPr>
        <w:pStyle w:val="a0"/>
      </w:pPr>
      <w:r>
        <w:rPr>
          <w:rFonts w:hint="eastAsia"/>
        </w:rPr>
        <w:t>同为匀气盘，先锋精科三年稳定在40%上下，托伦斯则由26.72%逐年升至31.86%。同为加热器，先锋精科在40%至50%区间，托伦斯2022年尚为负毛利，2024年升至52.79%。差异来自产品规格、客户结构与自制外协比例，仅凭单家数据不足以判断这两个品类的合理毛利率区间。先锋精科的单价可作量级参考：2023年匀气盘平均单价7,105.04元／个，加热器34,526.93元／个。</w:t>
      </w:r>
    </w:p>
    <w:p>
      <w:pPr>
        <w:jc w:val="center"/>
      </w:pPr>
      <w:r>
        <w:drawing>
          <wp:inline xmlns:a="http://schemas.openxmlformats.org/drawingml/2006/main" xmlns:pic="http://schemas.openxmlformats.org/drawingml/2006/picture">
            <wp:extent cx="5074920" cy="2301417"/>
            <wp:docPr id="3" name="Picture 3"/>
            <wp:cNvGraphicFramePr>
              <a:graphicFrameLocks noChangeAspect="1"/>
            </wp:cNvGraphicFramePr>
            <a:graphic>
              <a:graphicData uri="http://schemas.openxmlformats.org/drawingml/2006/picture">
                <pic:pic>
                  <pic:nvPicPr>
                    <pic:cNvPr id="0" name="fig3_danpin.png"/>
                    <pic:cNvPicPr/>
                  </pic:nvPicPr>
                  <pic:blipFill>
                    <a:blip r:embed="rId18"/>
                    <a:stretch>
                      <a:fillRect/>
                    </a:stretch>
                  </pic:blipFill>
                  <pic:spPr>
                    <a:xfrm>
                      <a:off x="0" y="0"/>
                      <a:ext cx="5074920" cy="2301417"/>
                    </a:xfrm>
                    <a:prstGeom prst="rect"/>
                  </pic:spPr>
                </pic:pic>
              </a:graphicData>
            </a:graphic>
          </wp:inline>
        </w:drawing>
      </w:r>
    </w:p>
    <w:p>
      <w:pPr>
        <w:keepNext/>
        <w:jc w:val="center"/>
      </w:pPr>
      <w:r>
        <w:rPr>
          <w:rFonts w:hint="eastAsia"/>
          <w:b/>
          <w:sz w:val="21"/>
        </w:rPr>
        <w:t>图3  与无锡金源产品对应品类的分产品毛利率变动</w:t>
      </w:r>
    </w:p>
    <w:p>
      <w:pPr>
        <w:pStyle w:val="a6"/>
        <w:jc w:val="center"/>
      </w:pPr>
      <w:r>
        <w:rPr>
          <w:rFonts w:hint="eastAsia"/>
          <w:sz w:val="11"/>
          <w:szCs w:val="11"/>
        </w:rPr>
        <w:t>资料来源：托伦斯关于第二轮审核问询函的回复意见；先锋精科招股说明书（注册稿），本报告整理</w:t>
      </w:r>
    </w:p>
    <w:p>
      <w:pPr>
        <w:pStyle w:val="3"/>
        <w:numPr>
          <w:ilvl w:val="0"/>
          <w:numId w:val="0"/>
        </w:numPr>
        <w:spacing w:before="156" w:after="156"/>
      </w:pPr>
      <w:bookmarkStart w:id="1018" w:name="_Toc900018"/>
      <w:r>
        <w:rPr>
          <w:rFonts w:hint="eastAsia"/>
        </w:rPr>
        <w:t>5.4 研发投入水平</w:t>
      </w:r>
      <w:bookmarkEnd w:id="1018"/>
    </w:p>
    <w:p>
      <w:pPr>
        <w:keepNext/>
        <w:jc w:val="center"/>
      </w:pPr>
      <w:r>
        <w:rPr>
          <w:rFonts w:hint="eastAsia"/>
          <w:b/>
          <w:sz w:val="21"/>
        </w:rPr>
        <w:t>表11  可比公司研发费用率对比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447" w:type="pct"/>
            <w:tcBorders>
              <w:top w:val="single" w:sz="12" w:space="0" w:color="010000"/>
              <w:bottom w:val="single" w:sz="4" w:space="0" w:color="010000"/>
            </w:tcBorders>
            <w:vAlign w:val="center"/>
          </w:tcPr>
          <w:p>
            <w:pPr>
              <w:jc w:val="center"/>
            </w:pPr>
            <w:r/>
            <w:r>
              <w:rPr>
                <w:rFonts w:hint="eastAsia"/>
                <w:b/>
                <w:color w:val="000000"/>
                <w:sz w:val="21"/>
              </w:rPr>
              <w:t>公司</w:t>
            </w:r>
          </w:p>
        </w:tc>
        <w:tc>
          <w:tcPr>
            <w:tcW w:w="1184" w:type="pct"/>
            <w:tcBorders>
              <w:top w:val="single" w:sz="12" w:space="0" w:color="010000"/>
              <w:bottom w:val="single" w:sz="4" w:space="0" w:color="010000"/>
            </w:tcBorders>
            <w:vAlign w:val="center"/>
          </w:tcPr>
          <w:p>
            <w:pPr>
              <w:jc w:val="center"/>
            </w:pPr>
            <w:r/>
            <w:r>
              <w:rPr>
                <w:rFonts w:hint="eastAsia"/>
                <w:b/>
                <w:color w:val="000000"/>
                <w:sz w:val="21"/>
              </w:rPr>
              <w:t>2025年（%）</w:t>
            </w:r>
          </w:p>
        </w:tc>
        <w:tc>
          <w:tcPr>
            <w:tcW w:w="1184" w:type="pct"/>
            <w:tcBorders>
              <w:top w:val="single" w:sz="12" w:space="0" w:color="010000"/>
              <w:bottom w:val="single" w:sz="4" w:space="0" w:color="010000"/>
            </w:tcBorders>
            <w:vAlign w:val="center"/>
          </w:tcPr>
          <w:p>
            <w:pPr>
              <w:jc w:val="center"/>
            </w:pPr>
            <w:r/>
            <w:r>
              <w:rPr>
                <w:rFonts w:hint="eastAsia"/>
                <w:b/>
                <w:color w:val="000000"/>
                <w:sz w:val="21"/>
              </w:rPr>
              <w:t>2024年（%）</w:t>
            </w:r>
          </w:p>
        </w:tc>
        <w:tc>
          <w:tcPr>
            <w:tcW w:w="1184" w:type="pct"/>
            <w:tcBorders>
              <w:top w:val="single" w:sz="12" w:space="0" w:color="010000"/>
              <w:bottom w:val="single" w:sz="4" w:space="0" w:color="010000"/>
            </w:tcBorders>
            <w:vAlign w:val="center"/>
          </w:tcPr>
          <w:p>
            <w:pPr>
              <w:jc w:val="center"/>
            </w:pPr>
            <w:r/>
            <w:r>
              <w:rPr>
                <w:rFonts w:hint="eastAsia"/>
                <w:b/>
                <w:color w:val="000000"/>
                <w:sz w:val="21"/>
              </w:rPr>
              <w:t>2023年（%）</w:t>
            </w:r>
          </w:p>
        </w:tc>
      </w:tr>
      <w:tr>
        <w:trPr>
          <w:cantSplit/>
          <w:jc w:val="center"/>
        </w:trPr>
        <w:tc>
          <w:tcPr>
            <w:tcW w:w="1447" w:type="pct"/>
            <w:tcBorders>
              <w:top w:val="single" w:sz="4" w:space="0" w:color="010000"/>
            </w:tcBorders>
            <w:vAlign w:val="center"/>
          </w:tcPr>
          <w:p>
            <w:pPr>
              <w:jc w:val="center"/>
            </w:pPr>
            <w:r/>
            <w:r>
              <w:rPr>
                <w:rFonts w:hint="eastAsia"/>
                <w:color w:val="000000"/>
                <w:sz w:val="21"/>
              </w:rPr>
              <w:t>珂玛科技</w:t>
            </w:r>
          </w:p>
        </w:tc>
        <w:tc>
          <w:tcPr>
            <w:tcW w:w="1184" w:type="pct"/>
            <w:tcBorders>
              <w:top w:val="single" w:sz="4" w:space="0" w:color="010000"/>
            </w:tcBorders>
            <w:vAlign w:val="center"/>
          </w:tcPr>
          <w:p>
            <w:pPr>
              <w:jc w:val="right"/>
            </w:pPr>
            <w:r/>
            <w:r>
              <w:rPr>
                <w:rFonts w:hint="eastAsia"/>
                <w:color w:val="000000"/>
                <w:sz w:val="21"/>
              </w:rPr>
              <w:t>9.32</w:t>
            </w:r>
          </w:p>
        </w:tc>
        <w:tc>
          <w:tcPr>
            <w:tcW w:w="1184" w:type="pct"/>
            <w:tcBorders>
              <w:top w:val="single" w:sz="4" w:space="0" w:color="010000"/>
            </w:tcBorders>
            <w:vAlign w:val="center"/>
          </w:tcPr>
          <w:p>
            <w:pPr>
              <w:jc w:val="right"/>
            </w:pPr>
            <w:r/>
            <w:r>
              <w:rPr>
                <w:rFonts w:hint="eastAsia"/>
                <w:color w:val="000000"/>
                <w:sz w:val="21"/>
              </w:rPr>
              <w:t>7.73</w:t>
            </w:r>
          </w:p>
        </w:tc>
        <w:tc>
          <w:tcPr>
            <w:tcW w:w="1184" w:type="pct"/>
            <w:tcBorders>
              <w:top w:val="single" w:sz="4" w:space="0" w:color="010000"/>
            </w:tcBorders>
            <w:vAlign w:val="center"/>
          </w:tcPr>
          <w:p>
            <w:pPr>
              <w:jc w:val="right"/>
            </w:pPr>
            <w:r/>
            <w:r>
              <w:rPr>
                <w:rFonts w:hint="eastAsia"/>
                <w:color w:val="000000"/>
                <w:sz w:val="21"/>
              </w:rPr>
              <w:t>9.69</w:t>
            </w:r>
          </w:p>
        </w:tc>
      </w:tr>
      <w:tr>
        <w:trPr>
          <w:cantSplit/>
          <w:jc w:val="center"/>
        </w:trPr>
        <w:tc>
          <w:tcPr>
            <w:tcW w:w="1447" w:type="pct"/>
            <w:tcBorders>
              <w:top w:val="single" w:sz="4" w:space="0" w:color="010000"/>
            </w:tcBorders>
            <w:vAlign w:val="center"/>
          </w:tcPr>
          <w:p>
            <w:pPr>
              <w:jc w:val="center"/>
            </w:pPr>
            <w:r/>
            <w:r>
              <w:rPr>
                <w:rFonts w:hint="eastAsia"/>
                <w:color w:val="000000"/>
                <w:sz w:val="21"/>
              </w:rPr>
              <w:t>富创精密</w:t>
            </w:r>
          </w:p>
        </w:tc>
        <w:tc>
          <w:tcPr>
            <w:tcW w:w="1184" w:type="pct"/>
            <w:tcBorders>
              <w:top w:val="single" w:sz="4" w:space="0" w:color="010000"/>
            </w:tcBorders>
            <w:vAlign w:val="center"/>
          </w:tcPr>
          <w:p>
            <w:pPr>
              <w:jc w:val="right"/>
            </w:pPr>
            <w:r/>
            <w:r>
              <w:rPr>
                <w:rFonts w:hint="eastAsia"/>
                <w:color w:val="000000"/>
                <w:sz w:val="21"/>
              </w:rPr>
              <w:t>7.15</w:t>
            </w:r>
          </w:p>
        </w:tc>
        <w:tc>
          <w:tcPr>
            <w:tcW w:w="1184" w:type="pct"/>
            <w:tcBorders>
              <w:top w:val="single" w:sz="4" w:space="0" w:color="010000"/>
            </w:tcBorders>
            <w:vAlign w:val="center"/>
          </w:tcPr>
          <w:p>
            <w:pPr>
              <w:jc w:val="right"/>
            </w:pPr>
            <w:r/>
            <w:r>
              <w:rPr>
                <w:rFonts w:hint="eastAsia"/>
                <w:color w:val="000000"/>
                <w:sz w:val="21"/>
              </w:rPr>
              <w:t>7.28</w:t>
            </w:r>
          </w:p>
        </w:tc>
        <w:tc>
          <w:tcPr>
            <w:tcW w:w="1184" w:type="pct"/>
            <w:tcBorders>
              <w:top w:val="single" w:sz="4" w:space="0" w:color="010000"/>
            </w:tcBorders>
            <w:vAlign w:val="center"/>
          </w:tcPr>
          <w:p>
            <w:pPr>
              <w:jc w:val="right"/>
            </w:pPr>
            <w:r/>
            <w:r>
              <w:rPr>
                <w:rFonts w:hint="eastAsia"/>
                <w:color w:val="000000"/>
                <w:sz w:val="21"/>
              </w:rPr>
              <w:t>9.97</w:t>
            </w:r>
          </w:p>
        </w:tc>
      </w:tr>
      <w:tr>
        <w:trPr>
          <w:cantSplit/>
          <w:jc w:val="center"/>
        </w:trPr>
        <w:tc>
          <w:tcPr>
            <w:tcW w:w="1447" w:type="pct"/>
            <w:tcBorders>
              <w:top w:val="single" w:sz="4" w:space="0" w:color="010000"/>
            </w:tcBorders>
            <w:vAlign w:val="center"/>
          </w:tcPr>
          <w:p>
            <w:pPr>
              <w:jc w:val="center"/>
            </w:pPr>
            <w:r/>
            <w:r>
              <w:rPr>
                <w:rFonts w:hint="eastAsia"/>
                <w:color w:val="000000"/>
                <w:sz w:val="21"/>
              </w:rPr>
              <w:t>臻宝科技</w:t>
            </w:r>
          </w:p>
        </w:tc>
        <w:tc>
          <w:tcPr>
            <w:tcW w:w="1184" w:type="pct"/>
            <w:tcBorders>
              <w:top w:val="single" w:sz="4" w:space="0" w:color="010000"/>
            </w:tcBorders>
            <w:vAlign w:val="center"/>
          </w:tcPr>
          <w:p>
            <w:pPr>
              <w:jc w:val="right"/>
            </w:pPr>
            <w:r/>
            <w:r>
              <w:rPr>
                <w:rFonts w:hint="eastAsia"/>
                <w:color w:val="000000"/>
                <w:sz w:val="21"/>
              </w:rPr>
              <w:t>7.05</w:t>
            </w:r>
          </w:p>
        </w:tc>
        <w:tc>
          <w:tcPr>
            <w:tcW w:w="1184" w:type="pct"/>
            <w:tcBorders>
              <w:top w:val="single" w:sz="4" w:space="0" w:color="010000"/>
            </w:tcBorders>
            <w:vAlign w:val="center"/>
          </w:tcPr>
          <w:p>
            <w:pPr>
              <w:jc w:val="right"/>
            </w:pPr>
            <w:r/>
            <w:r>
              <w:rPr>
                <w:rFonts w:hint="eastAsia"/>
                <w:color w:val="000000"/>
                <w:sz w:val="21"/>
              </w:rPr>
              <w:t>8.36</w:t>
            </w:r>
          </w:p>
        </w:tc>
        <w:tc>
          <w:tcPr>
            <w:tcW w:w="1184" w:type="pct"/>
            <w:tcBorders>
              <w:top w:val="single" w:sz="4" w:space="0" w:color="010000"/>
            </w:tcBorders>
            <w:vAlign w:val="center"/>
          </w:tcPr>
          <w:p>
            <w:pPr>
              <w:jc w:val="right"/>
            </w:pPr>
            <w:r/>
            <w:r>
              <w:rPr>
                <w:rFonts w:hint="eastAsia"/>
                <w:color w:val="000000"/>
                <w:sz w:val="21"/>
              </w:rPr>
              <w:t>5.91</w:t>
            </w:r>
          </w:p>
        </w:tc>
      </w:tr>
      <w:tr>
        <w:trPr>
          <w:cantSplit/>
          <w:jc w:val="center"/>
        </w:trPr>
        <w:tc>
          <w:tcPr>
            <w:tcW w:w="1447" w:type="pct"/>
            <w:tcBorders>
              <w:top w:val="single" w:sz="4" w:space="0" w:color="010000"/>
            </w:tcBorders>
            <w:vAlign w:val="center"/>
          </w:tcPr>
          <w:p>
            <w:pPr>
              <w:jc w:val="center"/>
            </w:pPr>
            <w:r/>
            <w:r>
              <w:rPr>
                <w:rFonts w:hint="eastAsia"/>
                <w:color w:val="000000"/>
                <w:sz w:val="21"/>
              </w:rPr>
              <w:t>先锋精科</w:t>
            </w:r>
          </w:p>
        </w:tc>
        <w:tc>
          <w:tcPr>
            <w:tcW w:w="1184" w:type="pct"/>
            <w:tcBorders>
              <w:top w:val="single" w:sz="4" w:space="0" w:color="010000"/>
            </w:tcBorders>
            <w:vAlign w:val="center"/>
          </w:tcPr>
          <w:p>
            <w:pPr>
              <w:jc w:val="right"/>
            </w:pPr>
            <w:r/>
            <w:r>
              <w:rPr>
                <w:rFonts w:hint="eastAsia"/>
                <w:color w:val="000000"/>
                <w:sz w:val="21"/>
              </w:rPr>
              <w:t>5.77</w:t>
            </w:r>
          </w:p>
        </w:tc>
        <w:tc>
          <w:tcPr>
            <w:tcW w:w="1184" w:type="pct"/>
            <w:tcBorders>
              <w:top w:val="single" w:sz="4" w:space="0" w:color="010000"/>
            </w:tcBorders>
            <w:vAlign w:val="center"/>
          </w:tcPr>
          <w:p>
            <w:pPr>
              <w:jc w:val="right"/>
            </w:pPr>
            <w:r/>
            <w:r>
              <w:rPr>
                <w:rFonts w:hint="eastAsia"/>
                <w:color w:val="000000"/>
                <w:sz w:val="21"/>
              </w:rPr>
              <w:t>5.64</w:t>
            </w:r>
          </w:p>
        </w:tc>
        <w:tc>
          <w:tcPr>
            <w:tcW w:w="1184" w:type="pct"/>
            <w:tcBorders>
              <w:top w:val="single" w:sz="4" w:space="0" w:color="010000"/>
            </w:tcBorders>
            <w:vAlign w:val="center"/>
          </w:tcPr>
          <w:p>
            <w:pPr>
              <w:jc w:val="right"/>
            </w:pPr>
            <w:r/>
            <w:r>
              <w:rPr>
                <w:rFonts w:hint="eastAsia"/>
                <w:color w:val="000000"/>
                <w:sz w:val="21"/>
              </w:rPr>
              <w:t>6.51</w:t>
            </w:r>
          </w:p>
        </w:tc>
      </w:tr>
      <w:tr>
        <w:trPr>
          <w:cantSplit/>
          <w:jc w:val="center"/>
        </w:trPr>
        <w:tc>
          <w:tcPr>
            <w:tcW w:w="1447" w:type="pct"/>
            <w:tcBorders>
              <w:top w:val="single" w:sz="4" w:space="0" w:color="010000"/>
            </w:tcBorders>
            <w:vAlign w:val="center"/>
          </w:tcPr>
          <w:p>
            <w:pPr>
              <w:jc w:val="center"/>
            </w:pPr>
            <w:r/>
            <w:r>
              <w:rPr>
                <w:rFonts w:hint="eastAsia"/>
                <w:color w:val="000000"/>
                <w:sz w:val="21"/>
              </w:rPr>
              <w:t>托伦斯</w:t>
            </w:r>
          </w:p>
        </w:tc>
        <w:tc>
          <w:tcPr>
            <w:tcW w:w="1184" w:type="pct"/>
            <w:tcBorders>
              <w:top w:val="single" w:sz="4" w:space="0" w:color="010000"/>
            </w:tcBorders>
            <w:vAlign w:val="center"/>
          </w:tcPr>
          <w:p>
            <w:pPr>
              <w:jc w:val="right"/>
            </w:pPr>
            <w:r/>
            <w:r>
              <w:rPr>
                <w:rFonts w:hint="eastAsia"/>
                <w:color w:val="000000"/>
                <w:sz w:val="21"/>
              </w:rPr>
              <w:t>4.44</w:t>
            </w:r>
          </w:p>
        </w:tc>
        <w:tc>
          <w:tcPr>
            <w:tcW w:w="1184" w:type="pct"/>
            <w:tcBorders>
              <w:top w:val="single" w:sz="4" w:space="0" w:color="010000"/>
            </w:tcBorders>
            <w:vAlign w:val="center"/>
          </w:tcPr>
          <w:p>
            <w:pPr>
              <w:jc w:val="right"/>
            </w:pPr>
            <w:r/>
            <w:r>
              <w:rPr>
                <w:rFonts w:hint="eastAsia"/>
                <w:color w:val="000000"/>
                <w:sz w:val="21"/>
              </w:rPr>
              <w:t>3.84</w:t>
            </w:r>
          </w:p>
        </w:tc>
        <w:tc>
          <w:tcPr>
            <w:tcW w:w="1184" w:type="pct"/>
            <w:tcBorders>
              <w:top w:val="single" w:sz="4" w:space="0" w:color="010000"/>
            </w:tcBorders>
            <w:vAlign w:val="center"/>
          </w:tcPr>
          <w:p>
            <w:pPr>
              <w:jc w:val="right"/>
            </w:pPr>
            <w:r/>
            <w:r>
              <w:rPr>
                <w:rFonts w:hint="eastAsia"/>
                <w:color w:val="000000"/>
                <w:sz w:val="21"/>
              </w:rPr>
              <w:t>3.97</w:t>
            </w:r>
          </w:p>
        </w:tc>
      </w:tr>
    </w:tbl>
    <w:p>
      <w:pPr>
        <w:pStyle w:val="a6"/>
        <w:jc w:val="center"/>
      </w:pPr>
      <w:r>
        <w:rPr>
          <w:rFonts w:hint="eastAsia"/>
          <w:sz w:val="11"/>
          <w:szCs w:val="11"/>
        </w:rPr>
        <w:t>资料来源：托伦斯招股说明书（注册稿），本报告整理。注：数据来源于可比公司定期报告；富创精密与珂玛科技为2025年1—9月数据。</w:t>
      </w:r>
    </w:p>
    <w:p>
      <w:pPr>
        <w:pStyle w:val="2"/>
        <w:spacing w:before="156" w:after="156"/>
      </w:pPr>
      <w:bookmarkStart w:id="1019" w:name="_Toc900019"/>
      <w:r>
        <w:rPr>
          <w:rFonts w:hint="eastAsia"/>
          <w:b/>
        </w:rPr>
        <w:t>首次公开发行审核关注要点</w:t>
      </w:r>
      <w:bookmarkEnd w:id="1019"/>
    </w:p>
    <w:p>
      <w:pPr>
        <w:pStyle w:val="3"/>
        <w:numPr>
          <w:ilvl w:val="0"/>
          <w:numId w:val="0"/>
        </w:numPr>
        <w:spacing w:before="156" w:after="156"/>
      </w:pPr>
      <w:bookmarkStart w:id="1020" w:name="_Toc900020"/>
      <w:r>
        <w:rPr>
          <w:rFonts w:hint="eastAsia"/>
        </w:rPr>
        <w:t>6.1 样本与甄别方法</w:t>
      </w:r>
      <w:bookmarkEnd w:id="1020"/>
    </w:p>
    <w:p>
      <w:pPr>
        <w:pStyle w:val="a0"/>
      </w:pPr>
      <w:r>
        <w:rPr>
          <w:rFonts w:hint="eastAsia"/>
        </w:rPr>
        <w:t>本章选取五家半导体设备零部件企业作为样本，均与无锡金源同处零部件与耗材环节，其审核问询回复已在交易所网站公开披露。重点问题的甄别采用三条标准：一是轮次，在第二轮及以后仍被继续追问的事项；二是层级，进入上市委审议意见落实函或审核中心意见落实函的事项；三是详略，单个问题下设多个子问题并要求逐项量化说明的事项。</w:t>
      </w:r>
    </w:p>
    <w:p>
      <w:pPr>
        <w:keepNext/>
        <w:jc w:val="center"/>
      </w:pPr>
      <w:r>
        <w:rPr>
          <w:rFonts w:hint="eastAsia"/>
          <w:b/>
          <w:sz w:val="21"/>
        </w:rPr>
        <w:t>表12  样本企业审核概况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571" w:type="pct"/>
            <w:tcBorders>
              <w:top w:val="single" w:sz="12" w:space="0" w:color="010000"/>
              <w:bottom w:val="single" w:sz="4" w:space="0" w:color="010000"/>
            </w:tcBorders>
            <w:vAlign w:val="center"/>
          </w:tcPr>
          <w:p>
            <w:pPr>
              <w:jc w:val="center"/>
            </w:pPr>
            <w:r/>
            <w:r>
              <w:rPr>
                <w:rFonts w:hint="eastAsia"/>
                <w:b/>
                <w:color w:val="000000"/>
                <w:sz w:val="21"/>
              </w:rPr>
              <w:t>公司名称</w:t>
            </w:r>
          </w:p>
        </w:tc>
        <w:tc>
          <w:tcPr>
            <w:tcW w:w="524" w:type="pct"/>
            <w:tcBorders>
              <w:top w:val="single" w:sz="12" w:space="0" w:color="010000"/>
              <w:bottom w:val="single" w:sz="4" w:space="0" w:color="010000"/>
            </w:tcBorders>
            <w:vAlign w:val="center"/>
          </w:tcPr>
          <w:p>
            <w:pPr>
              <w:jc w:val="center"/>
            </w:pPr>
            <w:r/>
            <w:r>
              <w:rPr>
                <w:rFonts w:hint="eastAsia"/>
                <w:b/>
                <w:color w:val="000000"/>
                <w:sz w:val="21"/>
              </w:rPr>
              <w:t>证券代码</w:t>
            </w:r>
          </w:p>
        </w:tc>
        <w:tc>
          <w:tcPr>
            <w:tcW w:w="1048" w:type="pct"/>
            <w:tcBorders>
              <w:top w:val="single" w:sz="12" w:space="0" w:color="010000"/>
              <w:bottom w:val="single" w:sz="4" w:space="0" w:color="010000"/>
            </w:tcBorders>
            <w:vAlign w:val="center"/>
          </w:tcPr>
          <w:p>
            <w:pPr>
              <w:jc w:val="center"/>
            </w:pPr>
            <w:r/>
            <w:r>
              <w:rPr>
                <w:rFonts w:hint="eastAsia"/>
                <w:b/>
                <w:color w:val="000000"/>
                <w:sz w:val="21"/>
              </w:rPr>
              <w:t>审核时间</w:t>
            </w:r>
          </w:p>
        </w:tc>
        <w:tc>
          <w:tcPr>
            <w:tcW w:w="952" w:type="pct"/>
            <w:tcBorders>
              <w:top w:val="single" w:sz="12" w:space="0" w:color="010000"/>
              <w:bottom w:val="single" w:sz="4" w:space="0" w:color="010000"/>
            </w:tcBorders>
            <w:vAlign w:val="center"/>
          </w:tcPr>
          <w:p>
            <w:pPr>
              <w:jc w:val="center"/>
            </w:pPr>
            <w:r/>
            <w:r>
              <w:rPr>
                <w:rFonts w:hint="eastAsia"/>
                <w:b/>
                <w:color w:val="000000"/>
                <w:sz w:val="21"/>
              </w:rPr>
              <w:t>问询轮次</w:t>
            </w:r>
          </w:p>
        </w:tc>
        <w:tc>
          <w:tcPr>
            <w:tcW w:w="476" w:type="pct"/>
            <w:tcBorders>
              <w:top w:val="single" w:sz="12" w:space="0" w:color="010000"/>
              <w:bottom w:val="single" w:sz="4" w:space="0" w:color="010000"/>
            </w:tcBorders>
            <w:vAlign w:val="center"/>
          </w:tcPr>
          <w:p>
            <w:pPr>
              <w:jc w:val="center"/>
            </w:pPr>
            <w:r/>
            <w:r>
              <w:rPr>
                <w:rFonts w:hint="eastAsia"/>
                <w:b/>
                <w:color w:val="000000"/>
                <w:sz w:val="21"/>
              </w:rPr>
              <w:t>首轮问题数</w:t>
            </w:r>
          </w:p>
        </w:tc>
        <w:tc>
          <w:tcPr>
            <w:tcW w:w="1429" w:type="pct"/>
            <w:tcBorders>
              <w:top w:val="single" w:sz="12" w:space="0" w:color="010000"/>
              <w:bottom w:val="single" w:sz="4" w:space="0" w:color="010000"/>
            </w:tcBorders>
            <w:vAlign w:val="center"/>
          </w:tcPr>
          <w:p>
            <w:pPr>
              <w:jc w:val="center"/>
            </w:pPr>
            <w:r/>
            <w:r>
              <w:rPr>
                <w:rFonts w:hint="eastAsia"/>
                <w:b/>
                <w:color w:val="000000"/>
                <w:sz w:val="21"/>
              </w:rPr>
              <w:t>与无锡金源的可比性</w:t>
            </w:r>
          </w:p>
        </w:tc>
      </w:tr>
      <w:tr>
        <w:trPr>
          <w:cantSplit/>
          <w:jc w:val="center"/>
        </w:trPr>
        <w:tc>
          <w:tcPr>
            <w:tcW w:w="571" w:type="pct"/>
            <w:tcBorders>
              <w:top w:val="single" w:sz="4" w:space="0" w:color="010000"/>
            </w:tcBorders>
            <w:vAlign w:val="center"/>
          </w:tcPr>
          <w:p>
            <w:pPr>
              <w:jc w:val="center"/>
            </w:pPr>
            <w:r/>
            <w:r>
              <w:rPr>
                <w:rFonts w:hint="eastAsia"/>
                <w:color w:val="000000"/>
                <w:sz w:val="21"/>
              </w:rPr>
              <w:t>托伦斯</w:t>
            </w:r>
          </w:p>
        </w:tc>
        <w:tc>
          <w:tcPr>
            <w:tcW w:w="524" w:type="pct"/>
            <w:tcBorders>
              <w:top w:val="single" w:sz="4" w:space="0" w:color="010000"/>
            </w:tcBorders>
            <w:vAlign w:val="center"/>
          </w:tcPr>
          <w:p>
            <w:pPr>
              <w:jc w:val="center"/>
            </w:pPr>
            <w:r/>
            <w:r>
              <w:rPr>
                <w:rFonts w:hint="eastAsia"/>
                <w:color w:val="000000"/>
                <w:sz w:val="21"/>
              </w:rPr>
              <w:t>301583.SZ</w:t>
            </w:r>
          </w:p>
        </w:tc>
        <w:tc>
          <w:tcPr>
            <w:tcW w:w="1048" w:type="pct"/>
            <w:tcBorders>
              <w:top w:val="single" w:sz="4" w:space="0" w:color="010000"/>
            </w:tcBorders>
            <w:vAlign w:val="center"/>
          </w:tcPr>
          <w:p>
            <w:pPr>
              <w:jc w:val="left"/>
            </w:pPr>
            <w:r/>
            <w:r>
              <w:rPr>
                <w:rFonts w:hint="eastAsia"/>
                <w:color w:val="000000"/>
                <w:sz w:val="21"/>
              </w:rPr>
              <w:t>2025年12月23日受理，2026年4月25日提交注册</w:t>
            </w:r>
          </w:p>
        </w:tc>
        <w:tc>
          <w:tcPr>
            <w:tcW w:w="952" w:type="pct"/>
            <w:tcBorders>
              <w:top w:val="single" w:sz="4" w:space="0" w:color="010000"/>
            </w:tcBorders>
            <w:vAlign w:val="center"/>
          </w:tcPr>
          <w:p>
            <w:pPr>
              <w:jc w:val="left"/>
            </w:pPr>
            <w:r/>
            <w:r>
              <w:rPr>
                <w:rFonts w:hint="eastAsia"/>
                <w:color w:val="000000"/>
                <w:sz w:val="21"/>
              </w:rPr>
              <w:t>两轮问询及审核中心意见落实函</w:t>
            </w:r>
          </w:p>
        </w:tc>
        <w:tc>
          <w:tcPr>
            <w:tcW w:w="476" w:type="pct"/>
            <w:tcBorders>
              <w:top w:val="single" w:sz="4" w:space="0" w:color="010000"/>
            </w:tcBorders>
            <w:vAlign w:val="center"/>
          </w:tcPr>
          <w:p>
            <w:pPr>
              <w:jc w:val="center"/>
            </w:pPr>
            <w:r/>
            <w:r>
              <w:rPr>
                <w:rFonts w:hint="eastAsia"/>
                <w:color w:val="000000"/>
                <w:sz w:val="21"/>
              </w:rPr>
              <w:t>15</w:t>
            </w:r>
          </w:p>
        </w:tc>
        <w:tc>
          <w:tcPr>
            <w:tcW w:w="1429" w:type="pct"/>
            <w:tcBorders>
              <w:top w:val="single" w:sz="4" w:space="0" w:color="010000"/>
            </w:tcBorders>
            <w:vAlign w:val="center"/>
          </w:tcPr>
          <w:p>
            <w:pPr>
              <w:jc w:val="left"/>
            </w:pPr>
            <w:r/>
            <w:r>
              <w:rPr>
                <w:rFonts w:hint="eastAsia"/>
                <w:color w:val="000000"/>
                <w:sz w:val="21"/>
              </w:rPr>
              <w:t>产品含匀气盘、气体分布盘、加热器，与两条核心产品线直接对应</w:t>
            </w:r>
          </w:p>
        </w:tc>
      </w:tr>
      <w:tr>
        <w:trPr>
          <w:cantSplit/>
          <w:jc w:val="center"/>
        </w:trPr>
        <w:tc>
          <w:tcPr>
            <w:tcW w:w="571" w:type="pct"/>
            <w:tcBorders>
              <w:top w:val="single" w:sz="4" w:space="0" w:color="010000"/>
            </w:tcBorders>
            <w:vAlign w:val="center"/>
          </w:tcPr>
          <w:p>
            <w:pPr>
              <w:jc w:val="center"/>
            </w:pPr>
            <w:r/>
            <w:r>
              <w:rPr>
                <w:rFonts w:hint="eastAsia"/>
                <w:color w:val="000000"/>
                <w:sz w:val="21"/>
              </w:rPr>
              <w:t>臻宝科技</w:t>
            </w:r>
          </w:p>
        </w:tc>
        <w:tc>
          <w:tcPr>
            <w:tcW w:w="524" w:type="pct"/>
            <w:tcBorders>
              <w:top w:val="single" w:sz="4" w:space="0" w:color="010000"/>
            </w:tcBorders>
            <w:vAlign w:val="center"/>
          </w:tcPr>
          <w:p>
            <w:pPr>
              <w:jc w:val="center"/>
            </w:pPr>
            <w:r/>
            <w:r>
              <w:rPr>
                <w:rFonts w:hint="eastAsia"/>
                <w:color w:val="000000"/>
                <w:sz w:val="21"/>
              </w:rPr>
              <w:t>688797.SH</w:t>
            </w:r>
          </w:p>
        </w:tc>
        <w:tc>
          <w:tcPr>
            <w:tcW w:w="1048" w:type="pct"/>
            <w:tcBorders>
              <w:top w:val="single" w:sz="4" w:space="0" w:color="010000"/>
            </w:tcBorders>
            <w:vAlign w:val="center"/>
          </w:tcPr>
          <w:p>
            <w:pPr>
              <w:jc w:val="left"/>
            </w:pPr>
            <w:r/>
            <w:r>
              <w:rPr>
                <w:rFonts w:hint="eastAsia"/>
                <w:color w:val="000000"/>
                <w:sz w:val="21"/>
              </w:rPr>
              <w:t>2025年首轮问询，2026年6月24日上市</w:t>
            </w:r>
          </w:p>
        </w:tc>
        <w:tc>
          <w:tcPr>
            <w:tcW w:w="952" w:type="pct"/>
            <w:tcBorders>
              <w:top w:val="single" w:sz="4" w:space="0" w:color="010000"/>
            </w:tcBorders>
            <w:vAlign w:val="center"/>
          </w:tcPr>
          <w:p>
            <w:pPr>
              <w:jc w:val="left"/>
            </w:pPr>
            <w:r/>
            <w:r>
              <w:rPr>
                <w:rFonts w:hint="eastAsia"/>
                <w:color w:val="000000"/>
                <w:sz w:val="21"/>
              </w:rPr>
              <w:t>两轮问询</w:t>
            </w:r>
          </w:p>
        </w:tc>
        <w:tc>
          <w:tcPr>
            <w:tcW w:w="476" w:type="pct"/>
            <w:tcBorders>
              <w:top w:val="single" w:sz="4" w:space="0" w:color="010000"/>
            </w:tcBorders>
            <w:vAlign w:val="center"/>
          </w:tcPr>
          <w:p>
            <w:pPr>
              <w:jc w:val="center"/>
            </w:pPr>
            <w:r/>
            <w:r>
              <w:rPr>
                <w:rFonts w:hint="eastAsia"/>
                <w:color w:val="000000"/>
                <w:sz w:val="21"/>
              </w:rPr>
              <w:t>13</w:t>
            </w:r>
          </w:p>
        </w:tc>
        <w:tc>
          <w:tcPr>
            <w:tcW w:w="1429" w:type="pct"/>
            <w:tcBorders>
              <w:top w:val="single" w:sz="4" w:space="0" w:color="010000"/>
            </w:tcBorders>
            <w:vAlign w:val="center"/>
          </w:tcPr>
          <w:p>
            <w:pPr>
              <w:jc w:val="left"/>
            </w:pPr>
            <w:r/>
            <w:r>
              <w:rPr>
                <w:rFonts w:hint="eastAsia"/>
                <w:color w:val="000000"/>
                <w:sz w:val="21"/>
              </w:rPr>
              <w:t>非金属零部件与表面处理，对应加热盘的陶瓷路线</w:t>
            </w:r>
          </w:p>
        </w:tc>
      </w:tr>
      <w:tr>
        <w:trPr>
          <w:cantSplit/>
          <w:jc w:val="center"/>
        </w:trPr>
        <w:tc>
          <w:tcPr>
            <w:tcW w:w="571" w:type="pct"/>
            <w:tcBorders>
              <w:top w:val="single" w:sz="4" w:space="0" w:color="010000"/>
            </w:tcBorders>
            <w:vAlign w:val="center"/>
          </w:tcPr>
          <w:p>
            <w:pPr>
              <w:jc w:val="center"/>
            </w:pPr>
            <w:r/>
            <w:r>
              <w:rPr>
                <w:rFonts w:hint="eastAsia"/>
                <w:color w:val="000000"/>
                <w:sz w:val="21"/>
              </w:rPr>
              <w:t>珂玛科技</w:t>
            </w:r>
          </w:p>
        </w:tc>
        <w:tc>
          <w:tcPr>
            <w:tcW w:w="524" w:type="pct"/>
            <w:tcBorders>
              <w:top w:val="single" w:sz="4" w:space="0" w:color="010000"/>
            </w:tcBorders>
            <w:vAlign w:val="center"/>
          </w:tcPr>
          <w:p>
            <w:pPr>
              <w:jc w:val="center"/>
            </w:pPr>
            <w:r/>
            <w:r>
              <w:rPr>
                <w:rFonts w:hint="eastAsia"/>
                <w:color w:val="000000"/>
                <w:sz w:val="21"/>
              </w:rPr>
              <w:t>301611.SZ</w:t>
            </w:r>
          </w:p>
        </w:tc>
        <w:tc>
          <w:tcPr>
            <w:tcW w:w="1048" w:type="pct"/>
            <w:tcBorders>
              <w:top w:val="single" w:sz="4" w:space="0" w:color="010000"/>
            </w:tcBorders>
            <w:vAlign w:val="center"/>
          </w:tcPr>
          <w:p>
            <w:pPr>
              <w:jc w:val="left"/>
            </w:pPr>
            <w:r/>
            <w:r>
              <w:rPr>
                <w:rFonts w:hint="eastAsia"/>
                <w:color w:val="000000"/>
                <w:sz w:val="21"/>
              </w:rPr>
              <w:t>2024年4月回复第二轮，2024年8月16日上市</w:t>
            </w:r>
          </w:p>
        </w:tc>
        <w:tc>
          <w:tcPr>
            <w:tcW w:w="952" w:type="pct"/>
            <w:tcBorders>
              <w:top w:val="single" w:sz="4" w:space="0" w:color="010000"/>
            </w:tcBorders>
            <w:vAlign w:val="center"/>
          </w:tcPr>
          <w:p>
            <w:pPr>
              <w:jc w:val="left"/>
            </w:pPr>
            <w:r/>
            <w:r>
              <w:rPr>
                <w:rFonts w:hint="eastAsia"/>
                <w:color w:val="000000"/>
                <w:sz w:val="21"/>
              </w:rPr>
              <w:t>两轮问询及审核中心意见落实函</w:t>
            </w:r>
          </w:p>
        </w:tc>
        <w:tc>
          <w:tcPr>
            <w:tcW w:w="476" w:type="pct"/>
            <w:tcBorders>
              <w:top w:val="single" w:sz="4" w:space="0" w:color="010000"/>
            </w:tcBorders>
            <w:vAlign w:val="center"/>
          </w:tcPr>
          <w:p>
            <w:pPr>
              <w:jc w:val="center"/>
            </w:pPr>
            <w:r/>
            <w:r>
              <w:rPr>
                <w:rFonts w:hint="eastAsia"/>
                <w:color w:val="000000"/>
                <w:sz w:val="21"/>
              </w:rPr>
              <w:t>19</w:t>
            </w:r>
          </w:p>
        </w:tc>
        <w:tc>
          <w:tcPr>
            <w:tcW w:w="1429" w:type="pct"/>
            <w:tcBorders>
              <w:top w:val="single" w:sz="4" w:space="0" w:color="010000"/>
            </w:tcBorders>
            <w:vAlign w:val="center"/>
          </w:tcPr>
          <w:p>
            <w:pPr>
              <w:jc w:val="left"/>
            </w:pPr>
            <w:r/>
            <w:r>
              <w:rPr>
                <w:rFonts w:hint="eastAsia"/>
                <w:color w:val="000000"/>
                <w:sz w:val="21"/>
              </w:rPr>
              <w:t>先进陶瓷材料零部件，对应加热盘的陶瓷路线</w:t>
            </w:r>
          </w:p>
        </w:tc>
      </w:tr>
      <w:tr>
        <w:trPr>
          <w:cantSplit/>
          <w:jc w:val="center"/>
        </w:trPr>
        <w:tc>
          <w:tcPr>
            <w:tcW w:w="571" w:type="pct"/>
            <w:tcBorders>
              <w:top w:val="single" w:sz="4" w:space="0" w:color="010000"/>
            </w:tcBorders>
            <w:vAlign w:val="center"/>
          </w:tcPr>
          <w:p>
            <w:pPr>
              <w:jc w:val="center"/>
            </w:pPr>
            <w:r/>
            <w:r>
              <w:rPr>
                <w:rFonts w:hint="eastAsia"/>
                <w:color w:val="000000"/>
                <w:sz w:val="21"/>
              </w:rPr>
              <w:t>先锋精科</w:t>
            </w:r>
          </w:p>
        </w:tc>
        <w:tc>
          <w:tcPr>
            <w:tcW w:w="524" w:type="pct"/>
            <w:tcBorders>
              <w:top w:val="single" w:sz="4" w:space="0" w:color="010000"/>
            </w:tcBorders>
            <w:vAlign w:val="center"/>
          </w:tcPr>
          <w:p>
            <w:pPr>
              <w:jc w:val="center"/>
            </w:pPr>
            <w:r/>
            <w:r>
              <w:rPr>
                <w:rFonts w:hint="eastAsia"/>
                <w:color w:val="000000"/>
                <w:sz w:val="21"/>
              </w:rPr>
              <w:t>688605.SH</w:t>
            </w:r>
          </w:p>
        </w:tc>
        <w:tc>
          <w:tcPr>
            <w:tcW w:w="1048" w:type="pct"/>
            <w:tcBorders>
              <w:top w:val="single" w:sz="4" w:space="0" w:color="010000"/>
            </w:tcBorders>
            <w:vAlign w:val="center"/>
          </w:tcPr>
          <w:p>
            <w:pPr>
              <w:jc w:val="left"/>
            </w:pPr>
            <w:r/>
            <w:r>
              <w:rPr>
                <w:rFonts w:hint="eastAsia"/>
                <w:color w:val="000000"/>
                <w:sz w:val="21"/>
              </w:rPr>
              <w:t>2023年12月回复首轮，2024年12月12日上市</w:t>
            </w:r>
          </w:p>
        </w:tc>
        <w:tc>
          <w:tcPr>
            <w:tcW w:w="952" w:type="pct"/>
            <w:tcBorders>
              <w:top w:val="single" w:sz="4" w:space="0" w:color="010000"/>
            </w:tcBorders>
            <w:vAlign w:val="center"/>
          </w:tcPr>
          <w:p>
            <w:pPr>
              <w:jc w:val="left"/>
            </w:pPr>
            <w:r/>
            <w:r>
              <w:rPr>
                <w:rFonts w:hint="eastAsia"/>
                <w:color w:val="000000"/>
                <w:sz w:val="21"/>
              </w:rPr>
              <w:t>两轮问询</w:t>
            </w:r>
          </w:p>
        </w:tc>
        <w:tc>
          <w:tcPr>
            <w:tcW w:w="476" w:type="pct"/>
            <w:tcBorders>
              <w:top w:val="single" w:sz="4" w:space="0" w:color="010000"/>
            </w:tcBorders>
            <w:vAlign w:val="center"/>
          </w:tcPr>
          <w:p>
            <w:pPr>
              <w:jc w:val="center"/>
            </w:pPr>
            <w:r/>
            <w:r>
              <w:rPr>
                <w:rFonts w:hint="eastAsia"/>
                <w:color w:val="000000"/>
                <w:sz w:val="21"/>
              </w:rPr>
              <w:t>18</w:t>
            </w:r>
          </w:p>
        </w:tc>
        <w:tc>
          <w:tcPr>
            <w:tcW w:w="1429" w:type="pct"/>
            <w:tcBorders>
              <w:top w:val="single" w:sz="4" w:space="0" w:color="010000"/>
            </w:tcBorders>
            <w:vAlign w:val="center"/>
          </w:tcPr>
          <w:p>
            <w:pPr>
              <w:jc w:val="left"/>
            </w:pPr>
            <w:r/>
            <w:r>
              <w:rPr>
                <w:rFonts w:hint="eastAsia"/>
                <w:color w:val="000000"/>
                <w:sz w:val="21"/>
              </w:rPr>
              <w:t>产品含匀气盘与加热器，与两条核心产品线直接对应，且按单品披露毛利率</w:t>
            </w:r>
          </w:p>
        </w:tc>
      </w:tr>
      <w:tr>
        <w:trPr>
          <w:cantSplit/>
          <w:jc w:val="center"/>
        </w:trPr>
        <w:tc>
          <w:tcPr>
            <w:tcW w:w="571" w:type="pct"/>
            <w:tcBorders>
              <w:top w:val="single" w:sz="4" w:space="0" w:color="010000"/>
            </w:tcBorders>
            <w:vAlign w:val="center"/>
          </w:tcPr>
          <w:p>
            <w:pPr>
              <w:jc w:val="center"/>
            </w:pPr>
            <w:r/>
            <w:r>
              <w:rPr>
                <w:rFonts w:hint="eastAsia"/>
                <w:color w:val="000000"/>
                <w:sz w:val="21"/>
              </w:rPr>
              <w:t>神工股份</w:t>
            </w:r>
          </w:p>
        </w:tc>
        <w:tc>
          <w:tcPr>
            <w:tcW w:w="524" w:type="pct"/>
            <w:tcBorders>
              <w:top w:val="single" w:sz="4" w:space="0" w:color="010000"/>
            </w:tcBorders>
            <w:vAlign w:val="center"/>
          </w:tcPr>
          <w:p>
            <w:pPr>
              <w:jc w:val="center"/>
            </w:pPr>
            <w:r/>
            <w:r>
              <w:rPr>
                <w:rFonts w:hint="eastAsia"/>
                <w:color w:val="000000"/>
                <w:sz w:val="21"/>
              </w:rPr>
              <w:t>688233.SH</w:t>
            </w:r>
          </w:p>
        </w:tc>
        <w:tc>
          <w:tcPr>
            <w:tcW w:w="1048" w:type="pct"/>
            <w:tcBorders>
              <w:top w:val="single" w:sz="4" w:space="0" w:color="010000"/>
            </w:tcBorders>
            <w:vAlign w:val="center"/>
          </w:tcPr>
          <w:p>
            <w:pPr>
              <w:jc w:val="left"/>
            </w:pPr>
            <w:r/>
            <w:r>
              <w:rPr>
                <w:rFonts w:hint="eastAsia"/>
                <w:color w:val="000000"/>
                <w:sz w:val="21"/>
              </w:rPr>
              <w:t>2019年内完成四轮问询，2020年2月21日上市</w:t>
            </w:r>
          </w:p>
        </w:tc>
        <w:tc>
          <w:tcPr>
            <w:tcW w:w="952" w:type="pct"/>
            <w:tcBorders>
              <w:top w:val="single" w:sz="4" w:space="0" w:color="010000"/>
            </w:tcBorders>
            <w:vAlign w:val="center"/>
          </w:tcPr>
          <w:p>
            <w:pPr>
              <w:jc w:val="left"/>
            </w:pPr>
            <w:r/>
            <w:r>
              <w:rPr>
                <w:rFonts w:hint="eastAsia"/>
                <w:color w:val="000000"/>
                <w:sz w:val="21"/>
              </w:rPr>
              <w:t>四轮问询及上市委审议意见落实函</w:t>
            </w:r>
          </w:p>
        </w:tc>
        <w:tc>
          <w:tcPr>
            <w:tcW w:w="476" w:type="pct"/>
            <w:tcBorders>
              <w:top w:val="single" w:sz="4" w:space="0" w:color="010000"/>
            </w:tcBorders>
            <w:vAlign w:val="center"/>
          </w:tcPr>
          <w:p>
            <w:pPr>
              <w:jc w:val="center"/>
            </w:pPr>
            <w:r/>
            <w:r>
              <w:rPr>
                <w:rFonts w:hint="eastAsia"/>
                <w:color w:val="000000"/>
                <w:sz w:val="21"/>
              </w:rPr>
              <w:t>49</w:t>
            </w:r>
          </w:p>
        </w:tc>
        <w:tc>
          <w:tcPr>
            <w:tcW w:w="1429" w:type="pct"/>
            <w:tcBorders>
              <w:top w:val="single" w:sz="4" w:space="0" w:color="010000"/>
            </w:tcBorders>
            <w:vAlign w:val="center"/>
          </w:tcPr>
          <w:p>
            <w:pPr>
              <w:jc w:val="left"/>
            </w:pPr>
            <w:r/>
            <w:r>
              <w:rPr>
                <w:rFonts w:hint="eastAsia"/>
                <w:color w:val="000000"/>
                <w:sz w:val="21"/>
              </w:rPr>
              <w:t>刻蚀用硅电极即硅气体分配盘，与精密气体喷头功能相同、材料路线不同；四轮问询下的产销勾稽与能耗核查颗粒度为五家样本中最细</w:t>
            </w:r>
          </w:p>
        </w:tc>
      </w:tr>
    </w:tbl>
    <w:p>
      <w:pPr>
        <w:pStyle w:val="a6"/>
        <w:jc w:val="center"/>
      </w:pPr>
      <w:r>
        <w:rPr>
          <w:rFonts w:hint="eastAsia"/>
          <w:sz w:val="11"/>
          <w:szCs w:val="11"/>
        </w:rPr>
        <w:t>资料来源：各公司招股说明书、审核问询函回复，本报告整理。注一：珂玛科技首轮问题数取自其申报会计师专项意见所列的最大问题编号，为该轮问题数的下限；注二：神工股份的可比性依据为臻宝科技招股说明书的表述——“刻蚀用硅电极（本材料中硅电极即为硅气体分配盘）”；该公司同时经营单晶硅材料，业务范围宽于纯零部件加工，本章仅援引其对制造型企业具有共性的问题；注三：本章不含下游设备整机企业的案例。</w:t>
      </w:r>
    </w:p>
    <w:p>
      <w:pPr>
        <w:pStyle w:val="a0"/>
      </w:pPr>
      <w:r>
        <w:rPr>
          <w:rFonts w:hint="eastAsia"/>
        </w:rPr>
        <w:t>五家企业的问题数量均逐轮收敛。托伦斯由首轮15个收敛至第二轮3个、落实函1个；臻宝科技由首轮13个收敛至第二轮5个；珂玛科技首轮问题编号至19、收敛至第二轮5个、落实函3个；先锋精科由首轮18个收敛至第二轮7个；神工股份由首轮49个依次收敛至20个、8个、8个，落实函2个。收敛后仍保留的问题，即为审核实际关注的核心。</w:t>
      </w:r>
    </w:p>
    <w:p>
      <w:pPr>
        <w:jc w:val="center"/>
      </w:pPr>
      <w:r>
        <w:drawing>
          <wp:inline xmlns:a="http://schemas.openxmlformats.org/drawingml/2006/main" xmlns:pic="http://schemas.openxmlformats.org/drawingml/2006/picture">
            <wp:extent cx="5074920" cy="2242406"/>
            <wp:docPr id="4" name="Picture 4"/>
            <wp:cNvGraphicFramePr>
              <a:graphicFrameLocks noChangeAspect="1"/>
            </wp:cNvGraphicFramePr>
            <a:graphic>
              <a:graphicData uri="http://schemas.openxmlformats.org/drawingml/2006/picture">
                <pic:pic>
                  <pic:nvPicPr>
                    <pic:cNvPr id="0" name="fig4_shoulian.png"/>
                    <pic:cNvPicPr/>
                  </pic:nvPicPr>
                  <pic:blipFill>
                    <a:blip r:embed="rId19"/>
                    <a:stretch>
                      <a:fillRect/>
                    </a:stretch>
                  </pic:blipFill>
                  <pic:spPr>
                    <a:xfrm>
                      <a:off x="0" y="0"/>
                      <a:ext cx="5074920" cy="2242406"/>
                    </a:xfrm>
                    <a:prstGeom prst="rect"/>
                  </pic:spPr>
                </pic:pic>
              </a:graphicData>
            </a:graphic>
          </wp:inline>
        </w:drawing>
      </w:r>
    </w:p>
    <w:p>
      <w:pPr>
        <w:keepNext/>
        <w:jc w:val="center"/>
      </w:pPr>
      <w:r>
        <w:rPr>
          <w:rFonts w:hint="eastAsia"/>
          <w:b/>
          <w:sz w:val="21"/>
        </w:rPr>
        <w:t>图4  样本企业问询问题数量的逐轮收敛</w:t>
      </w:r>
    </w:p>
    <w:p>
      <w:pPr>
        <w:pStyle w:val="a6"/>
        <w:jc w:val="center"/>
      </w:pPr>
      <w:r>
        <w:rPr>
          <w:rFonts w:hint="eastAsia"/>
          <w:sz w:val="11"/>
          <w:szCs w:val="11"/>
        </w:rPr>
        <w:t>资料来源：各公司招股说明书、审核问询函回复，本报告整理</w:t>
      </w:r>
    </w:p>
    <w:p>
      <w:pPr>
        <w:pStyle w:val="a0"/>
      </w:pPr>
      <w:r>
        <w:rPr>
          <w:rFonts w:hint="eastAsia"/>
        </w:rPr>
        <w:t>本章内容取自交易所网站已公开披露的问询回复文件，发行人与中介机构自行作出的结论性意见不予引用。只涉及单家企业特定情形的问题，如实际控制人认定、与关联方共用厂房人员、技术出资合法性等，各家情况不同，对无锡金源没有参照价值，本章不列。</w:t>
      </w:r>
    </w:p>
    <w:p>
      <w:pPr>
        <w:pStyle w:val="3"/>
        <w:numPr>
          <w:ilvl w:val="0"/>
          <w:numId w:val="0"/>
        </w:numPr>
        <w:spacing w:before="156" w:after="156"/>
      </w:pPr>
      <w:bookmarkStart w:id="1021" w:name="_Toc900021"/>
      <w:r>
        <w:rPr>
          <w:rFonts w:hint="eastAsia"/>
        </w:rPr>
        <w:t>6.2 关注点之一：毛利率与成本核算</w:t>
      </w:r>
      <w:bookmarkEnd w:id="1021"/>
    </w:p>
    <w:p>
      <w:pPr>
        <w:pStyle w:val="a0"/>
      </w:pPr>
      <w:r>
        <w:rPr>
          <w:rFonts w:hint="eastAsia"/>
        </w:rPr>
        <w:t>毛利率是五家企业全部命中的问题，且都被追问到最后一轮。托伦斯首轮问成本和毛利率，第二轮单列毛利率变动，落实函仍以业绩稳定性追问毛利率是否进一步下滑；珂玛科技在第二轮与落实函连续两次单列毛利率；神工股份第二轮单列毛利率，第四轮转为产品单价和单位成本。臻宝科技与先锋精科则是两轮均设成本和毛利率专项，先锋精科第二轮还加设了业绩波动。</w:t>
      </w:r>
    </w:p>
    <w:p>
      <w:pPr>
        <w:pStyle w:val="a0"/>
      </w:pPr>
      <w:r>
        <w:rPr>
          <w:rFonts w:hint="eastAsia"/>
        </w:rPr>
        <w:t>审核关注毛利率的角度有三类。一是产品结构层面的拆分，要求按单一产品逐项列示毛利率、收入占比及其变动影响，托伦斯的分产品毛利率即由此披露。二是与同行业可比公司的对标。臻宝科技第二轮问询列示了两组数据：公司硅零部件各期毛利率45.83%、50.05%、52.99%、48.28%，可比公司神工股份、盾源聚芯的同类产品毛利率均值34.65%、34.49%、37.32%、43.74%；并指出发行人硅零部件收入远低于盾源聚芯，且两家可比公司均自研自产硅材料。三是成本核算的具体勾稽。同一轮问询指出，2024年及2025年1—6月公司硅零部件的实际单位耗用量为2.26千克／件、2.34千克／件，低于物料清单的2.30千克／件、2.43千克／件。</w:t>
      </w:r>
    </w:p>
    <w:p>
      <w:pPr>
        <w:pStyle w:val="a0"/>
      </w:pPr>
      <w:r>
        <w:rPr>
          <w:rFonts w:hint="eastAsia"/>
        </w:rPr>
        <w:t>毛利率逐年上升同样构成触发点。神工股份报告期各期综合毛利率43.73%、55.10%、63.77%、67.25%，四期连续上升。交易所未接受笼统的技术领先解释，而是要求先按产品规格逐档拆开产量、销量与价格，再在拆分数据的基础上回答毛利率为何高、为何持续上升。</w:t>
      </w:r>
    </w:p>
    <w:p>
      <w:pPr>
        <w:pStyle w:val="a0"/>
      </w:pPr>
      <w:r>
        <w:rPr>
          <w:rFonts w:hint="eastAsia"/>
        </w:rPr>
        <w:t>臻宝科技第二轮回复列明核查程序九项，落点集中在台账与测算：查阅仓库管理和成本核算制度；获取废料台账与产成品明细，测算利用边角料生产的产品数量与材料成本；获取报废产品明细与材料更换涉及的产品清单，对良率变动作量化分析；获取物料清单与实际投入产出关系比对；按产品类型分析单位成本与毛利率的变动。珂玛科技在审核中心意见落实函中获取产品规格数据，测算主要产品的单位体积价格与单位体积成本，再量化各因素对毛利率变动的影响。先锋精科第二轮回复将毛利率变动拆成两层：先区分产品结构变动与细分产品自身指标变动的影响，再逐项统计单价、单位直接材料、单位直接人工、单位制造费用与单位外协成本的变动数额，并对影响较大的细分产品查看实物与工艺路线。三家做法不同，指向一致：毛利率的解释须建立在产品级、纯度级、尺寸级的数据拆分之上，而不能直接归因于技术水平。</w:t>
      </w:r>
    </w:p>
    <w:p>
      <w:pPr>
        <w:pStyle w:val="3"/>
        <w:numPr>
          <w:ilvl w:val="0"/>
          <w:numId w:val="0"/>
        </w:numPr>
        <w:spacing w:before="156" w:after="156"/>
      </w:pPr>
      <w:bookmarkStart w:id="1022" w:name="_Toc900022"/>
      <w:r>
        <w:rPr>
          <w:rFonts w:hint="eastAsia"/>
        </w:rPr>
        <w:t>6.3 关注点之二：技术先进性与核心技术</w:t>
      </w:r>
      <w:bookmarkEnd w:id="1022"/>
    </w:p>
    <w:p>
      <w:pPr>
        <w:pStyle w:val="a0"/>
      </w:pPr>
      <w:r>
        <w:rPr>
          <w:rFonts w:hint="eastAsia"/>
        </w:rPr>
        <w:t>五家企业均被问及核心技术，且多在第二轮升级。托伦斯首轮问产品和技术，第二轮转为技术先进性和市场空间，要求说明高精度机械制造、焊接、表面处理三项核心工艺的技术水平；先锋精科首轮设产品和技术专项，第二轮转为产品和市场竞争；神工股份第二轮设公司行业及核心技术专项，第三轮再设发行人产品专项。臻宝科技首轮即设核心技术专项，珂玛科技则在第二轮问核心技术、落实函问业务与技术。</w:t>
      </w:r>
    </w:p>
    <w:p>
      <w:pPr>
        <w:pStyle w:val="a0"/>
      </w:pPr>
      <w:r>
        <w:rPr>
          <w:rFonts w:hint="eastAsia"/>
        </w:rPr>
        <w:t>神工股份第三轮问询划出了核心技术与生产设备之间的边界。交易所要求结合各期采购的单晶炉型号及其差异，说明能够生产大尺寸单晶硅材料是否主要因为采购了相应型号的设备；投入产出率提升与能耗降低，是否源于外购更先进的设备或对外购设备的改造；并说明具体改进措施及其在研发投入与研发费用中的体现。</w:t>
      </w:r>
    </w:p>
    <w:p>
      <w:pPr>
        <w:pStyle w:val="a0"/>
      </w:pPr>
      <w:r>
        <w:rPr>
          <w:rFonts w:hint="eastAsia"/>
        </w:rPr>
        <w:t>托伦斯第二轮回复的核查程序共七项，其中四项落在外部印证上：查阅可比公司公开披露的技术指标、专利信息及招股说明书，与发行人技术参数逐项对比；访谈核心客户的采购负责人，确认产品技术性能指标、供应份额排名及与竞争对手的对比；访谈客户确认外协厂商是否为其指定或认证的供应商；查阅可比公司年度报告，统计模组业务收入占比与客户结构。技术先进性的证明由此落到可比对象的公开参数与客户方的确认上。</w:t>
      </w:r>
    </w:p>
    <w:p>
      <w:pPr>
        <w:pStyle w:val="3"/>
        <w:numPr>
          <w:ilvl w:val="0"/>
          <w:numId w:val="0"/>
        </w:numPr>
        <w:spacing w:before="156" w:after="156"/>
      </w:pPr>
      <w:bookmarkStart w:id="1023" w:name="_Toc900023"/>
      <w:r>
        <w:rPr>
          <w:rFonts w:hint="eastAsia"/>
        </w:rPr>
        <w:t>6.4 关注点之三：收入与业绩可持续性</w:t>
      </w:r>
      <w:bookmarkEnd w:id="1023"/>
    </w:p>
    <w:p>
      <w:pPr>
        <w:pStyle w:val="a0"/>
      </w:pPr>
      <w:r>
        <w:rPr>
          <w:rFonts w:hint="eastAsia"/>
        </w:rPr>
        <w:t>托伦斯首轮问业务成长性、收入变动与主要客户，第二轮问营业收入变动，落实函问业绩稳定性；臻宝科技首轮问收入，第二轮问经营业绩与收入；珂玛科技第二轮问收入增长可持续性。先锋精科第二轮单设业绩波动专项，核查程序包括获取各期产能利用率、产销率、收入及毛利率情况表，查阅同行业可比公司定期报告作对比，访谈各类零部件主要客户并获取期末在手订单明细。</w:t>
      </w:r>
    </w:p>
    <w:p>
      <w:pPr>
        <w:pStyle w:val="a0"/>
      </w:pPr>
      <w:r>
        <w:rPr>
          <w:rFonts w:hint="eastAsia"/>
        </w:rPr>
        <w:t>托伦斯落实函的问法具有代表性，要求披露三项内容：一是收入增速下滑的原因，以及与行业趋势、可比公司业绩变动的差异；二是增速放缓仍持续扩产的考虑，并结合募投新增产能说明是否存在产能消化风险；三是结合在手订单数量与价格、产能利用率预计变动、汇兑损益变化，分析毛利率及经营利润是否存在进一步下滑的风险。核查程序共六项：查阅SEMI、QY Research等机构发布的市场规模与国产化率数据，复核测算逻辑；获取募投项目可行性研究报告与经济效益测算表；查阅下游行业研究报告与主要厂商资本开支计划；查阅可比公司及下游主要客户的定期报告；获取在手订单，分析价格变动与产能增长。业绩变动最终须归因到可外部验证的行业数据，以及可比公司、下游客户的定期报告。</w:t>
      </w:r>
    </w:p>
    <w:p>
      <w:pPr>
        <w:pStyle w:val="3"/>
        <w:numPr>
          <w:ilvl w:val="0"/>
          <w:numId w:val="0"/>
        </w:numPr>
        <w:spacing w:before="156" w:after="156"/>
      </w:pPr>
      <w:bookmarkStart w:id="1024" w:name="_Toc900024"/>
      <w:r>
        <w:rPr>
          <w:rFonts w:hint="eastAsia"/>
        </w:rPr>
        <w:t>6.5 关注点之四：客户与供应商</w:t>
      </w:r>
      <w:bookmarkEnd w:id="1024"/>
    </w:p>
    <w:p>
      <w:pPr>
        <w:pStyle w:val="a0"/>
      </w:pPr>
      <w:r>
        <w:rPr>
          <w:rFonts w:hint="eastAsia"/>
        </w:rPr>
        <w:t>五家企业首轮均设有客户与供应商专项。关注角度包括客户集中度及其成因、单一客户依赖、新增客户的开发过程与验证周期、向单一供应商采购的价格公允性，以及供应商成立时间与合作起始时间是否匹配。臻宝科技第二轮问询即指出，其石英主要供应商锦州士成成立当年即开展合作，同类材料采购价格明显低于其他供应商。</w:t>
      </w:r>
    </w:p>
    <w:p>
      <w:pPr>
        <w:pStyle w:val="a0"/>
      </w:pPr>
      <w:r>
        <w:rPr>
          <w:rFonts w:hint="eastAsia"/>
        </w:rPr>
        <w:t>臻宝科技对采购价格公允性的回复，是查阅采购明细表并访谈主要供应商取得说明，再将市场价格、可比公司采购价格、向不同供应商的采购价格与供应商向其他客户的销售价格作四方对照。神工股份第四轮问询则给出了境外销售的核查颗粒度：逐单列示重要销售订单的客户名称、订单金额、合同签订时间、报关出口时间、运输方式、运费金额、客户签收日期与回款时间，并按合同顺序提供销售合同、出口报关单、客户签收凭据与客户付款凭证。在缺少市场公开报价的品类上，价格公允性靠多个可比维度交叉对照建立；主要产品出口的企业，收入真实性核查则落到单笔订单的单证闭环上。</w:t>
      </w:r>
    </w:p>
    <w:p>
      <w:pPr>
        <w:pStyle w:val="3"/>
        <w:numPr>
          <w:ilvl w:val="0"/>
          <w:numId w:val="0"/>
        </w:numPr>
        <w:spacing w:before="156" w:after="156"/>
      </w:pPr>
      <w:bookmarkStart w:id="1025" w:name="_Toc900025"/>
      <w:r>
        <w:rPr>
          <w:rFonts w:hint="eastAsia"/>
        </w:rPr>
        <w:t>6.6 关注点之五：产销勾稽与投入产出</w:t>
      </w:r>
      <w:bookmarkEnd w:id="1025"/>
    </w:p>
    <w:p>
      <w:pPr>
        <w:pStyle w:val="a0"/>
      </w:pPr>
      <w:r>
        <w:rPr>
          <w:rFonts w:hint="eastAsia"/>
        </w:rPr>
        <w:t>该项在制造型零部件企业中被追问的轮次最多。神工股份第二轮设投入产出比变动、产量和用电量关系、产量匹配情况三个专项，第三轮设产量与销量差异、单位产品能耗水平两个专项，第四轮仍设生产销售勾稽关系与单位产量能耗专项。</w:t>
      </w:r>
    </w:p>
    <w:p>
      <w:pPr>
        <w:pStyle w:val="a0"/>
      </w:pPr>
      <w:r>
        <w:rPr>
          <w:rFonts w:hint="eastAsia"/>
        </w:rPr>
        <w:t>交易所在第四轮列出报告期各期按重量与按长度计算的两套产销比。2016年至2019年1—6月，按重量口径分别为103.05%、96.58%、90.56%、54.12%，按长度口径分别为99.37%、90.41%、94.66%、59.71%。两套口径的差异原因及合理性，要求从定性和定量两方面说明。同一轮次还列出各期单位设备用水量12,885.71、9,254.55、5,814.29和1,063.33吨／台，单位设备用电量87.33、88.86、95.69和45.23万千瓦时／台，末期为2019年1—6月半年数；要求列表说明各月度用水量、用电量与当月产量、在产设备数量的配比关系及差异原因，并提供相应凭据。</w:t>
      </w:r>
    </w:p>
    <w:p>
      <w:pPr>
        <w:pStyle w:val="a0"/>
      </w:pPr>
      <w:r>
        <w:rPr>
          <w:rFonts w:hint="eastAsia"/>
        </w:rPr>
        <w:t>该问题的核查程序共七项：取得存货管理制度与存货盘点表，并对三个时点的存货执行监盘；对销售与收款流程、生产与仓储流程执行穿行测试与控制测试，取得生产计划、销售合同、出入库单与收款凭证；取得中国电子口岸平台出口数据并对当地海关函证；对主要客户实施走访与函证；复核各尺寸规格下不同类型产品按长度与按重量两套口径的产量、销量及金额表；复核各期末存货明细表；访谈管理层了解两套口径之间的勾稽关系。这一类问题的实质，是以物理量交叉验证财务数据。原材料投入量、能耗、设备台数、产量、销量、出口报关量之间需形成可复算的对应关系，任一环节的口径切换都要给出量化解释。</w:t>
      </w:r>
    </w:p>
    <w:p>
      <w:pPr>
        <w:pStyle w:val="3"/>
        <w:numPr>
          <w:ilvl w:val="0"/>
          <w:numId w:val="0"/>
        </w:numPr>
        <w:spacing w:before="156" w:after="156"/>
      </w:pPr>
      <w:bookmarkStart w:id="1026" w:name="_Toc900026"/>
      <w:r>
        <w:rPr>
          <w:rFonts w:hint="eastAsia"/>
        </w:rPr>
        <w:t>6.7 关注点之六：募投项目与产能消化</w:t>
      </w:r>
      <w:bookmarkEnd w:id="1026"/>
    </w:p>
    <w:p>
      <w:pPr>
        <w:pStyle w:val="a0"/>
      </w:pPr>
      <w:r>
        <w:rPr>
          <w:rFonts w:hint="eastAsia"/>
        </w:rPr>
        <w:t>托伦斯首轮设募投项目专项，落实函要求结合募投新增产能说明产能消化风险；臻宝科技首轮与第二轮均设募投项目专项；珂玛科技在会计师专项回复中设募集资金运用；先锋精科首轮设募投项目专项，第二轮转为募投项目环评。关注角度为新增产能的测算依据、与在手订单及客户需求的匹配、产能爬坡节奏，以及产能利用率下降对毛利率的影响。募投项目的实施场地安排本身也是核查对象。臻宝科技第二轮回复中，中介机构就募投项目采用代建、租赁、回购模式单列七项核查程序，涉及项目投资协议、不动产认购意向书、房屋租赁合同及其登记备案证明、不动产权证书与国有建设用地使用权出让合同。</w:t>
      </w:r>
    </w:p>
    <w:p>
      <w:pPr>
        <w:pStyle w:val="3"/>
        <w:numPr>
          <w:ilvl w:val="0"/>
          <w:numId w:val="0"/>
        </w:numPr>
        <w:spacing w:before="156" w:after="156"/>
      </w:pPr>
      <w:bookmarkStart w:id="1027" w:name="_Toc900027"/>
      <w:r>
        <w:rPr>
          <w:rFonts w:hint="eastAsia"/>
        </w:rPr>
        <w:t>6.8 各关注点对应的核查材料</w:t>
      </w:r>
      <w:bookmarkEnd w:id="1027"/>
    </w:p>
    <w:p>
      <w:pPr>
        <w:pStyle w:val="a0"/>
      </w:pPr>
      <w:r>
        <w:rPr>
          <w:rFonts w:hint="eastAsia"/>
        </w:rPr>
        <w:t>同一类问题在不同企业、不同年份的核查落点高度一致。下表右列为这些材料在企业日常经营中的对应记录，系依据中列内容归纳。</w:t>
      </w:r>
    </w:p>
    <w:p>
      <w:pPr>
        <w:keepNext/>
        <w:jc w:val="center"/>
      </w:pPr>
      <w:r>
        <w:rPr>
          <w:rFonts w:hint="eastAsia"/>
          <w:b/>
          <w:sz w:val="21"/>
        </w:rPr>
        <w:t>表13  审核关注点与公开问询回复中调取的核查材料</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800" w:type="pct"/>
            <w:tcBorders>
              <w:top w:val="single" w:sz="12" w:space="0" w:color="010000"/>
              <w:bottom w:val="single" w:sz="4" w:space="0" w:color="010000"/>
            </w:tcBorders>
            <w:vAlign w:val="center"/>
          </w:tcPr>
          <w:p>
            <w:pPr>
              <w:jc w:val="center"/>
            </w:pPr>
            <w:r/>
            <w:r>
              <w:rPr>
                <w:rFonts w:hint="eastAsia"/>
                <w:b/>
                <w:color w:val="000000"/>
                <w:sz w:val="21"/>
              </w:rPr>
              <w:t>审核关注点</w:t>
            </w:r>
          </w:p>
        </w:tc>
        <w:tc>
          <w:tcPr>
            <w:tcW w:w="2300" w:type="pct"/>
            <w:tcBorders>
              <w:top w:val="single" w:sz="12" w:space="0" w:color="010000"/>
              <w:bottom w:val="single" w:sz="4" w:space="0" w:color="010000"/>
            </w:tcBorders>
            <w:vAlign w:val="center"/>
          </w:tcPr>
          <w:p>
            <w:pPr>
              <w:jc w:val="center"/>
            </w:pPr>
            <w:r/>
            <w:r>
              <w:rPr>
                <w:rFonts w:hint="eastAsia"/>
                <w:b/>
                <w:color w:val="000000"/>
                <w:sz w:val="21"/>
              </w:rPr>
              <w:t>公开问询回复中中介机构调取的材料</w:t>
            </w:r>
          </w:p>
        </w:tc>
        <w:tc>
          <w:tcPr>
            <w:tcW w:w="1900" w:type="pct"/>
            <w:tcBorders>
              <w:top w:val="single" w:sz="12" w:space="0" w:color="010000"/>
              <w:bottom w:val="single" w:sz="4" w:space="0" w:color="010000"/>
            </w:tcBorders>
            <w:vAlign w:val="center"/>
          </w:tcPr>
          <w:p>
            <w:pPr>
              <w:jc w:val="center"/>
            </w:pPr>
            <w:r/>
            <w:r>
              <w:rPr>
                <w:rFonts w:hint="eastAsia"/>
                <w:b/>
                <w:color w:val="000000"/>
                <w:sz w:val="21"/>
              </w:rPr>
              <w:t>对应的日常记录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毛利率与成本核算</w:t>
            </w:r>
          </w:p>
        </w:tc>
        <w:tc>
          <w:tcPr>
            <w:tcW w:w="2300" w:type="pct"/>
            <w:tcBorders>
              <w:top w:val="single" w:sz="4" w:space="0" w:color="010000"/>
            </w:tcBorders>
            <w:vAlign w:val="center"/>
          </w:tcPr>
          <w:p>
            <w:pPr>
              <w:jc w:val="left"/>
            </w:pPr>
            <w:r/>
            <w:r>
              <w:rPr>
                <w:rFonts w:hint="eastAsia"/>
                <w:color w:val="000000"/>
                <w:sz w:val="21"/>
              </w:rPr>
              <w:t>收入成本明细表；仓库管理和成本核算制度；废料台账；产成品明细；报废产品明细与材料更换涉及的产品清单；物料清单；原材料与产成品进销存明细；产品规格数据；外购半成品明细表</w:t>
            </w:r>
          </w:p>
        </w:tc>
        <w:tc>
          <w:tcPr>
            <w:tcW w:w="1900" w:type="pct"/>
            <w:tcBorders>
              <w:top w:val="single" w:sz="4" w:space="0" w:color="010000"/>
            </w:tcBorders>
            <w:vAlign w:val="center"/>
          </w:tcPr>
          <w:p>
            <w:pPr>
              <w:jc w:val="left"/>
            </w:pPr>
            <w:r/>
            <w:r>
              <w:rPr>
                <w:rFonts w:hint="eastAsia"/>
                <w:color w:val="000000"/>
                <w:sz w:val="21"/>
              </w:rPr>
              <w:t>分产品、分规格的收入与成本台账；物料清单单位耗用量与实际耗用量的差异记录；边角料与报废品的流转及核算记录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技术先进性与核心技术</w:t>
            </w:r>
          </w:p>
        </w:tc>
        <w:tc>
          <w:tcPr>
            <w:tcW w:w="2300" w:type="pct"/>
            <w:tcBorders>
              <w:top w:val="single" w:sz="4" w:space="0" w:color="010000"/>
            </w:tcBorders>
            <w:vAlign w:val="center"/>
          </w:tcPr>
          <w:p>
            <w:pPr>
              <w:jc w:val="left"/>
            </w:pPr>
            <w:r/>
            <w:r>
              <w:rPr>
                <w:rFonts w:hint="eastAsia"/>
                <w:color w:val="000000"/>
                <w:sz w:val="21"/>
              </w:rPr>
              <w:t>可比公司公开披露的技术指标、专利信息与招股说明书；发行人技术参数；核心客户采购负责人访谈记录；外协厂商基本信息及其与同行业公司的股权关系</w:t>
            </w:r>
          </w:p>
        </w:tc>
        <w:tc>
          <w:tcPr>
            <w:tcW w:w="1900" w:type="pct"/>
            <w:tcBorders>
              <w:top w:val="single" w:sz="4" w:space="0" w:color="010000"/>
            </w:tcBorders>
            <w:vAlign w:val="center"/>
          </w:tcPr>
          <w:p>
            <w:pPr>
              <w:jc w:val="left"/>
            </w:pPr>
            <w:r/>
            <w:r>
              <w:rPr>
                <w:rFonts w:hint="eastAsia"/>
                <w:color w:val="000000"/>
                <w:sz w:val="21"/>
              </w:rPr>
              <w:t>分项技术参数与可比对象的对照记录；外协工序清单及外协方的客户认证情况；产品在客户端的验证与认证记录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收入与业绩可持续性</w:t>
            </w:r>
          </w:p>
        </w:tc>
        <w:tc>
          <w:tcPr>
            <w:tcW w:w="2300" w:type="pct"/>
            <w:tcBorders>
              <w:top w:val="single" w:sz="4" w:space="0" w:color="010000"/>
            </w:tcBorders>
            <w:vAlign w:val="center"/>
          </w:tcPr>
          <w:p>
            <w:pPr>
              <w:jc w:val="left"/>
            </w:pPr>
            <w:r/>
            <w:r>
              <w:rPr>
                <w:rFonts w:hint="eastAsia"/>
                <w:color w:val="000000"/>
                <w:sz w:val="21"/>
              </w:rPr>
              <w:t>第三方机构的市场规模与国产化率数据；募投项目可行性研究报告与经济效益测算表；下游行业研究报告与主要厂商资本开支计划；可比公司及下游主要客户定期报告；在手订单；汇兑损益分析</w:t>
            </w:r>
          </w:p>
        </w:tc>
        <w:tc>
          <w:tcPr>
            <w:tcW w:w="1900" w:type="pct"/>
            <w:tcBorders>
              <w:top w:val="single" w:sz="4" w:space="0" w:color="010000"/>
            </w:tcBorders>
            <w:vAlign w:val="center"/>
          </w:tcPr>
          <w:p>
            <w:pPr>
              <w:jc w:val="left"/>
            </w:pPr>
            <w:r/>
            <w:r>
              <w:rPr>
                <w:rFonts w:hint="eastAsia"/>
                <w:color w:val="000000"/>
                <w:sz w:val="21"/>
              </w:rPr>
              <w:t>在手订单台账，含数量与价格；分产线的产能与产能利用率记录；外币结算与汇兑损益记录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客户与供应商</w:t>
            </w:r>
          </w:p>
        </w:tc>
        <w:tc>
          <w:tcPr>
            <w:tcW w:w="2300" w:type="pct"/>
            <w:tcBorders>
              <w:top w:val="single" w:sz="4" w:space="0" w:color="010000"/>
            </w:tcBorders>
            <w:vAlign w:val="center"/>
          </w:tcPr>
          <w:p>
            <w:pPr>
              <w:jc w:val="left"/>
            </w:pPr>
            <w:r/>
            <w:r>
              <w:rPr>
                <w:rFonts w:hint="eastAsia"/>
                <w:color w:val="000000"/>
                <w:sz w:val="21"/>
              </w:rPr>
              <w:t>采购明细表；主要供应商访谈记录与说明；市场价格、可比公司采购价格、向不同供应商的采购价格与供应商向其他客户的销售价格；重要销售订单的合同、报关单、签收凭据与付款凭证</w:t>
            </w:r>
          </w:p>
        </w:tc>
        <w:tc>
          <w:tcPr>
            <w:tcW w:w="1900" w:type="pct"/>
            <w:tcBorders>
              <w:top w:val="single" w:sz="4" w:space="0" w:color="010000"/>
            </w:tcBorders>
            <w:vAlign w:val="center"/>
          </w:tcPr>
          <w:p>
            <w:pPr>
              <w:jc w:val="left"/>
            </w:pPr>
            <w:r/>
            <w:r>
              <w:rPr>
                <w:rFonts w:hint="eastAsia"/>
                <w:color w:val="000000"/>
                <w:sz w:val="21"/>
              </w:rPr>
              <w:t>供应商准入记录与合作起始时间；同类材料分供应商的采购单价台账；出口订单的单证链与回款记录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产销勾稽与投入产出</w:t>
            </w:r>
          </w:p>
        </w:tc>
        <w:tc>
          <w:tcPr>
            <w:tcW w:w="2300" w:type="pct"/>
            <w:tcBorders>
              <w:top w:val="single" w:sz="4" w:space="0" w:color="010000"/>
            </w:tcBorders>
            <w:vAlign w:val="center"/>
          </w:tcPr>
          <w:p>
            <w:pPr>
              <w:jc w:val="left"/>
            </w:pPr>
            <w:r/>
            <w:r>
              <w:rPr>
                <w:rFonts w:hint="eastAsia"/>
                <w:color w:val="000000"/>
                <w:sz w:val="21"/>
              </w:rPr>
              <w:t>存货管理制度与存货盘点表；存货监盘记录；销售与收款、生产与仓储流程的穿行测试与控制测试底稿；生产计划、出入库单与收款凭证；中国电子口岸出口数据与海关函证；客户走访与函证；各规格产品按两套计量口径的产量、销量及金额表；各月度用水量与用电量明细及凭据</w:t>
            </w:r>
          </w:p>
        </w:tc>
        <w:tc>
          <w:tcPr>
            <w:tcW w:w="1900" w:type="pct"/>
            <w:tcBorders>
              <w:top w:val="single" w:sz="4" w:space="0" w:color="010000"/>
            </w:tcBorders>
            <w:vAlign w:val="center"/>
          </w:tcPr>
          <w:p>
            <w:pPr>
              <w:jc w:val="left"/>
            </w:pPr>
            <w:r/>
            <w:r>
              <w:rPr>
                <w:rFonts w:hint="eastAsia"/>
                <w:color w:val="000000"/>
                <w:sz w:val="21"/>
              </w:rPr>
              <w:t>按两套计量口径同时记录的产销存台账；月度水电用量明细及缴费凭据；单台设备的产量与能耗对应记录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募投项目与产能消化</w:t>
            </w:r>
          </w:p>
        </w:tc>
        <w:tc>
          <w:tcPr>
            <w:tcW w:w="2300" w:type="pct"/>
            <w:tcBorders>
              <w:top w:val="single" w:sz="4" w:space="0" w:color="010000"/>
            </w:tcBorders>
            <w:vAlign w:val="center"/>
          </w:tcPr>
          <w:p>
            <w:pPr>
              <w:jc w:val="left"/>
            </w:pPr>
            <w:r/>
            <w:r>
              <w:rPr>
                <w:rFonts w:hint="eastAsia"/>
                <w:color w:val="000000"/>
                <w:sz w:val="21"/>
              </w:rPr>
              <w:t>募投项目投资协议；不动产权属文件；房屋租赁合同与租赁登记备案证明；同类上市公司相关模式的公开披露文件；可行性研究报告与经济效益测算表</w:t>
            </w:r>
          </w:p>
        </w:tc>
        <w:tc>
          <w:tcPr>
            <w:tcW w:w="1900" w:type="pct"/>
            <w:tcBorders>
              <w:top w:val="single" w:sz="4" w:space="0" w:color="010000"/>
            </w:tcBorders>
            <w:vAlign w:val="center"/>
          </w:tcPr>
          <w:p>
            <w:pPr>
              <w:jc w:val="left"/>
            </w:pPr>
            <w:r/>
            <w:r>
              <w:rPr>
                <w:rFonts w:hint="eastAsia"/>
                <w:color w:val="000000"/>
                <w:sz w:val="21"/>
              </w:rPr>
              <w:t>募投用地与厂房的权属或租赁文件；新增产能的测算依据及其与在手订单、客户需求的对应关系</w:t>
            </w:r>
          </w:p>
        </w:tc>
      </w:tr>
    </w:tbl>
    <w:p>
      <w:pPr>
        <w:pStyle w:val="a6"/>
        <w:jc w:val="center"/>
      </w:pPr>
      <w:r>
        <w:rPr>
          <w:rFonts w:hint="eastAsia"/>
          <w:sz w:val="11"/>
          <w:szCs w:val="11"/>
        </w:rPr>
        <w:t>资料来源：托伦斯、臻宝科技、珂玛科技、先锋精科、神工股份的审核问询函回复、上市委审议意见落实函回复与审核中心意见落实函回复，本报告整理。注：右列系依据中列内容归纳，非监管规则的列举。</w:t>
      </w:r>
    </w:p>
    <w:p>
      <w:pPr>
        <w:pStyle w:val="2"/>
        <w:spacing w:before="156" w:after="156"/>
      </w:pPr>
      <w:bookmarkStart w:id="1028" w:name="_Toc900028"/>
      <w:r>
        <w:rPr>
          <w:rFonts w:hint="eastAsia"/>
          <w:b/>
        </w:rPr>
        <w:t>与国泰海通相关的产业链公司</w:t>
      </w:r>
      <w:bookmarkEnd w:id="1028"/>
    </w:p>
    <w:p>
      <w:pPr>
        <w:pStyle w:val="a0"/>
      </w:pPr>
      <w:r>
        <w:rPr>
          <w:rFonts w:hint="eastAsia"/>
        </w:rPr>
        <w:t>本章列示国泰海通在半导体设备与零部件领域的在审、辅导、已保荐上市与再融资项目，并标注各公司与无锡金源在产业链上的位置关系。</w:t>
      </w:r>
    </w:p>
    <w:p>
      <w:pPr>
        <w:pStyle w:val="3"/>
        <w:numPr>
          <w:ilvl w:val="0"/>
          <w:numId w:val="0"/>
        </w:numPr>
        <w:spacing w:before="156" w:after="156"/>
      </w:pPr>
      <w:bookmarkStart w:id="1029" w:name="_Toc900029"/>
      <w:r>
        <w:rPr>
          <w:rFonts w:hint="eastAsia"/>
        </w:rPr>
        <w:t>7.1 在审与辅导中的项目</w:t>
      </w:r>
      <w:bookmarkEnd w:id="1029"/>
    </w:p>
    <w:p>
      <w:pPr>
        <w:keepNext/>
        <w:jc w:val="center"/>
      </w:pPr>
      <w:r>
        <w:rPr>
          <w:rFonts w:hint="eastAsia"/>
          <w:b/>
          <w:sz w:val="21"/>
        </w:rPr>
        <w:t>表14  国泰海通在半导体设备与零部件领域的在审及辅导项目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96" w:type="pct"/>
            <w:tcBorders>
              <w:top w:val="single" w:sz="12" w:space="0" w:color="010000"/>
              <w:bottom w:val="single" w:sz="4" w:space="0" w:color="010000"/>
            </w:tcBorders>
            <w:vAlign w:val="center"/>
          </w:tcPr>
          <w:p>
            <w:pPr>
              <w:jc w:val="center"/>
            </w:pPr>
            <w:r/>
            <w:r>
              <w:rPr>
                <w:rFonts w:hint="eastAsia"/>
                <w:b/>
                <w:color w:val="000000"/>
                <w:sz w:val="21"/>
              </w:rPr>
              <w:t>公司名称</w:t>
            </w:r>
          </w:p>
        </w:tc>
        <w:tc>
          <w:tcPr>
            <w:tcW w:w="487" w:type="pct"/>
            <w:tcBorders>
              <w:top w:val="single" w:sz="12" w:space="0" w:color="010000"/>
              <w:bottom w:val="single" w:sz="4" w:space="0" w:color="010000"/>
            </w:tcBorders>
            <w:vAlign w:val="center"/>
          </w:tcPr>
          <w:p>
            <w:pPr>
              <w:jc w:val="center"/>
            </w:pPr>
            <w:r/>
            <w:r>
              <w:rPr>
                <w:rFonts w:hint="eastAsia"/>
                <w:b/>
                <w:color w:val="000000"/>
                <w:sz w:val="21"/>
              </w:rPr>
              <w:t>与国泰海通的关系</w:t>
            </w:r>
          </w:p>
        </w:tc>
        <w:tc>
          <w:tcPr>
            <w:tcW w:w="973" w:type="pct"/>
            <w:tcBorders>
              <w:top w:val="single" w:sz="12" w:space="0" w:color="010000"/>
              <w:bottom w:val="single" w:sz="4" w:space="0" w:color="010000"/>
            </w:tcBorders>
            <w:vAlign w:val="center"/>
          </w:tcPr>
          <w:p>
            <w:pPr>
              <w:jc w:val="center"/>
            </w:pPr>
            <w:r/>
            <w:r>
              <w:rPr>
                <w:rFonts w:hint="eastAsia"/>
                <w:b/>
                <w:color w:val="000000"/>
                <w:sz w:val="21"/>
              </w:rPr>
              <w:t>当前状态</w:t>
            </w:r>
          </w:p>
        </w:tc>
        <w:tc>
          <w:tcPr>
            <w:tcW w:w="1416" w:type="pct"/>
            <w:tcBorders>
              <w:top w:val="single" w:sz="12" w:space="0" w:color="010000"/>
              <w:bottom w:val="single" w:sz="4" w:space="0" w:color="010000"/>
            </w:tcBorders>
            <w:vAlign w:val="center"/>
          </w:tcPr>
          <w:p>
            <w:pPr>
              <w:jc w:val="center"/>
            </w:pPr>
            <w:r/>
            <w:r>
              <w:rPr>
                <w:rFonts w:hint="eastAsia"/>
                <w:b/>
                <w:color w:val="000000"/>
                <w:sz w:val="21"/>
              </w:rPr>
              <w:t>主营业务</w:t>
            </w:r>
          </w:p>
        </w:tc>
        <w:tc>
          <w:tcPr>
            <w:tcW w:w="1327" w:type="pct"/>
            <w:tcBorders>
              <w:top w:val="single" w:sz="12" w:space="0" w:color="010000"/>
              <w:bottom w:val="single" w:sz="4" w:space="0" w:color="010000"/>
            </w:tcBorders>
            <w:vAlign w:val="center"/>
          </w:tcPr>
          <w:p>
            <w:pPr>
              <w:jc w:val="center"/>
            </w:pPr>
            <w:r/>
            <w:r>
              <w:rPr>
                <w:rFonts w:hint="eastAsia"/>
                <w:b/>
                <w:color w:val="000000"/>
                <w:sz w:val="21"/>
              </w:rPr>
              <w:t>与无锡金源的产业链关系</w:t>
            </w:r>
          </w:p>
        </w:tc>
      </w:tr>
      <w:tr>
        <w:trPr>
          <w:cantSplit/>
          <w:jc w:val="center"/>
        </w:trPr>
        <w:tc>
          <w:tcPr>
            <w:tcW w:w="796" w:type="pct"/>
            <w:tcBorders>
              <w:top w:val="single" w:sz="4" w:space="0" w:color="010000"/>
            </w:tcBorders>
            <w:vAlign w:val="center"/>
          </w:tcPr>
          <w:p>
            <w:pPr>
              <w:jc w:val="left"/>
            </w:pPr>
            <w:r/>
            <w:r>
              <w:rPr>
                <w:rFonts w:hint="eastAsia"/>
                <w:color w:val="000000"/>
                <w:sz w:val="21"/>
              </w:rPr>
              <w:t>江苏神州半导体科技</w:t>
            </w:r>
          </w:p>
        </w:tc>
        <w:tc>
          <w:tcPr>
            <w:tcW w:w="487" w:type="pct"/>
            <w:tcBorders>
              <w:top w:val="single" w:sz="4" w:space="0" w:color="010000"/>
            </w:tcBorders>
            <w:vAlign w:val="center"/>
          </w:tcPr>
          <w:p>
            <w:pPr>
              <w:jc w:val="center"/>
            </w:pPr>
            <w:r/>
            <w:r>
              <w:rPr>
                <w:rFonts w:hint="eastAsia"/>
                <w:color w:val="000000"/>
                <w:sz w:val="21"/>
              </w:rPr>
              <w:t>保荐机构</w:t>
            </w:r>
          </w:p>
        </w:tc>
        <w:tc>
          <w:tcPr>
            <w:tcW w:w="973" w:type="pct"/>
            <w:tcBorders>
              <w:top w:val="single" w:sz="4" w:space="0" w:color="010000"/>
            </w:tcBorders>
            <w:vAlign w:val="center"/>
          </w:tcPr>
          <w:p>
            <w:pPr>
              <w:jc w:val="left"/>
            </w:pPr>
            <w:r/>
            <w:r>
              <w:rPr>
                <w:rFonts w:hint="eastAsia"/>
                <w:color w:val="000000"/>
                <w:sz w:val="21"/>
              </w:rPr>
              <w:t>科创板IPO已问询，2026年6月30日递交申报稿</w:t>
            </w:r>
          </w:p>
        </w:tc>
        <w:tc>
          <w:tcPr>
            <w:tcW w:w="1416" w:type="pct"/>
            <w:tcBorders>
              <w:top w:val="single" w:sz="4" w:space="0" w:color="010000"/>
            </w:tcBorders>
            <w:vAlign w:val="center"/>
          </w:tcPr>
          <w:p>
            <w:pPr>
              <w:jc w:val="left"/>
            </w:pPr>
            <w:r/>
            <w:r>
              <w:rPr>
                <w:rFonts w:hint="eastAsia"/>
                <w:color w:val="000000"/>
                <w:sz w:val="21"/>
              </w:rPr>
              <w:t>半导体等离子体电源系统，含远程等离子源发生系统与射频电源</w:t>
            </w:r>
          </w:p>
        </w:tc>
        <w:tc>
          <w:tcPr>
            <w:tcW w:w="1327" w:type="pct"/>
            <w:tcBorders>
              <w:top w:val="single" w:sz="4" w:space="0" w:color="010000"/>
            </w:tcBorders>
            <w:vAlign w:val="center"/>
          </w:tcPr>
          <w:p>
            <w:pPr>
              <w:jc w:val="left"/>
            </w:pPr>
            <w:r/>
            <w:r>
              <w:rPr>
                <w:rFonts w:hint="eastAsia"/>
                <w:color w:val="000000"/>
                <w:sz w:val="21"/>
              </w:rPr>
              <w:t>同处零部件环节，共同装配于刻蚀与薄膜沉积设备</w:t>
            </w:r>
          </w:p>
        </w:tc>
      </w:tr>
      <w:tr>
        <w:trPr>
          <w:cantSplit/>
          <w:jc w:val="center"/>
        </w:trPr>
        <w:tc>
          <w:tcPr>
            <w:tcW w:w="796" w:type="pct"/>
            <w:tcBorders>
              <w:top w:val="single" w:sz="4" w:space="0" w:color="010000"/>
            </w:tcBorders>
            <w:vAlign w:val="center"/>
          </w:tcPr>
          <w:p>
            <w:pPr>
              <w:jc w:val="left"/>
            </w:pPr>
            <w:r/>
            <w:r>
              <w:rPr>
                <w:rFonts w:hint="eastAsia"/>
                <w:color w:val="000000"/>
                <w:sz w:val="21"/>
              </w:rPr>
              <w:t>新美光（苏州）半导体科技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辅导备案登记受理，2026年7月24日</w:t>
            </w:r>
          </w:p>
        </w:tc>
        <w:tc>
          <w:tcPr>
            <w:tcW w:w="1416" w:type="pct"/>
            <w:tcBorders>
              <w:top w:val="single" w:sz="4" w:space="0" w:color="010000"/>
            </w:tcBorders>
            <w:vAlign w:val="center"/>
          </w:tcPr>
          <w:p>
            <w:pPr>
              <w:jc w:val="left"/>
            </w:pPr>
            <w:r/>
            <w:r>
              <w:rPr>
                <w:rFonts w:hint="eastAsia"/>
                <w:color w:val="000000"/>
                <w:sz w:val="21"/>
              </w:rPr>
              <w:t>等离子刻蚀先进制程核心零部件，含单晶硅部件（聚焦环、硅电极等）与碳化硅部件</w:t>
            </w:r>
          </w:p>
        </w:tc>
        <w:tc>
          <w:tcPr>
            <w:tcW w:w="1327" w:type="pct"/>
            <w:tcBorders>
              <w:top w:val="single" w:sz="4" w:space="0" w:color="010000"/>
            </w:tcBorders>
            <w:vAlign w:val="center"/>
          </w:tcPr>
          <w:p>
            <w:pPr>
              <w:jc w:val="left"/>
            </w:pPr>
            <w:r/>
            <w:r>
              <w:rPr>
                <w:rFonts w:hint="eastAsia"/>
                <w:color w:val="000000"/>
                <w:sz w:val="21"/>
              </w:rPr>
              <w:t>同处零部件环节；其硅电极与无锡金源的精密气体喷头为同一功能部件的不同材料路线</w:t>
            </w:r>
          </w:p>
        </w:tc>
      </w:tr>
      <w:tr>
        <w:trPr>
          <w:cantSplit/>
          <w:jc w:val="center"/>
        </w:trPr>
        <w:tc>
          <w:tcPr>
            <w:tcW w:w="796" w:type="pct"/>
            <w:tcBorders>
              <w:top w:val="single" w:sz="4" w:space="0" w:color="010000"/>
            </w:tcBorders>
            <w:vAlign w:val="center"/>
          </w:tcPr>
          <w:p>
            <w:pPr>
              <w:jc w:val="left"/>
            </w:pPr>
            <w:r/>
            <w:r>
              <w:rPr>
                <w:rFonts w:hint="eastAsia"/>
                <w:color w:val="000000"/>
                <w:sz w:val="21"/>
              </w:rPr>
              <w:t>盛吉盛半导体科技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辅导备案登记受理，2026年7月27日</w:t>
            </w:r>
          </w:p>
        </w:tc>
        <w:tc>
          <w:tcPr>
            <w:tcW w:w="1416" w:type="pct"/>
            <w:tcBorders>
              <w:top w:val="single" w:sz="4" w:space="0" w:color="010000"/>
            </w:tcBorders>
            <w:vAlign w:val="center"/>
          </w:tcPr>
          <w:p>
            <w:pPr>
              <w:jc w:val="left"/>
            </w:pPr>
            <w:r/>
            <w:r>
              <w:rPr>
                <w:rFonts w:hint="eastAsia"/>
                <w:color w:val="000000"/>
                <w:sz w:val="21"/>
              </w:rPr>
              <w:t>集成电路专用设备及关键零部件，含薄膜沉积整机系列</w:t>
            </w:r>
          </w:p>
        </w:tc>
        <w:tc>
          <w:tcPr>
            <w:tcW w:w="1327" w:type="pct"/>
            <w:tcBorders>
              <w:top w:val="single" w:sz="4" w:space="0" w:color="010000"/>
            </w:tcBorders>
            <w:vAlign w:val="center"/>
          </w:tcPr>
          <w:p>
            <w:pPr>
              <w:jc w:val="left"/>
            </w:pPr>
            <w:r/>
            <w:r>
              <w:rPr>
                <w:rFonts w:hint="eastAsia"/>
                <w:color w:val="000000"/>
                <w:sz w:val="21"/>
              </w:rPr>
              <w:t>设备整机环节；无锡金源的气体喷头与加热盘即用于薄膜沉积与刻蚀工艺的设备腔体</w:t>
            </w:r>
          </w:p>
        </w:tc>
      </w:tr>
      <w:tr>
        <w:trPr>
          <w:cantSplit/>
          <w:jc w:val="center"/>
        </w:trPr>
        <w:tc>
          <w:tcPr>
            <w:tcW w:w="796" w:type="pct"/>
            <w:tcBorders>
              <w:top w:val="single" w:sz="4" w:space="0" w:color="010000"/>
            </w:tcBorders>
            <w:vAlign w:val="center"/>
          </w:tcPr>
          <w:p>
            <w:pPr>
              <w:jc w:val="left"/>
            </w:pPr>
            <w:r/>
            <w:r>
              <w:rPr>
                <w:rFonts w:hint="eastAsia"/>
                <w:color w:val="000000"/>
                <w:sz w:val="21"/>
              </w:rPr>
              <w:t>上海先普科技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辅导备案登记受理，2025年12月24日，拟北交所</w:t>
            </w:r>
          </w:p>
        </w:tc>
        <w:tc>
          <w:tcPr>
            <w:tcW w:w="1416" w:type="pct"/>
            <w:tcBorders>
              <w:top w:val="single" w:sz="4" w:space="0" w:color="010000"/>
            </w:tcBorders>
            <w:vAlign w:val="center"/>
          </w:tcPr>
          <w:p>
            <w:pPr>
              <w:jc w:val="left"/>
            </w:pPr>
            <w:r/>
            <w:r>
              <w:rPr>
                <w:rFonts w:hint="eastAsia"/>
                <w:color w:val="000000"/>
                <w:sz w:val="21"/>
              </w:rPr>
              <w:t>半导体行业气体纯化器与气体过滤器</w:t>
            </w:r>
          </w:p>
        </w:tc>
        <w:tc>
          <w:tcPr>
            <w:tcW w:w="1327" w:type="pct"/>
            <w:tcBorders>
              <w:top w:val="single" w:sz="4" w:space="0" w:color="010000"/>
            </w:tcBorders>
            <w:vAlign w:val="center"/>
          </w:tcPr>
          <w:p>
            <w:pPr>
              <w:jc w:val="left"/>
            </w:pPr>
            <w:r/>
            <w:r>
              <w:rPr>
                <w:rFonts w:hint="eastAsia"/>
                <w:color w:val="000000"/>
                <w:sz w:val="21"/>
              </w:rPr>
              <w:t>同处工艺气体链条，位于气体进入腔体之前的纯化与过滤环节，与气体喷头前后相接</w:t>
            </w:r>
          </w:p>
        </w:tc>
      </w:tr>
    </w:tbl>
    <w:p>
      <w:pPr>
        <w:pStyle w:val="a6"/>
        <w:jc w:val="center"/>
      </w:pPr>
      <w:r>
        <w:rPr>
          <w:rFonts w:hint="eastAsia"/>
          <w:sz w:val="11"/>
          <w:szCs w:val="11"/>
        </w:rPr>
        <w:t>资料来源：交易所发行上市审核信息公开网站、各地证监局辅导备案公示、Wind整理成果，本报告整理。注：末列的产业链关系依据产品在设备中的功能位置归纳，不代表双方已存在业务往来。</w:t>
      </w:r>
    </w:p>
    <w:p>
      <w:pPr>
        <w:pStyle w:val="3"/>
        <w:numPr>
          <w:ilvl w:val="0"/>
          <w:numId w:val="0"/>
        </w:numPr>
        <w:spacing w:before="156" w:after="156"/>
      </w:pPr>
      <w:bookmarkStart w:id="1030" w:name="_Toc900030"/>
      <w:r>
        <w:rPr>
          <w:rFonts w:hint="eastAsia"/>
        </w:rPr>
        <w:t>7.2 已保荐上市与再融资的相关公司</w:t>
      </w:r>
      <w:bookmarkEnd w:id="1030"/>
    </w:p>
    <w:p>
      <w:pPr>
        <w:keepNext/>
        <w:jc w:val="center"/>
      </w:pPr>
      <w:r>
        <w:rPr>
          <w:rFonts w:hint="eastAsia"/>
          <w:b/>
          <w:sz w:val="21"/>
        </w:rPr>
        <w:t>表15  国泰海通系已保荐上市与再融资的相关公司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702" w:type="pct"/>
            <w:tcBorders>
              <w:top w:val="single" w:sz="12" w:space="0" w:color="010000"/>
              <w:bottom w:val="single" w:sz="4" w:space="0" w:color="010000"/>
            </w:tcBorders>
            <w:vAlign w:val="center"/>
          </w:tcPr>
          <w:p>
            <w:pPr>
              <w:jc w:val="center"/>
            </w:pPr>
            <w:r/>
            <w:r>
              <w:rPr>
                <w:rFonts w:hint="eastAsia"/>
                <w:b/>
                <w:color w:val="000000"/>
                <w:sz w:val="21"/>
              </w:rPr>
              <w:t>公司名称</w:t>
            </w:r>
          </w:p>
        </w:tc>
        <w:tc>
          <w:tcPr>
            <w:tcW w:w="482" w:type="pct"/>
            <w:tcBorders>
              <w:top w:val="single" w:sz="12" w:space="0" w:color="010000"/>
              <w:bottom w:val="single" w:sz="4" w:space="0" w:color="010000"/>
            </w:tcBorders>
            <w:vAlign w:val="center"/>
          </w:tcPr>
          <w:p>
            <w:pPr>
              <w:jc w:val="center"/>
            </w:pPr>
            <w:r/>
            <w:r>
              <w:rPr>
                <w:rFonts w:hint="eastAsia"/>
                <w:b/>
                <w:color w:val="000000"/>
                <w:sz w:val="21"/>
              </w:rPr>
              <w:t>证券代码</w:t>
            </w:r>
          </w:p>
        </w:tc>
        <w:tc>
          <w:tcPr>
            <w:tcW w:w="877" w:type="pct"/>
            <w:tcBorders>
              <w:top w:val="single" w:sz="12" w:space="0" w:color="010000"/>
              <w:bottom w:val="single" w:sz="4" w:space="0" w:color="010000"/>
            </w:tcBorders>
            <w:vAlign w:val="center"/>
          </w:tcPr>
          <w:p>
            <w:pPr>
              <w:jc w:val="center"/>
            </w:pPr>
            <w:r/>
            <w:r>
              <w:rPr>
                <w:rFonts w:hint="eastAsia"/>
                <w:b/>
                <w:color w:val="000000"/>
                <w:sz w:val="21"/>
              </w:rPr>
              <w:t>发行时间</w:t>
            </w:r>
          </w:p>
        </w:tc>
        <w:tc>
          <w:tcPr>
            <w:tcW w:w="570" w:type="pct"/>
            <w:tcBorders>
              <w:top w:val="single" w:sz="12" w:space="0" w:color="010000"/>
              <w:bottom w:val="single" w:sz="4" w:space="0" w:color="010000"/>
            </w:tcBorders>
            <w:vAlign w:val="center"/>
          </w:tcPr>
          <w:p>
            <w:pPr>
              <w:jc w:val="center"/>
            </w:pPr>
            <w:r/>
            <w:r>
              <w:rPr>
                <w:rFonts w:hint="eastAsia"/>
                <w:b/>
                <w:color w:val="000000"/>
                <w:sz w:val="21"/>
              </w:rPr>
              <w:t>当时主体名称</w:t>
            </w:r>
          </w:p>
        </w:tc>
        <w:tc>
          <w:tcPr>
            <w:tcW w:w="965" w:type="pct"/>
            <w:tcBorders>
              <w:top w:val="single" w:sz="12" w:space="0" w:color="010000"/>
              <w:bottom w:val="single" w:sz="4" w:space="0" w:color="010000"/>
            </w:tcBorders>
            <w:vAlign w:val="center"/>
          </w:tcPr>
          <w:p>
            <w:pPr>
              <w:jc w:val="center"/>
            </w:pPr>
            <w:r/>
            <w:r>
              <w:rPr>
                <w:rFonts w:hint="eastAsia"/>
                <w:b/>
                <w:color w:val="000000"/>
                <w:sz w:val="21"/>
              </w:rPr>
              <w:t>所处环节</w:t>
            </w:r>
          </w:p>
        </w:tc>
        <w:tc>
          <w:tcPr>
            <w:tcW w:w="1404" w:type="pct"/>
            <w:tcBorders>
              <w:top w:val="single" w:sz="12" w:space="0" w:color="010000"/>
              <w:bottom w:val="single" w:sz="4" w:space="0" w:color="010000"/>
            </w:tcBorders>
            <w:vAlign w:val="center"/>
          </w:tcPr>
          <w:p>
            <w:pPr>
              <w:jc w:val="center"/>
            </w:pPr>
            <w:r/>
            <w:r>
              <w:rPr>
                <w:rFonts w:hint="eastAsia"/>
                <w:b/>
                <w:color w:val="000000"/>
                <w:sz w:val="21"/>
              </w:rPr>
              <w:t>与无锡金源的产业链关系</w:t>
            </w:r>
          </w:p>
        </w:tc>
      </w:tr>
      <w:tr>
        <w:trPr>
          <w:cantSplit/>
          <w:jc w:val="center"/>
        </w:trPr>
        <w:tc>
          <w:tcPr>
            <w:tcW w:w="702" w:type="pct"/>
            <w:tcBorders>
              <w:top w:val="single" w:sz="4" w:space="0" w:color="010000"/>
            </w:tcBorders>
            <w:vAlign w:val="center"/>
          </w:tcPr>
          <w:p>
            <w:pPr>
              <w:jc w:val="left"/>
            </w:pPr>
            <w:r/>
            <w:r>
              <w:rPr>
                <w:rFonts w:hint="eastAsia"/>
                <w:color w:val="000000"/>
                <w:sz w:val="21"/>
              </w:rPr>
              <w:t>锦州神工半导体</w:t>
            </w:r>
          </w:p>
        </w:tc>
        <w:tc>
          <w:tcPr>
            <w:tcW w:w="482" w:type="pct"/>
            <w:tcBorders>
              <w:top w:val="single" w:sz="4" w:space="0" w:color="010000"/>
            </w:tcBorders>
            <w:vAlign w:val="center"/>
          </w:tcPr>
          <w:p>
            <w:pPr>
              <w:jc w:val="center"/>
            </w:pPr>
            <w:r/>
            <w:r>
              <w:rPr>
                <w:rFonts w:hint="eastAsia"/>
                <w:color w:val="000000"/>
                <w:sz w:val="21"/>
              </w:rPr>
              <w:t>688233.SH</w:t>
            </w:r>
          </w:p>
        </w:tc>
        <w:tc>
          <w:tcPr>
            <w:tcW w:w="877" w:type="pct"/>
            <w:tcBorders>
              <w:top w:val="single" w:sz="4" w:space="0" w:color="010000"/>
            </w:tcBorders>
            <w:vAlign w:val="center"/>
          </w:tcPr>
          <w:p>
            <w:pPr>
              <w:jc w:val="left"/>
            </w:pPr>
            <w:r/>
            <w:r>
              <w:rPr>
                <w:rFonts w:hint="eastAsia"/>
                <w:color w:val="000000"/>
                <w:sz w:val="21"/>
              </w:rPr>
              <w:t>2020年2月21日</w:t>
            </w:r>
          </w:p>
        </w:tc>
        <w:tc>
          <w:tcPr>
            <w:tcW w:w="570" w:type="pct"/>
            <w:tcBorders>
              <w:top w:val="single" w:sz="4" w:space="0" w:color="010000"/>
            </w:tcBorders>
            <w:vAlign w:val="center"/>
          </w:tcPr>
          <w:p>
            <w:pPr>
              <w:jc w:val="center"/>
            </w:pPr>
            <w:r/>
            <w:r>
              <w:rPr>
                <w:rFonts w:hint="eastAsia"/>
                <w:color w:val="000000"/>
                <w:sz w:val="21"/>
              </w:rPr>
              <w:t>国泰君安证券</w:t>
            </w:r>
          </w:p>
        </w:tc>
        <w:tc>
          <w:tcPr>
            <w:tcW w:w="965" w:type="pct"/>
            <w:tcBorders>
              <w:top w:val="single" w:sz="4" w:space="0" w:color="010000"/>
            </w:tcBorders>
            <w:vAlign w:val="center"/>
          </w:tcPr>
          <w:p>
            <w:pPr>
              <w:jc w:val="left"/>
            </w:pPr>
            <w:r/>
            <w:r>
              <w:rPr>
                <w:rFonts w:hint="eastAsia"/>
                <w:color w:val="000000"/>
                <w:sz w:val="21"/>
              </w:rPr>
              <w:t>刻蚀用单晶硅材料与硅零部件</w:t>
            </w:r>
          </w:p>
        </w:tc>
        <w:tc>
          <w:tcPr>
            <w:tcW w:w="1404" w:type="pct"/>
            <w:tcBorders>
              <w:top w:val="single" w:sz="4" w:space="0" w:color="010000"/>
            </w:tcBorders>
            <w:vAlign w:val="center"/>
          </w:tcPr>
          <w:p>
            <w:pPr>
              <w:jc w:val="left"/>
            </w:pPr>
            <w:r/>
            <w:r>
              <w:rPr>
                <w:rFonts w:hint="eastAsia"/>
                <w:color w:val="000000"/>
                <w:sz w:val="21"/>
              </w:rPr>
              <w:t>同处零部件与耗材环节；其刻蚀用硅电极即硅气体分配盘，与精密气体喷头为同一功能部件的不同材料路线</w:t>
            </w:r>
          </w:p>
        </w:tc>
      </w:tr>
      <w:tr>
        <w:trPr>
          <w:cantSplit/>
          <w:jc w:val="center"/>
        </w:trPr>
        <w:tc>
          <w:tcPr>
            <w:tcW w:w="702" w:type="pct"/>
            <w:tcBorders>
              <w:top w:val="single" w:sz="4" w:space="0" w:color="010000"/>
            </w:tcBorders>
            <w:vAlign w:val="center"/>
          </w:tcPr>
          <w:p>
            <w:pPr>
              <w:jc w:val="left"/>
            </w:pPr>
            <w:r/>
            <w:r>
              <w:rPr>
                <w:rFonts w:hint="eastAsia"/>
                <w:color w:val="000000"/>
                <w:sz w:val="21"/>
              </w:rPr>
              <w:t>上海正帆科技</w:t>
            </w:r>
          </w:p>
        </w:tc>
        <w:tc>
          <w:tcPr>
            <w:tcW w:w="482" w:type="pct"/>
            <w:tcBorders>
              <w:top w:val="single" w:sz="4" w:space="0" w:color="010000"/>
            </w:tcBorders>
            <w:vAlign w:val="center"/>
          </w:tcPr>
          <w:p>
            <w:pPr>
              <w:jc w:val="center"/>
            </w:pPr>
            <w:r/>
            <w:r>
              <w:rPr>
                <w:rFonts w:hint="eastAsia"/>
                <w:color w:val="000000"/>
                <w:sz w:val="21"/>
              </w:rPr>
              <w:t>688596.SH</w:t>
            </w:r>
          </w:p>
        </w:tc>
        <w:tc>
          <w:tcPr>
            <w:tcW w:w="877" w:type="pct"/>
            <w:tcBorders>
              <w:top w:val="single" w:sz="4" w:space="0" w:color="010000"/>
            </w:tcBorders>
            <w:vAlign w:val="center"/>
          </w:tcPr>
          <w:p>
            <w:pPr>
              <w:jc w:val="left"/>
            </w:pPr>
            <w:r/>
            <w:r>
              <w:rPr>
                <w:rFonts w:hint="eastAsia"/>
                <w:color w:val="000000"/>
                <w:sz w:val="21"/>
              </w:rPr>
              <w:t>2020年8月20日</w:t>
            </w:r>
          </w:p>
        </w:tc>
        <w:tc>
          <w:tcPr>
            <w:tcW w:w="570" w:type="pct"/>
            <w:tcBorders>
              <w:top w:val="single" w:sz="4" w:space="0" w:color="010000"/>
            </w:tcBorders>
            <w:vAlign w:val="center"/>
          </w:tcPr>
          <w:p>
            <w:pPr>
              <w:jc w:val="center"/>
            </w:pPr>
            <w:r/>
            <w:r>
              <w:rPr>
                <w:rFonts w:hint="eastAsia"/>
                <w:color w:val="000000"/>
                <w:sz w:val="21"/>
              </w:rPr>
              <w:t>国泰君安证券</w:t>
            </w:r>
          </w:p>
        </w:tc>
        <w:tc>
          <w:tcPr>
            <w:tcW w:w="965" w:type="pct"/>
            <w:tcBorders>
              <w:top w:val="single" w:sz="4" w:space="0" w:color="010000"/>
            </w:tcBorders>
            <w:vAlign w:val="center"/>
          </w:tcPr>
          <w:p>
            <w:pPr>
              <w:jc w:val="left"/>
            </w:pPr>
            <w:r/>
            <w:r>
              <w:rPr>
                <w:rFonts w:hint="eastAsia"/>
                <w:color w:val="000000"/>
                <w:sz w:val="21"/>
              </w:rPr>
              <w:t>电子工艺设备与气体输送系统</w:t>
            </w:r>
          </w:p>
        </w:tc>
        <w:tc>
          <w:tcPr>
            <w:tcW w:w="1404" w:type="pct"/>
            <w:tcBorders>
              <w:top w:val="single" w:sz="4" w:space="0" w:color="010000"/>
            </w:tcBorders>
            <w:vAlign w:val="center"/>
          </w:tcPr>
          <w:p>
            <w:pPr>
              <w:jc w:val="left"/>
            </w:pPr>
            <w:r/>
            <w:r>
              <w:rPr>
                <w:rFonts w:hint="eastAsia"/>
                <w:color w:val="000000"/>
                <w:sz w:val="21"/>
              </w:rPr>
              <w:t>同处工艺气体链条上游，气柜与气体管路将工艺气体送至腔体，再经气体喷头分配</w:t>
            </w:r>
          </w:p>
        </w:tc>
      </w:tr>
      <w:tr>
        <w:trPr>
          <w:cantSplit/>
          <w:jc w:val="center"/>
        </w:trPr>
        <w:tc>
          <w:tcPr>
            <w:tcW w:w="702" w:type="pct"/>
            <w:tcBorders>
              <w:top w:val="single" w:sz="4" w:space="0" w:color="010000"/>
            </w:tcBorders>
            <w:vAlign w:val="center"/>
          </w:tcPr>
          <w:p>
            <w:pPr>
              <w:jc w:val="left"/>
            </w:pPr>
            <w:r/>
            <w:r>
              <w:rPr>
                <w:rFonts w:hint="eastAsia"/>
                <w:color w:val="000000"/>
                <w:sz w:val="21"/>
              </w:rPr>
              <w:t>宁波江丰电子</w:t>
            </w:r>
          </w:p>
        </w:tc>
        <w:tc>
          <w:tcPr>
            <w:tcW w:w="482" w:type="pct"/>
            <w:tcBorders>
              <w:top w:val="single" w:sz="4" w:space="0" w:color="010000"/>
            </w:tcBorders>
            <w:vAlign w:val="center"/>
          </w:tcPr>
          <w:p>
            <w:pPr>
              <w:jc w:val="center"/>
            </w:pPr>
            <w:r/>
            <w:r>
              <w:rPr>
                <w:rFonts w:hint="eastAsia"/>
                <w:color w:val="000000"/>
                <w:sz w:val="21"/>
              </w:rPr>
              <w:t>300666.SZ</w:t>
            </w:r>
          </w:p>
        </w:tc>
        <w:tc>
          <w:tcPr>
            <w:tcW w:w="877" w:type="pct"/>
            <w:tcBorders>
              <w:top w:val="single" w:sz="4" w:space="0" w:color="010000"/>
            </w:tcBorders>
            <w:vAlign w:val="center"/>
          </w:tcPr>
          <w:p>
            <w:pPr>
              <w:jc w:val="left"/>
            </w:pPr>
            <w:r/>
            <w:r>
              <w:rPr>
                <w:rFonts w:hint="eastAsia"/>
                <w:color w:val="000000"/>
                <w:sz w:val="21"/>
              </w:rPr>
              <w:t>2025年度向特定对象发行，2026年3月18日通过深交所审核，尚待证监会注册</w:t>
            </w:r>
          </w:p>
        </w:tc>
        <w:tc>
          <w:tcPr>
            <w:tcW w:w="570" w:type="pct"/>
            <w:tcBorders>
              <w:top w:val="single" w:sz="4" w:space="0" w:color="010000"/>
            </w:tcBorders>
            <w:vAlign w:val="center"/>
          </w:tcPr>
          <w:p>
            <w:pPr>
              <w:jc w:val="center"/>
            </w:pPr>
            <w:r/>
            <w:r>
              <w:rPr>
                <w:rFonts w:hint="eastAsia"/>
                <w:color w:val="000000"/>
                <w:sz w:val="21"/>
              </w:rPr>
              <w:t>国泰海通证券</w:t>
            </w:r>
          </w:p>
        </w:tc>
        <w:tc>
          <w:tcPr>
            <w:tcW w:w="965" w:type="pct"/>
            <w:tcBorders>
              <w:top w:val="single" w:sz="4" w:space="0" w:color="010000"/>
            </w:tcBorders>
            <w:vAlign w:val="center"/>
          </w:tcPr>
          <w:p>
            <w:pPr>
              <w:jc w:val="left"/>
            </w:pPr>
            <w:r/>
            <w:r>
              <w:rPr>
                <w:rFonts w:hint="eastAsia"/>
                <w:color w:val="000000"/>
                <w:sz w:val="21"/>
              </w:rPr>
              <w:t>超高纯金属溅射靶材与半导体设备精密零部件</w:t>
            </w:r>
          </w:p>
        </w:tc>
        <w:tc>
          <w:tcPr>
            <w:tcW w:w="1404" w:type="pct"/>
            <w:tcBorders>
              <w:top w:val="single" w:sz="4" w:space="0" w:color="010000"/>
            </w:tcBorders>
            <w:vAlign w:val="center"/>
          </w:tcPr>
          <w:p>
            <w:pPr>
              <w:jc w:val="left"/>
            </w:pPr>
            <w:r/>
            <w:r>
              <w:rPr>
                <w:rFonts w:hint="eastAsia"/>
                <w:color w:val="000000"/>
                <w:sz w:val="21"/>
              </w:rPr>
              <w:t>募投含集成电路设备用静电吸盘产业化项目，静电吸盘与加热盘同处腔体内承载晶圆与控温的功能位置</w:t>
            </w:r>
          </w:p>
        </w:tc>
      </w:tr>
    </w:tbl>
    <w:p>
      <w:pPr>
        <w:pStyle w:val="a6"/>
        <w:jc w:val="center"/>
      </w:pPr>
      <w:r>
        <w:rPr>
          <w:rFonts w:hint="eastAsia"/>
          <w:sz w:val="11"/>
          <w:szCs w:val="11"/>
        </w:rPr>
        <w:t>资料来源：各公司招股说明书、上市保荐书、交易所公开披露文件、Wind整理成果，本报告整理。注一：国泰君安证券与海通证券于2025年3月14日合并为国泰海通证券股份有限公司；注二：江丰电子项目为向特定对象发行，募集资金总额不超过192,782.90万元。</w:t>
      </w:r>
    </w:p>
    <w:p>
      <w:pPr>
        <w:pStyle w:val="2"/>
        <w:spacing w:before="156" w:after="156"/>
      </w:pPr>
      <w:bookmarkStart w:id="1031" w:name="_Toc900031"/>
      <w:r>
        <w:rPr>
          <w:rFonts w:hint="eastAsia"/>
          <w:b/>
        </w:rPr>
        <w:t>拜访关注要点</w:t>
      </w:r>
      <w:bookmarkEnd w:id="1031"/>
    </w:p>
    <w:p>
      <w:pPr>
        <w:keepNext/>
        <w:jc w:val="center"/>
      </w:pPr>
      <w:r>
        <w:rPr>
          <w:rFonts w:hint="eastAsia"/>
          <w:b/>
          <w:sz w:val="21"/>
        </w:rPr>
        <w:t>表16  无锡金源拜访关注要点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636" w:type="pct"/>
            <w:tcBorders>
              <w:top w:val="single" w:sz="12" w:space="0" w:color="010000"/>
              <w:bottom w:val="single" w:sz="4" w:space="0" w:color="010000"/>
            </w:tcBorders>
            <w:vAlign w:val="center"/>
          </w:tcPr>
          <w:p>
            <w:pPr>
              <w:jc w:val="center"/>
            </w:pPr>
            <w:r/>
            <w:r>
              <w:rPr>
                <w:rFonts w:hint="eastAsia"/>
                <w:b/>
                <w:color w:val="000000"/>
                <w:sz w:val="21"/>
              </w:rPr>
              <w:t>关注维度</w:t>
            </w:r>
          </w:p>
        </w:tc>
        <w:tc>
          <w:tcPr>
            <w:tcW w:w="1909" w:type="pct"/>
            <w:tcBorders>
              <w:top w:val="single" w:sz="12" w:space="0" w:color="010000"/>
              <w:bottom w:val="single" w:sz="4" w:space="0" w:color="010000"/>
            </w:tcBorders>
            <w:vAlign w:val="center"/>
          </w:tcPr>
          <w:p>
            <w:pPr>
              <w:jc w:val="center"/>
            </w:pPr>
            <w:r/>
            <w:r>
              <w:rPr>
                <w:rFonts w:hint="eastAsia"/>
                <w:b/>
                <w:color w:val="000000"/>
                <w:sz w:val="21"/>
              </w:rPr>
              <w:t>具体问题</w:t>
            </w:r>
          </w:p>
        </w:tc>
        <w:tc>
          <w:tcPr>
            <w:tcW w:w="2455" w:type="pct"/>
            <w:tcBorders>
              <w:top w:val="single" w:sz="12" w:space="0" w:color="010000"/>
              <w:bottom w:val="single" w:sz="4" w:space="0" w:color="010000"/>
            </w:tcBorders>
            <w:vAlign w:val="center"/>
          </w:tcPr>
          <w:p>
            <w:pPr>
              <w:jc w:val="center"/>
            </w:pPr>
            <w:r/>
            <w:r>
              <w:rPr>
                <w:rFonts w:hint="eastAsia"/>
                <w:b/>
                <w:color w:val="000000"/>
                <w:sz w:val="21"/>
              </w:rPr>
              <w:t>提问依据</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产品的材料与工艺</w:t>
            </w:r>
          </w:p>
        </w:tc>
        <w:tc>
          <w:tcPr>
            <w:tcW w:w="1909" w:type="pct"/>
            <w:tcBorders>
              <w:top w:val="single" w:sz="4" w:space="0" w:color="010000"/>
            </w:tcBorders>
            <w:vAlign w:val="center"/>
          </w:tcPr>
          <w:p>
            <w:pPr>
              <w:jc w:val="left"/>
            </w:pPr>
            <w:r/>
            <w:r>
              <w:rPr>
                <w:rFonts w:hint="eastAsia"/>
                <w:color w:val="000000"/>
                <w:sz w:val="21"/>
              </w:rPr>
              <w:t>气体喷头与加热盘分别采用何种材料？加热盘是金属路线还是氮化铝陶瓷路线？各产品的生产工艺环节如何划分，哪些工序自制、哪些外协？产品的耐等离子体腐蚀性能与使用寿命指标如何？</w:t>
            </w:r>
          </w:p>
        </w:tc>
        <w:tc>
          <w:tcPr>
            <w:tcW w:w="2455" w:type="pct"/>
            <w:tcBorders>
              <w:top w:val="single" w:sz="4" w:space="0" w:color="010000"/>
            </w:tcBorders>
            <w:vAlign w:val="center"/>
          </w:tcPr>
          <w:p>
            <w:pPr>
              <w:jc w:val="left"/>
            </w:pPr>
            <w:r/>
            <w:r>
              <w:rPr>
                <w:rFonts w:hint="eastAsia"/>
                <w:color w:val="000000"/>
                <w:sz w:val="21"/>
              </w:rPr>
              <w:t>公司未披露产品的材料牌号与工艺路线。材料属性直接决定毛利率区间：2025年非金属路线的珂玛科技53.94%、臻宝科技49.85%，金属路线的先锋精科29.02%、托伦斯27.14%、富创精密24.94%。</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产品结构与毛利率</w:t>
            </w:r>
          </w:p>
        </w:tc>
        <w:tc>
          <w:tcPr>
            <w:tcW w:w="1909" w:type="pct"/>
            <w:tcBorders>
              <w:top w:val="single" w:sz="4" w:space="0" w:color="010000"/>
            </w:tcBorders>
            <w:vAlign w:val="center"/>
          </w:tcPr>
          <w:p>
            <w:pPr>
              <w:jc w:val="left"/>
            </w:pPr>
            <w:r/>
            <w:r>
              <w:rPr>
                <w:rFonts w:hint="eastAsia"/>
                <w:color w:val="000000"/>
                <w:sz w:val="21"/>
              </w:rPr>
              <w:t>四条产品线各自的收入占比与毛利率分别是多少？综合毛利率处于什么水平？各条线的毛利率近三年如何变动？</w:t>
            </w:r>
          </w:p>
        </w:tc>
        <w:tc>
          <w:tcPr>
            <w:tcW w:w="2455" w:type="pct"/>
            <w:tcBorders>
              <w:top w:val="single" w:sz="4" w:space="0" w:color="010000"/>
            </w:tcBorders>
            <w:vAlign w:val="center"/>
          </w:tcPr>
          <w:p>
            <w:pPr>
              <w:jc w:val="left"/>
            </w:pPr>
            <w:r/>
            <w:r>
              <w:rPr>
                <w:rFonts w:hint="eastAsia"/>
                <w:color w:val="000000"/>
                <w:sz w:val="21"/>
              </w:rPr>
              <w:t>单一产品的波动幅度大于公司整体。托伦斯的加热器毛利率由2023年14.39%升至2024年52.79%，匀气盘由27.44%升至31.86%，气体分布盘由20.05%升至25.88%。</w:t>
            </w:r>
          </w:p>
        </w:tc>
      </w:tr>
      <w:tr>
        <w:trPr>
          <w:cantSplit/>
          <w:jc w:val="center"/>
        </w:trPr>
        <w:tc>
          <w:tcPr>
            <w:tcW w:w="636" w:type="pct"/>
            <w:tcBorders>
              <w:top w:val="single" w:sz="4" w:space="0" w:color="010000"/>
            </w:tcBorders>
            <w:vAlign w:val="center"/>
          </w:tcPr>
          <w:p>
            <w:pPr>
              <w:jc w:val="center"/>
            </w:pPr>
            <w:r/>
            <w:r>
              <w:rPr>
                <w:rFonts w:hint="eastAsia"/>
                <w:color w:val="000000"/>
                <w:sz w:val="21"/>
              </w:rPr>
              <w:t>客户结构与商业模式</w:t>
            </w:r>
          </w:p>
        </w:tc>
        <w:tc>
          <w:tcPr>
            <w:tcW w:w="1909" w:type="pct"/>
            <w:tcBorders>
              <w:top w:val="single" w:sz="4" w:space="0" w:color="010000"/>
            </w:tcBorders>
            <w:vAlign w:val="center"/>
          </w:tcPr>
          <w:p>
            <w:pPr>
              <w:jc w:val="left"/>
            </w:pPr>
            <w:r/>
            <w:r>
              <w:rPr>
                <w:rFonts w:hint="eastAsia"/>
                <w:color w:val="000000"/>
                <w:sz w:val="21"/>
              </w:rPr>
              <w:t>主要客户为晶圆厂还是设备厂商，各自收入占比多少？前五名客户集中度是多少？已进入哪些客户的合格供应商名录？合格供应商认证与产品认证各用了多长时间？</w:t>
            </w:r>
          </w:p>
        </w:tc>
        <w:tc>
          <w:tcPr>
            <w:tcW w:w="2455" w:type="pct"/>
            <w:tcBorders>
              <w:top w:val="single" w:sz="4" w:space="0" w:color="010000"/>
            </w:tcBorders>
            <w:vAlign w:val="center"/>
          </w:tcPr>
          <w:p>
            <w:pPr>
              <w:jc w:val="left"/>
            </w:pPr>
            <w:r/>
            <w:r>
              <w:rPr>
                <w:rFonts w:hint="eastAsia"/>
                <w:color w:val="000000"/>
                <w:sz w:val="21"/>
              </w:rPr>
              <w:t>该环节两类客户结构的订单节奏与定价机制不同，仅凭公开信息尚不能判定公司属于哪一类。客户导入分合格供应商认证、产品认证、批量生产三个阶段；客户集中度是五家样本企业首轮问询均覆盖的事项。</w:t>
            </w:r>
          </w:p>
        </w:tc>
      </w:tr>
      <w:tr>
        <w:trPr>
          <w:cantSplit/>
          <w:jc w:val="center"/>
        </w:trPr>
        <w:tc>
          <w:tcPr>
            <w:tcW w:w="636" w:type="pct"/>
            <w:tcBorders>
              <w:top w:val="single" w:sz="4" w:space="0" w:color="010000"/>
            </w:tcBorders>
            <w:vAlign w:val="center"/>
          </w:tcPr>
          <w:p>
            <w:pPr>
              <w:jc w:val="center"/>
            </w:pPr>
            <w:r/>
            <w:r>
              <w:rPr>
                <w:rFonts w:hint="eastAsia"/>
                <w:color w:val="000000"/>
                <w:sz w:val="21"/>
              </w:rPr>
              <w:t>原材料与采购价格</w:t>
            </w:r>
          </w:p>
        </w:tc>
        <w:tc>
          <w:tcPr>
            <w:tcW w:w="1909" w:type="pct"/>
            <w:tcBorders>
              <w:top w:val="single" w:sz="4" w:space="0" w:color="010000"/>
            </w:tcBorders>
            <w:vAlign w:val="center"/>
          </w:tcPr>
          <w:p>
            <w:pPr>
              <w:jc w:val="left"/>
            </w:pPr>
            <w:r/>
            <w:r>
              <w:rPr>
                <w:rFonts w:hint="eastAsia"/>
                <w:color w:val="000000"/>
                <w:sz w:val="21"/>
              </w:rPr>
              <w:t>全氟醚橡胶、陶瓷粉体等关键原材料是自制还是外购？主要供应商的名称、规模与合作起始时间？同类材料向不同供应商的采购价格是否存在差异？</w:t>
            </w:r>
          </w:p>
        </w:tc>
        <w:tc>
          <w:tcPr>
            <w:tcW w:w="2455" w:type="pct"/>
            <w:tcBorders>
              <w:top w:val="single" w:sz="4" w:space="0" w:color="010000"/>
            </w:tcBorders>
            <w:vAlign w:val="center"/>
          </w:tcPr>
          <w:p>
            <w:pPr>
              <w:jc w:val="left"/>
            </w:pPr>
            <w:r/>
            <w:r>
              <w:rPr>
                <w:rFonts w:hint="eastAsia"/>
                <w:color w:val="000000"/>
                <w:sz w:val="21"/>
              </w:rPr>
              <w:t>臻宝科技第二轮问询被追问：原材料通过委托加工与成品采购取得、主要供应商为境外企业且多数规模较小、不存在市场价格或可比公司披露的同类采购价格可供比较；并被追问石英主要供应商成立当年即开展合作、同类材料采购价格明显低于其他供应商。</w:t>
            </w:r>
          </w:p>
        </w:tc>
      </w:tr>
      <w:tr>
        <w:trPr>
          <w:cantSplit/>
          <w:jc w:val="center"/>
        </w:trPr>
        <w:tc>
          <w:tcPr>
            <w:tcW w:w="636" w:type="pct"/>
            <w:tcBorders>
              <w:top w:val="single" w:sz="4" w:space="0" w:color="010000"/>
            </w:tcBorders>
            <w:vAlign w:val="center"/>
          </w:tcPr>
          <w:p>
            <w:pPr>
              <w:jc w:val="center"/>
            </w:pPr>
            <w:r/>
            <w:r>
              <w:rPr>
                <w:rFonts w:hint="eastAsia"/>
                <w:color w:val="000000"/>
                <w:sz w:val="21"/>
              </w:rPr>
              <w:t>密封件门板的供货形态</w:t>
            </w:r>
          </w:p>
        </w:tc>
        <w:tc>
          <w:tcPr>
            <w:tcW w:w="1909" w:type="pct"/>
            <w:tcBorders>
              <w:top w:val="single" w:sz="4" w:space="0" w:color="010000"/>
            </w:tcBorders>
            <w:vAlign w:val="center"/>
          </w:tcPr>
          <w:p>
            <w:pPr>
              <w:jc w:val="left"/>
            </w:pPr>
            <w:r/>
            <w:r>
              <w:rPr>
                <w:rFonts w:hint="eastAsia"/>
                <w:color w:val="000000"/>
                <w:sz w:val="21"/>
              </w:rPr>
              <w:t>密封件门板是整体供货（含金属门板本体）还是仅供门板上的密封件？若为整体供货，本体与密封件的收入占比各是多少？</w:t>
            </w:r>
          </w:p>
        </w:tc>
        <w:tc>
          <w:tcPr>
            <w:tcW w:w="2455" w:type="pct"/>
            <w:tcBorders>
              <w:top w:val="single" w:sz="4" w:space="0" w:color="010000"/>
            </w:tcBorders>
            <w:vAlign w:val="center"/>
          </w:tcPr>
          <w:p>
            <w:pPr>
              <w:jc w:val="left"/>
            </w:pPr>
            <w:r/>
            <w:r>
              <w:rPr>
                <w:rFonts w:hint="eastAsia"/>
                <w:color w:val="000000"/>
                <w:sz w:val="21"/>
              </w:rPr>
              <w:t>门板本体属金属结构件、随设备生命周期，其上的密封件属耗材、需定期更换，两者的收入形态不同。</w:t>
            </w:r>
          </w:p>
        </w:tc>
      </w:tr>
      <w:tr>
        <w:trPr>
          <w:cantSplit/>
          <w:jc w:val="center"/>
        </w:trPr>
        <w:tc>
          <w:tcPr>
            <w:tcW w:w="636" w:type="pct"/>
            <w:tcBorders>
              <w:top w:val="single" w:sz="4" w:space="0" w:color="010000"/>
            </w:tcBorders>
            <w:vAlign w:val="center"/>
          </w:tcPr>
          <w:p>
            <w:pPr>
              <w:jc w:val="center"/>
            </w:pPr>
            <w:r/>
            <w:r>
              <w:rPr>
                <w:rFonts w:hint="eastAsia"/>
                <w:color w:val="000000"/>
                <w:sz w:val="21"/>
              </w:rPr>
              <w:t>密封件牌号体系</w:t>
            </w:r>
          </w:p>
        </w:tc>
        <w:tc>
          <w:tcPr>
            <w:tcW w:w="1909" w:type="pct"/>
            <w:tcBorders>
              <w:top w:val="single" w:sz="4" w:space="0" w:color="010000"/>
            </w:tcBorders>
            <w:vAlign w:val="center"/>
          </w:tcPr>
          <w:p>
            <w:pPr>
              <w:jc w:val="left"/>
            </w:pPr>
            <w:r/>
            <w:r>
              <w:rPr>
                <w:rFonts w:hint="eastAsia"/>
                <w:color w:val="000000"/>
                <w:sz w:val="21"/>
              </w:rPr>
              <w:t>CeaLution各牌号对应的胶料材质与关键指标（耐温、耐等离子体、压缩永久变形）分别是什么？牌号体系是自行开发还是外部供应？</w:t>
            </w:r>
          </w:p>
        </w:tc>
        <w:tc>
          <w:tcPr>
            <w:tcW w:w="2455" w:type="pct"/>
            <w:tcBorders>
              <w:top w:val="single" w:sz="4" w:space="0" w:color="010000"/>
            </w:tcBorders>
            <w:vAlign w:val="center"/>
          </w:tcPr>
          <w:p>
            <w:pPr>
              <w:jc w:val="left"/>
            </w:pPr>
            <w:r/>
            <w:r>
              <w:rPr>
                <w:rFonts w:hint="eastAsia"/>
                <w:color w:val="000000"/>
                <w:sz w:val="21"/>
              </w:rPr>
              <w:t>官网以自有品牌列示六个牌号、产品外观颜色不同，未披露材质与指标。</w:t>
            </w:r>
          </w:p>
        </w:tc>
      </w:tr>
      <w:tr>
        <w:trPr>
          <w:cantSplit/>
          <w:jc w:val="center"/>
        </w:trPr>
        <w:tc>
          <w:tcPr>
            <w:tcW w:w="636" w:type="pct"/>
            <w:tcBorders>
              <w:top w:val="single" w:sz="4" w:space="0" w:color="010000"/>
            </w:tcBorders>
            <w:vAlign w:val="center"/>
          </w:tcPr>
          <w:p>
            <w:pPr>
              <w:jc w:val="center"/>
            </w:pPr>
            <w:r/>
            <w:r>
              <w:rPr>
                <w:rFonts w:hint="eastAsia"/>
                <w:color w:val="000000"/>
                <w:sz w:val="21"/>
              </w:rPr>
              <w:t>产能与扩产</w:t>
            </w:r>
          </w:p>
        </w:tc>
        <w:tc>
          <w:tcPr>
            <w:tcW w:w="1909" w:type="pct"/>
            <w:tcBorders>
              <w:top w:val="single" w:sz="4" w:space="0" w:color="010000"/>
            </w:tcBorders>
            <w:vAlign w:val="center"/>
          </w:tcPr>
          <w:p>
            <w:pPr>
              <w:jc w:val="left"/>
            </w:pPr>
            <w:r/>
            <w:r>
              <w:rPr>
                <w:rFonts w:hint="eastAsia"/>
                <w:color w:val="000000"/>
                <w:sz w:val="21"/>
              </w:rPr>
              <w:t>现有产能、产能利用率与在手订单情况？是否有扩产计划，新增产能对应的客户需求测算依据？</w:t>
            </w:r>
          </w:p>
        </w:tc>
        <w:tc>
          <w:tcPr>
            <w:tcW w:w="2455" w:type="pct"/>
            <w:tcBorders>
              <w:top w:val="single" w:sz="4" w:space="0" w:color="010000"/>
            </w:tcBorders>
            <w:vAlign w:val="center"/>
          </w:tcPr>
          <w:p>
            <w:pPr>
              <w:jc w:val="left"/>
            </w:pPr>
            <w:r/>
            <w:r>
              <w:rPr>
                <w:rFonts w:hint="eastAsia"/>
                <w:color w:val="000000"/>
                <w:sz w:val="21"/>
              </w:rPr>
              <w:t>托伦斯2025年营业收入同比增长18.00%、增速较前期下滑，原因为扩产导致产能利用率下降、毛利率同比下滑，并在审核中心意见落实函中被要求说明产能消化风险。</w:t>
            </w:r>
          </w:p>
        </w:tc>
      </w:tr>
      <w:tr>
        <w:trPr>
          <w:cantSplit/>
          <w:jc w:val="center"/>
        </w:trPr>
        <w:tc>
          <w:tcPr>
            <w:tcW w:w="636" w:type="pct"/>
            <w:tcBorders>
              <w:top w:val="single" w:sz="4" w:space="0" w:color="010000"/>
            </w:tcBorders>
            <w:vAlign w:val="center"/>
          </w:tcPr>
          <w:p>
            <w:pPr>
              <w:jc w:val="center"/>
            </w:pPr>
            <w:r/>
            <w:r>
              <w:rPr>
                <w:rFonts w:hint="eastAsia"/>
                <w:color w:val="000000"/>
                <w:sz w:val="21"/>
              </w:rPr>
              <w:t>研发投入与核心技术</w:t>
            </w:r>
          </w:p>
        </w:tc>
        <w:tc>
          <w:tcPr>
            <w:tcW w:w="1909" w:type="pct"/>
            <w:tcBorders>
              <w:top w:val="single" w:sz="4" w:space="0" w:color="010000"/>
            </w:tcBorders>
            <w:vAlign w:val="center"/>
          </w:tcPr>
          <w:p>
            <w:pPr>
              <w:jc w:val="left"/>
            </w:pPr>
            <w:r/>
            <w:r>
              <w:rPr>
                <w:rFonts w:hint="eastAsia"/>
                <w:color w:val="000000"/>
                <w:sz w:val="21"/>
              </w:rPr>
              <w:t>近三年研发费用与占营业收入比重？专利与非专利技术的构成，其中加热盘相关专利的数量、类型与授权状态？气体喷头的修复再生能力自建到什么程度，修复件与新件的收入占比与毛利率差异？产品关键指标与国外同类原件的对比数据？</w:t>
            </w:r>
          </w:p>
        </w:tc>
        <w:tc>
          <w:tcPr>
            <w:tcW w:w="2455" w:type="pct"/>
            <w:tcBorders>
              <w:top w:val="single" w:sz="4" w:space="0" w:color="010000"/>
            </w:tcBorders>
            <w:vAlign w:val="center"/>
          </w:tcPr>
          <w:p>
            <w:pPr>
              <w:jc w:val="left"/>
            </w:pPr>
            <w:r/>
            <w:r>
              <w:rPr>
                <w:rFonts w:hint="eastAsia"/>
                <w:color w:val="000000"/>
                <w:sz w:val="21"/>
              </w:rPr>
              <w:t>可比公司2025年研发费用率区间为4.44%至9.32%。技术先进性是五家样本企业均被问及的事项，托伦斯第二轮被要求说明高精度机械制造、焊接、表面处理三项核心工艺的技术水平，并以可比公司公开参数与客户方确认作为印证。</w:t>
            </w:r>
          </w:p>
        </w:tc>
      </w:tr>
      <w:tr>
        <w:trPr>
          <w:cantSplit/>
          <w:jc w:val="center"/>
        </w:trPr>
        <w:tc>
          <w:tcPr>
            <w:tcW w:w="636" w:type="pct"/>
            <w:tcBorders>
              <w:top w:val="single" w:sz="4" w:space="0" w:color="010000"/>
            </w:tcBorders>
            <w:vAlign w:val="center"/>
          </w:tcPr>
          <w:p>
            <w:pPr>
              <w:jc w:val="center"/>
            </w:pPr>
            <w:r/>
            <w:r>
              <w:rPr>
                <w:rFonts w:hint="eastAsia"/>
                <w:color w:val="000000"/>
                <w:sz w:val="21"/>
              </w:rPr>
              <w:t>产销与能耗台账</w:t>
            </w:r>
          </w:p>
        </w:tc>
        <w:tc>
          <w:tcPr>
            <w:tcW w:w="1909" w:type="pct"/>
            <w:tcBorders>
              <w:top w:val="single" w:sz="4" w:space="0" w:color="010000"/>
            </w:tcBorders>
            <w:vAlign w:val="center"/>
          </w:tcPr>
          <w:p>
            <w:pPr>
              <w:jc w:val="left"/>
            </w:pPr>
            <w:r/>
            <w:r>
              <w:rPr>
                <w:rFonts w:hint="eastAsia"/>
                <w:color w:val="000000"/>
                <w:sz w:val="21"/>
              </w:rPr>
              <w:t>现行的产销存台账按什么口径记录？月度水电用量与产量、在产设备数量能否对应？</w:t>
            </w:r>
          </w:p>
        </w:tc>
        <w:tc>
          <w:tcPr>
            <w:tcW w:w="2455" w:type="pct"/>
            <w:tcBorders>
              <w:top w:val="single" w:sz="4" w:space="0" w:color="010000"/>
            </w:tcBorders>
            <w:vAlign w:val="center"/>
          </w:tcPr>
          <w:p>
            <w:pPr>
              <w:jc w:val="left"/>
            </w:pPr>
            <w:r/>
            <w:r>
              <w:rPr>
                <w:rFonts w:hint="eastAsia"/>
                <w:color w:val="000000"/>
                <w:sz w:val="21"/>
              </w:rPr>
              <w:t>神工股份被要求同时提供按重量与按长度两套口径的产销数据，并按月列示水电用量与产量、在产设备数量的配比关系。</w:t>
            </w:r>
          </w:p>
        </w:tc>
      </w:tr>
      <w:tr>
        <w:trPr>
          <w:cantSplit/>
          <w:jc w:val="center"/>
        </w:trPr>
        <w:tc>
          <w:tcPr>
            <w:tcW w:w="636" w:type="pct"/>
            <w:tcBorders>
              <w:top w:val="single" w:sz="4" w:space="0" w:color="010000"/>
            </w:tcBorders>
            <w:vAlign w:val="center"/>
          </w:tcPr>
          <w:p>
            <w:pPr>
              <w:jc w:val="center"/>
            </w:pPr>
            <w:r/>
            <w:r>
              <w:rPr>
                <w:rFonts w:hint="eastAsia"/>
                <w:color w:val="000000"/>
                <w:sz w:val="21"/>
              </w:rPr>
              <w:t>融资与股权</w:t>
            </w:r>
          </w:p>
        </w:tc>
        <w:tc>
          <w:tcPr>
            <w:tcW w:w="1909" w:type="pct"/>
            <w:tcBorders>
              <w:top w:val="single" w:sz="4" w:space="0" w:color="010000"/>
            </w:tcBorders>
            <w:vAlign w:val="center"/>
          </w:tcPr>
          <w:p>
            <w:pPr>
              <w:jc w:val="left"/>
            </w:pPr>
            <w:r/>
            <w:r>
              <w:rPr>
                <w:rFonts w:hint="eastAsia"/>
                <w:color w:val="000000"/>
                <w:sz w:val="21"/>
              </w:rPr>
              <w:t>B轮融资的金额、投资方与时点？历次融资是否存在回购、对赌或其他特殊权利条款？现有股东结构与实际控制人的认定依据？</w:t>
            </w:r>
          </w:p>
        </w:tc>
        <w:tc>
          <w:tcPr>
            <w:tcW w:w="2455" w:type="pct"/>
            <w:tcBorders>
              <w:top w:val="single" w:sz="4" w:space="0" w:color="010000"/>
            </w:tcBorders>
            <w:vAlign w:val="center"/>
          </w:tcPr>
          <w:p>
            <w:pPr>
              <w:jc w:val="left"/>
            </w:pPr>
            <w:r/>
            <w:r>
              <w:rPr>
                <w:rFonts w:hint="eastAsia"/>
                <w:color w:val="000000"/>
                <w:sz w:val="21"/>
              </w:rPr>
              <w:t>工商查询平台将公司融资轮次标注为B轮，金额、投资方与条款未见公开披露。</w:t>
            </w:r>
          </w:p>
        </w:tc>
      </w:tr>
      <w:tr>
        <w:trPr>
          <w:cantSplit/>
          <w:jc w:val="center"/>
        </w:trPr>
        <w:tc>
          <w:tcPr>
            <w:tcW w:w="636" w:type="pct"/>
            <w:tcBorders>
              <w:top w:val="single" w:sz="4" w:space="0" w:color="010000"/>
            </w:tcBorders>
            <w:vAlign w:val="center"/>
          </w:tcPr>
          <w:p>
            <w:pPr>
              <w:jc w:val="center"/>
            </w:pPr>
            <w:r/>
            <w:r>
              <w:rPr>
                <w:rFonts w:hint="eastAsia"/>
                <w:color w:val="000000"/>
                <w:sz w:val="21"/>
              </w:rPr>
              <w:t>媒体口径数据的核实</w:t>
            </w:r>
          </w:p>
        </w:tc>
        <w:tc>
          <w:tcPr>
            <w:tcW w:w="1909" w:type="pct"/>
            <w:tcBorders>
              <w:top w:val="single" w:sz="4" w:space="0" w:color="010000"/>
            </w:tcBorders>
            <w:vAlign w:val="center"/>
          </w:tcPr>
          <w:p>
            <w:pPr>
              <w:jc w:val="left"/>
            </w:pPr>
            <w:r/>
            <w:r>
              <w:rPr>
                <w:rFonts w:hint="eastAsia"/>
                <w:color w:val="000000"/>
                <w:sz w:val="21"/>
              </w:rPr>
              <w:t>累计申请专利数量、2024年主营业务收入增速、密封组件年产能，实际数值分别是多少？</w:t>
            </w:r>
          </w:p>
        </w:tc>
        <w:tc>
          <w:tcPr>
            <w:tcW w:w="2455" w:type="pct"/>
            <w:tcBorders>
              <w:top w:val="single" w:sz="4" w:space="0" w:color="010000"/>
            </w:tcBorders>
            <w:vAlign w:val="center"/>
          </w:tcPr>
          <w:p>
            <w:pPr>
              <w:jc w:val="left"/>
            </w:pPr>
            <w:r/>
            <w:r>
              <w:rPr>
                <w:rFonts w:hint="eastAsia"/>
                <w:color w:val="000000"/>
                <w:sz w:val="21"/>
              </w:rPr>
              <w:t>行业媒体报道提及累计申请专利23项、2024年主营业务收入同比增长超60%、产能将提升至年产30万套密封组件。该报道为单一来源，未见其他独立来源印证，本报告正文未采用上述数值。</w:t>
            </w:r>
          </w:p>
        </w:tc>
      </w:tr>
      <w:tr>
        <w:trPr>
          <w:cantSplit/>
          <w:jc w:val="center"/>
        </w:trPr>
        <w:tc>
          <w:tcPr>
            <w:tcW w:w="636" w:type="pct"/>
            <w:tcBorders>
              <w:top w:val="single" w:sz="4" w:space="0" w:color="010000"/>
            </w:tcBorders>
            <w:vAlign w:val="center"/>
          </w:tcPr>
          <w:p>
            <w:pPr>
              <w:jc w:val="center"/>
            </w:pPr>
            <w:r/>
            <w:r>
              <w:rPr>
                <w:rFonts w:hint="eastAsia"/>
                <w:color w:val="000000"/>
                <w:sz w:val="21"/>
              </w:rPr>
              <w:t>经营数据</w:t>
            </w:r>
          </w:p>
        </w:tc>
        <w:tc>
          <w:tcPr>
            <w:tcW w:w="1909" w:type="pct"/>
            <w:tcBorders>
              <w:top w:val="single" w:sz="4" w:space="0" w:color="010000"/>
            </w:tcBorders>
            <w:vAlign w:val="center"/>
          </w:tcPr>
          <w:p>
            <w:pPr>
              <w:jc w:val="left"/>
            </w:pPr>
            <w:r/>
            <w:r>
              <w:rPr>
                <w:rFonts w:hint="eastAsia"/>
                <w:color w:val="000000"/>
                <w:sz w:val="21"/>
              </w:rPr>
              <w:t>近三年营业收入、净利润、经营性现金流与主要财务指标？</w:t>
            </w:r>
          </w:p>
        </w:tc>
        <w:tc>
          <w:tcPr>
            <w:tcW w:w="2455" w:type="pct"/>
            <w:tcBorders>
              <w:top w:val="single" w:sz="4" w:space="0" w:color="010000"/>
            </w:tcBorders>
            <w:vAlign w:val="center"/>
          </w:tcPr>
          <w:p>
            <w:pPr>
              <w:jc w:val="left"/>
            </w:pPr>
            <w:r/>
            <w:r>
              <w:rPr>
                <w:rFonts w:hint="eastAsia"/>
                <w:color w:val="000000"/>
                <w:sz w:val="21"/>
              </w:rPr>
              <w:t>公司为非上市企业，上述数据无公开披露。</w:t>
            </w:r>
          </w:p>
        </w:tc>
      </w:tr>
    </w:tbl>
    <w:p>
      <w:pPr>
        <w:pStyle w:val="a6"/>
        <w:jc w:val="center"/>
      </w:pPr>
      <w:r>
        <w:rPr>
          <w:rFonts w:hint="eastAsia"/>
          <w:sz w:val="11"/>
          <w:szCs w:val="11"/>
        </w:rPr>
        <w:t>资料来源：各公司招股说明书、审核问询函回复、公司官网，本报告整理</w:t>
      </w:r>
    </w:p>
    <w:p>
      <w:pPr>
        <w:pStyle w:val="2"/>
        <w:spacing w:before="156" w:after="156"/>
      </w:pPr>
      <w:bookmarkStart w:id="1032" w:name="_Toc900032"/>
      <w:r>
        <w:rPr>
          <w:rFonts w:hint="eastAsia"/>
          <w:b/>
        </w:rPr>
        <w:t>口径说明</w:t>
      </w:r>
      <w:bookmarkEnd w:id="1032"/>
    </w:p>
    <w:p>
      <w:pPr>
        <w:pStyle w:val="a0"/>
      </w:pPr>
      <w:r>
        <w:rPr>
          <w:rFonts w:hint="eastAsia"/>
        </w:rPr>
        <w:t>各表中与无锡金源产品的对应关系，以及国泰海通相关公司的产业链关系，均为本报告依据产品功能与材料属性归纳，非公司或第三方披露信息。</w:t>
      </w:r>
    </w:p>
    <w:p>
      <w:pPr>
        <w:pStyle w:val="a0"/>
      </w:pPr>
      <w:r>
        <w:rPr>
          <w:rFonts w:hint="eastAsia"/>
        </w:rPr>
        <w:t>几处口径需要注意。晶圆厂零部件采购额与向零部件厂商直接采购额是两个口径，不作合并；细分品类的市场规模基期与预测期不一致，不作横向比较；可比公司2025年毛利率与研发费用率中，珂玛科技、富创精密为2025年1—9月口径；分产品毛利率中先锋精科2024年为1—3月数据，与托伦斯的全年数据不完全可比。</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2026-08-07T18:08:00Z</dcterms:created>
  <dcterms:modified xsi:type="dcterms:W3CDTF">2026-08-07T03:23:00Z</dcterms:modified>
  <dc:title/>
  <dc:subject/>
  <dc:description/>
  <cp:category/>
  <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