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从收入构成看，2025年和2026年1-7月，公司机器人核心零部件及一体化关节模组销售收入占当期营业收入的比重分别为84.03%和97.27%，其中一体化关节模组的比重分别为47.80%和82.55%，前述行业归属与公司主营业务收入构成一致。</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前述谐波减速机方案的核心部件，也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如前所述，谐波减速机、无框力矩电机等环节已形成规模化的国产供应，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如前所述，随着国产厂商份额提升，该环节的比较对象已由境外品牌转为国产同行；在此基础上，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综合前述研究，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关节模组产品中，面向人形机器人的系列已形成R48、R58、R68、R83、R102、R120和R120 Max，按关节部位分别对应头颈、肩肘腕及腰部、髋部及腿部；在此之外另设面向工业场景的模组系列。据公司2025年产品手册，前述人形机器人用系列的峰值扭矩覆盖3.8牛米至576牛米。如前所述，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前述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