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1、未来宇航（同行业公司，OTV整机研制，A+轮）</w:t>
      </w:r>
    </w:p>
    <w:p>
      <w:pPr>
        <w:pStyle w:val="005"/>
      </w:pPr>
      <w:r>
        <w:rPr>
          <w:rFonts w:hint="eastAsia"/>
          <w:b w:val="0"/>
        </w:rPr>
        <w:t>未来宇航是国内空间飞行器整机研制企业，主营业务为轨道转移飞行器及在轨服务飞行器的研发、制造与运营，经营主体为北京未来宇航空间科技研究院有限公司。2026年4月，公司发布FX锋行系列空间飞行器，覆盖300公斤至4000公斤级多任务平台，可执行多星精确组网部署、空间目标观测、空间碎片清除等任务，锋行一号计划于2026年下半年首飞。公司在北京、雄安、海南、西安、上海、南京、绵阳、深圳、武汉设有十家子公司，其中雄安空间飞行器总装集成测试工厂计划2026年投产，同步启用太空4S店，规划年产60台飞行器。</w:t>
      </w:r>
    </w:p>
    <w:p>
      <w:pPr>
        <w:pStyle w:val="005"/>
      </w:pPr>
      <w:r>
        <w:rPr>
          <w:rFonts w:hint="eastAsia"/>
          <w:b w:val="0"/>
        </w:rPr>
        <w:t>未来宇航系无限宇航同行业公司，产品形态与技术路线最为接近，其融资节奏及融资估值具有一定参考意义，具体情况如下：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2026年A+轮</w:t>
            </w:r>
          </w:p>
        </w:tc>
        <w:tc>
          <w:tcPr>
            <w:tcW w:w="800" w:type="pct"/>
            <w:tcBorders>
              <w:bottom w:val="single" w:sz="12" w:space="0" w:color="010000"/>
            </w:tcBorders>
            <w:vAlign w:val="center"/>
          </w:tcPr>
          <w:p>
            <w:pPr>
              <w:keepNext/>
              <w:jc w:val="center"/>
            </w:pPr>
            <w:r>
              <w:rPr>
                <w:rFonts w:hint="eastAsia"/>
                <w:b w:val="0"/>
                <w:sz w:val="21"/>
              </w:rPr>
              <w:t>约9.2亿元</w:t>
            </w:r>
          </w:p>
        </w:tc>
        <w:tc>
          <w:tcPr>
            <w:tcW w:w="850" w:type="pct"/>
            <w:tcBorders>
              <w:bottom w:val="single" w:sz="12" w:space="0" w:color="010000"/>
            </w:tcBorders>
            <w:vAlign w:val="center"/>
          </w:tcPr>
          <w:p>
            <w:pPr>
              <w:keepNext/>
              <w:jc w:val="center"/>
            </w:pPr>
            <w:r>
              <w:rPr>
                <w:rFonts w:hint="eastAsia"/>
                <w:b w:val="0"/>
                <w:sz w:val="21"/>
              </w:rPr>
              <w:t>约8200万元</w:t>
            </w:r>
          </w:p>
        </w:tc>
        <w:tc>
          <w:tcPr>
            <w:tcW w:w="25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005"/>
      </w:pPr>
      <w:r>
        <w:rPr>
          <w:rFonts w:hint="eastAsia"/>
          <w:b w:val="0"/>
        </w:rPr>
        <w:t>公司于2026年4月产品发布会期间披露，A+轮融资估值约10亿元。以工商登记的本轮新进股东合计持股8.2142%测算，本次融资金额约8200万元，对应投前估值约9.2亿元。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2021年10月</w:t>
            </w:r>
          </w:p>
        </w:tc>
        <w:tc>
          <w:tcPr>
            <w:tcW w:w="1050" w:type="pct"/>
            <w:vAlign w:val="center"/>
          </w:tcPr>
          <w:p>
            <w:pPr>
              <w:keepNext/>
              <w:jc w:val="center"/>
            </w:pPr>
            <w:r>
              <w:rPr>
                <w:rFonts w:hint="eastAsia"/>
                <w:b w:val="0"/>
                <w:sz w:val="21"/>
              </w:rPr>
              <w:t>300→307.69</w:t>
            </w:r>
          </w:p>
        </w:tc>
        <w:tc>
          <w:tcPr>
            <w:tcW w:w="2200" w:type="pct"/>
            <w:vAlign w:val="center"/>
          </w:tcPr>
          <w:p>
            <w:pPr>
              <w:keepNext/>
              <w:jc w:val="left"/>
            </w:pPr>
            <w:r>
              <w:rPr>
                <w:rFonts w:hint="eastAsia"/>
                <w:b w:val="0"/>
                <w:sz w:val="21"/>
              </w:rPr>
              <w:t>海南未来探索、海南未来共赢、苏州纳芯</w:t>
            </w:r>
          </w:p>
        </w:tc>
        <w:tc>
          <w:tcPr>
            <w:tcW w:w="1000" w:type="pct"/>
            <w:vAlign w:val="center"/>
          </w:tcPr>
          <w:p>
            <w:pPr>
              <w:keepNext/>
              <w:jc w:val="center"/>
            </w:pPr>
            <w:r>
              <w:rPr>
                <w:rFonts w:hint="eastAsia"/>
                <w:b w:val="0"/>
                <w:sz w:val="21"/>
              </w:rPr>
              <w:t>增资与股权转让并行</w:t>
            </w:r>
          </w:p>
        </w:tc>
      </w:tr>
      <w:tr>
        <w:trPr>
          <w:cantSplit/>
        </w:trPr>
        <w:tc>
          <w:tcPr>
            <w:tcW w:w="750" w:type="pct"/>
            <w:vAlign w:val="center"/>
          </w:tcPr>
          <w:p>
            <w:pPr>
              <w:keepNext/>
              <w:jc w:val="center"/>
            </w:pPr>
            <w:r>
              <w:rPr>
                <w:rFonts w:hint="eastAsia"/>
                <w:b w:val="0"/>
                <w:sz w:val="21"/>
              </w:rPr>
              <w:t>2022年5月</w:t>
            </w:r>
          </w:p>
        </w:tc>
        <w:tc>
          <w:tcPr>
            <w:tcW w:w="1050" w:type="pct"/>
            <w:vAlign w:val="center"/>
          </w:tcPr>
          <w:p>
            <w:pPr>
              <w:keepNext/>
              <w:jc w:val="center"/>
            </w:pPr>
            <w:r>
              <w:rPr>
                <w:rFonts w:hint="eastAsia"/>
                <w:b w:val="0"/>
                <w:sz w:val="21"/>
              </w:rPr>
              <w:t>307.6924→315.3847</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315.3847→321.8211</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2024年7月</w:t>
            </w:r>
          </w:p>
        </w:tc>
        <w:tc>
          <w:tcPr>
            <w:tcW w:w="1050" w:type="pct"/>
            <w:vAlign w:val="center"/>
          </w:tcPr>
          <w:p>
            <w:pPr>
              <w:keepNext/>
              <w:jc w:val="center"/>
            </w:pPr>
            <w:r>
              <w:rPr>
                <w:rFonts w:hint="eastAsia"/>
                <w:b w:val="0"/>
                <w:sz w:val="21"/>
              </w:rPr>
              <w:t>321.8211→322.9195</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2026年6月</w:t>
            </w:r>
          </w:p>
        </w:tc>
        <w:tc>
          <w:tcPr>
            <w:tcW w:w="1050" w:type="pct"/>
            <w:vAlign w:val="center"/>
          </w:tcPr>
          <w:p>
            <w:pPr>
              <w:keepNext/>
              <w:jc w:val="center"/>
            </w:pPr>
            <w:r>
              <w:rPr>
                <w:rFonts w:hint="eastAsia"/>
                <w:b w:val="0"/>
                <w:sz w:val="21"/>
              </w:rPr>
              <w:t>322.9195→352.2401</w:t>
            </w:r>
          </w:p>
        </w:tc>
        <w:tc>
          <w:tcPr>
            <w:tcW w:w="2200" w:type="pct"/>
            <w:vAlign w:val="center"/>
          </w:tcPr>
          <w:p>
            <w:pPr>
              <w:keepNext/>
              <w:jc w:val="left"/>
            </w:pPr>
            <w:r>
              <w:rPr>
                <w:rFonts w:hint="eastAsia"/>
                <w:b w:val="0"/>
                <w:sz w:val="21"/>
              </w:rPr>
              <w:t>雄安科技创新天使基金一期、嘉兴源益股权投资、深圳逐星者投资</w:t>
            </w:r>
          </w:p>
        </w:tc>
        <w:tc>
          <w:tcPr>
            <w:tcW w:w="1000" w:type="pct"/>
            <w:vAlign w:val="center"/>
          </w:tcPr>
          <w:p>
            <w:pPr>
              <w:keepNext/>
              <w:jc w:val="center"/>
            </w:pPr>
            <w:r>
              <w:rPr>
                <w:rFonts w:hint="eastAsia"/>
                <w:b w:val="0"/>
                <w:sz w:val="21"/>
              </w:rPr>
              <w:t>8.2142%</w:t>
            </w:r>
          </w:p>
        </w:tc>
      </w:tr>
      <w:tr>
        <w:trPr>
          <w:cantSplit/>
        </w:trPr>
        <w:tc>
          <w:tcPr>
            <w:tcW w:w="750" w:type="pct"/>
            <w:tcBorders>
              <w:bottom w:val="single" w:sz="12" w:space="0" w:color="010000"/>
            </w:tcBorders>
            <w:vAlign w:val="center"/>
          </w:tcPr>
          <w:p>
            <w:pPr>
              <w:keepNext/>
              <w:jc w:val="center"/>
            </w:pPr>
            <w:r>
              <w:rPr>
                <w:rFonts w:hint="eastAsia"/>
                <w:b w:val="0"/>
                <w:sz w:val="21"/>
              </w:rPr>
              <w:t>2026年8月</w:t>
            </w:r>
          </w:p>
        </w:tc>
        <w:tc>
          <w:tcPr>
            <w:tcW w:w="1050" w:type="pct"/>
            <w:tcBorders>
              <w:bottom w:val="single" w:sz="12" w:space="0" w:color="010000"/>
            </w:tcBorders>
            <w:vAlign w:val="center"/>
          </w:tcPr>
          <w:p>
            <w:pPr>
              <w:keepNext/>
              <w:jc w:val="center"/>
            </w:pPr>
            <w:r>
              <w:rPr>
                <w:rFonts w:hint="eastAsia"/>
                <w:b w:val="0"/>
                <w:sz w:val="21"/>
              </w:rPr>
              <w:t>352.2401→361.6699</w:t>
            </w:r>
          </w:p>
        </w:tc>
        <w:tc>
          <w:tcPr>
            <w:tcW w:w="2200" w:type="pct"/>
            <w:tcBorders>
              <w:bottom w:val="single" w:sz="12" w:space="0" w:color="010000"/>
            </w:tcBorders>
            <w:vAlign w:val="center"/>
          </w:tcPr>
          <w:p>
            <w:pPr>
              <w:keepNext/>
              <w:jc w:val="left"/>
            </w:pPr>
            <w:r>
              <w:rPr>
                <w:rFonts w:hint="eastAsia"/>
                <w:b w:val="0"/>
                <w:sz w:val="21"/>
              </w:rPr>
              <w:t>原股东海南未来共赢增资</w:t>
            </w:r>
          </w:p>
        </w:tc>
        <w:tc>
          <w:tcPr>
            <w:tcW w:w="1000" w:type="pct"/>
            <w:tcBorders>
              <w:bottom w:val="single" w:sz="12" w:space="0" w:color="010000"/>
            </w:tcBorders>
            <w:vAlign w:val="center"/>
          </w:tcPr>
          <w:p>
            <w:pPr>
              <w:keepNext/>
              <w:jc w:val="center"/>
            </w:pPr>
            <w:r>
              <w:rPr>
                <w:rFonts w:hint="eastAsia"/>
                <w:b w:val="0"/>
                <w:sz w:val="21"/>
              </w:rPr>
              <w:t>—</w:t>
            </w:r>
          </w:p>
        </w:tc>
      </w:tr>
    </w:tbl>
    <w:p>
      <w:pPr>
        <w:pStyle w:val="004"/>
      </w:pPr>
      <w:r>
        <w:rPr>
          <w:rFonts w:hint="eastAsia"/>
          <w:b/>
        </w:rPr>
        <w:t>2、国宇星辰（同行业公司，空间在轨服务，Pre-A+轮）</w:t>
      </w:r>
    </w:p>
    <w:p>
      <w:pPr>
        <w:pStyle w:val="005"/>
      </w:pPr>
      <w:r>
        <w:rPr>
          <w:rFonts w:hint="eastAsia"/>
          <w:b w:val="0"/>
        </w:rPr>
        <w:t>国宇星辰是国内专注空间在轨服务的商业航天企业，核心业务围绕卫星全生命周期展开，覆盖在轨验证、在轨延寿、在轨清理三大板块，经营主体为国宇星辰（上海）航天科技有限公司。产品方面，公司构建了覆盖微纳、中型、大型轨道飞行器的产品矩阵，自主研发空间组合动力系统，以解决单一动力系统在比冲、功耗、可靠性方面的平衡问题。自研星迹源一号于2025年5月完成入轨验证。</w:t>
      </w:r>
    </w:p>
    <w:p>
      <w:pPr>
        <w:pStyle w:val="005"/>
      </w:pPr>
      <w:r>
        <w:rPr>
          <w:rFonts w:hint="eastAsia"/>
          <w:b w:val="0"/>
        </w:rPr>
        <w:t>国宇星辰系无限宇航同行业公司，其融资节奏及融资估值具有一定参考意义，具体情况如下：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2022年10月天使轮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青岛元禾原点数智转化创业投资</w:t>
            </w:r>
          </w:p>
        </w:tc>
      </w:tr>
      <w:tr>
        <w:trPr>
          <w:cantSplit/>
        </w:trPr>
        <w:tc>
          <w:tcPr>
            <w:tcW w:w="850" w:type="pct"/>
            <w:vAlign w:val="center"/>
          </w:tcPr>
          <w:p>
            <w:pPr>
              <w:keepNext/>
              <w:jc w:val="center"/>
            </w:pPr>
            <w:r>
              <w:rPr>
                <w:rFonts w:hint="eastAsia"/>
                <w:b w:val="0"/>
                <w:sz w:val="21"/>
              </w:rPr>
              <w:t>2025年2月Pre-A轮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衢州厚雪丰木、上海厚雪为新、上海厚雪私募</w:t>
            </w:r>
          </w:p>
        </w:tc>
      </w:tr>
      <w:tr>
        <w:trPr>
          <w:cantSplit/>
        </w:trPr>
        <w:tc>
          <w:tcPr>
            <w:tcW w:w="850" w:type="pct"/>
            <w:tcBorders>
              <w:bottom w:val="single" w:sz="12" w:space="0" w:color="010000"/>
            </w:tcBorders>
            <w:vAlign w:val="center"/>
          </w:tcPr>
          <w:p>
            <w:pPr>
              <w:keepNext/>
              <w:jc w:val="center"/>
            </w:pPr>
            <w:r>
              <w:rPr>
                <w:rFonts w:hint="eastAsia"/>
                <w:b w:val="0"/>
                <w:sz w:val="21"/>
              </w:rPr>
              <w:t>2025年8月Pre-A+轮</w:t>
            </w:r>
          </w:p>
        </w:tc>
        <w:tc>
          <w:tcPr>
            <w:tcW w:w="800" w:type="pct"/>
            <w:tcBorders>
              <w:bottom w:val="single" w:sz="12" w:space="0" w:color="010000"/>
            </w:tcBorders>
            <w:vAlign w:val="center"/>
          </w:tcPr>
          <w:p>
            <w:pPr>
              <w:keepNext/>
              <w:jc w:val="center"/>
            </w:pPr>
            <w:r>
              <w:rPr>
                <w:rFonts w:hint="eastAsia"/>
                <w:b w:val="0"/>
                <w:sz w:val="21"/>
              </w:rPr>
              <w:t>约3.3亿至5.6亿元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马鞍山尚颀智能创业投资基金</w:t>
            </w:r>
          </w:p>
        </w:tc>
      </w:tr>
    </w:tbl>
    <w:p>
      <w:pPr>
        <w:pStyle w:val="005"/>
      </w:pPr>
      <w:r>
        <w:rPr>
          <w:rFonts w:hint="eastAsia"/>
          <w:b w:val="0"/>
        </w:rPr>
        <w:t>公司累计融资三轮，当前轮次为Pre-A+轮。以该轮新进股东合计持股8.2569%测算，若本次融资金额为3000万元，对应投前估值约3.3亿元；若为5000万元，对应投前估值约5.6亿元。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2022年10月</w:t>
            </w:r>
          </w:p>
        </w:tc>
        <w:tc>
          <w:tcPr>
            <w:tcW w:w="1050" w:type="pct"/>
            <w:vAlign w:val="center"/>
          </w:tcPr>
          <w:p>
            <w:pPr>
              <w:keepNext/>
              <w:jc w:val="center"/>
            </w:pPr>
            <w:r>
              <w:rPr>
                <w:rFonts w:hint="eastAsia"/>
                <w:b w:val="0"/>
                <w:sz w:val="21"/>
              </w:rPr>
              <w:t>300→342.8571</w:t>
            </w:r>
          </w:p>
        </w:tc>
        <w:tc>
          <w:tcPr>
            <w:tcW w:w="2200" w:type="pct"/>
            <w:vAlign w:val="center"/>
          </w:tcPr>
          <w:p>
            <w:pPr>
              <w:keepNext/>
              <w:jc w:val="left"/>
            </w:pPr>
            <w:r>
              <w:rPr>
                <w:rFonts w:hint="eastAsia"/>
                <w:b w:val="0"/>
                <w:sz w:val="21"/>
              </w:rPr>
              <w:t>青岛元禾原点</w:t>
            </w:r>
          </w:p>
        </w:tc>
        <w:tc>
          <w:tcPr>
            <w:tcW w:w="1000" w:type="pct"/>
            <w:vAlign w:val="center"/>
          </w:tcPr>
          <w:p>
            <w:pPr>
              <w:keepNext/>
              <w:jc w:val="center"/>
            </w:pPr>
            <w:r>
              <w:rPr>
                <w:rFonts w:hint="eastAsia"/>
                <w:b w:val="0"/>
                <w:sz w:val="21"/>
              </w:rPr>
              <w:t>12.5000%</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342.8571→414.2857</w:t>
            </w:r>
          </w:p>
        </w:tc>
        <w:tc>
          <w:tcPr>
            <w:tcW w:w="2200" w:type="pct"/>
            <w:vAlign w:val="center"/>
          </w:tcPr>
          <w:p>
            <w:pPr>
              <w:keepNext/>
              <w:jc w:val="left"/>
            </w:pPr>
            <w:r>
              <w:rPr>
                <w:rFonts w:hint="eastAsia"/>
                <w:b w:val="0"/>
                <w:sz w:val="21"/>
              </w:rPr>
              <w:t>衢州厚雪丰木、上海厚雪为新、上海厚雪私募、侯昊翔</w:t>
            </w:r>
          </w:p>
        </w:tc>
        <w:tc>
          <w:tcPr>
            <w:tcW w:w="1000" w:type="pct"/>
            <w:vAlign w:val="center"/>
          </w:tcPr>
          <w:p>
            <w:pPr>
              <w:keepNext/>
              <w:jc w:val="center"/>
            </w:pPr>
            <w:r>
              <w:rPr>
                <w:rFonts w:hint="eastAsia"/>
                <w:b w:val="0"/>
                <w:sz w:val="21"/>
              </w:rPr>
              <w:t>17.2414%</w:t>
            </w:r>
          </w:p>
        </w:tc>
      </w:tr>
      <w:tr>
        <w:trPr>
          <w:cantSplit/>
        </w:trPr>
        <w:tc>
          <w:tcPr>
            <w:tcW w:w="750" w:type="pct"/>
            <w:tcBorders>
              <w:bottom w:val="single" w:sz="12" w:space="0" w:color="010000"/>
            </w:tcBorders>
            <w:vAlign w:val="center"/>
          </w:tcPr>
          <w:p>
            <w:pPr>
              <w:keepNext/>
              <w:jc w:val="center"/>
            </w:pPr>
            <w:r>
              <w:rPr>
                <w:rFonts w:hint="eastAsia"/>
                <w:b w:val="0"/>
                <w:sz w:val="21"/>
              </w:rPr>
              <w:t>2025年8月</w:t>
            </w:r>
          </w:p>
        </w:tc>
        <w:tc>
          <w:tcPr>
            <w:tcW w:w="1050" w:type="pct"/>
            <w:tcBorders>
              <w:bottom w:val="single" w:sz="12" w:space="0" w:color="010000"/>
            </w:tcBorders>
            <w:vAlign w:val="center"/>
          </w:tcPr>
          <w:p>
            <w:pPr>
              <w:keepNext/>
              <w:jc w:val="center"/>
            </w:pPr>
            <w:r>
              <w:rPr>
                <w:rFonts w:hint="eastAsia"/>
                <w:b w:val="0"/>
                <w:sz w:val="21"/>
              </w:rPr>
              <w:t>414.2857→451.5714</w:t>
            </w:r>
          </w:p>
        </w:tc>
        <w:tc>
          <w:tcPr>
            <w:tcW w:w="2200" w:type="pct"/>
            <w:tcBorders>
              <w:bottom w:val="single" w:sz="12" w:space="0" w:color="010000"/>
            </w:tcBorders>
            <w:vAlign w:val="center"/>
          </w:tcPr>
          <w:p>
            <w:pPr>
              <w:keepNext/>
              <w:jc w:val="left"/>
            </w:pPr>
            <w:r>
              <w:rPr>
                <w:rFonts w:hint="eastAsia"/>
                <w:b w:val="0"/>
                <w:sz w:val="21"/>
              </w:rPr>
              <w:t>马鞍山尚颀智能创业投资基金</w:t>
            </w:r>
          </w:p>
        </w:tc>
        <w:tc>
          <w:tcPr>
            <w:tcW w:w="1000" w:type="pct"/>
            <w:tcBorders>
              <w:bottom w:val="single" w:sz="12" w:space="0" w:color="010000"/>
            </w:tcBorders>
            <w:vAlign w:val="center"/>
          </w:tcPr>
          <w:p>
            <w:pPr>
              <w:keepNext/>
              <w:jc w:val="center"/>
            </w:pPr>
            <w:r>
              <w:rPr>
                <w:rFonts w:hint="eastAsia"/>
                <w:b w:val="0"/>
                <w:sz w:val="21"/>
              </w:rPr>
              <w:t>8.2569%</w:t>
            </w:r>
          </w:p>
        </w:tc>
      </w:tr>
    </w:tbl>
    <w:p>
      <w:pPr>
        <w:pStyle w:val="005"/>
      </w:pPr>
      <w:r>
        <w:rPr>
          <w:rFonts w:hint="eastAsia"/>
          <w:b w:val="0"/>
        </w:rPr>
        <w:t>三轮增资的新进股东认缴出资额与当期注册资本增加额一致，持股比例可直接用于估值测算。</w:t>
      </w:r>
    </w:p>
    <w:p>
      <w:pPr>
        <w:pStyle w:val="004"/>
      </w:pPr>
      <w:r>
        <w:rPr>
          <w:rFonts w:hint="eastAsia"/>
          <w:b/>
        </w:rPr>
        <w:t>3、三垣航天（同行业公司，在轨操作与碎片清理，Pre-A+轮）</w:t>
      </w:r>
    </w:p>
    <w:p>
      <w:pPr>
        <w:pStyle w:val="005"/>
      </w:pPr>
      <w:r>
        <w:rPr>
          <w:rFonts w:hint="eastAsia"/>
          <w:b w:val="0"/>
        </w:rPr>
        <w:t>三垣航天是航天航空服务提供商，以空间操作技术研发、空间操作相关装备研制、空间在轨服务业务运营为核心业务，应用场景覆盖空间碎片清理、航天器在轨延寿与加注、在轨维修，经营主体为苏州三垣航天科技有限公司。公司首发技术验证星星西垣0号于2026年3月入轨，为国内首颗由商业公司研制的柔性机械臂在轨操作卫星，在轨完成程控模拟加注、遥操作模拟加注、视觉伺服模拟加注等操作验证。公司控股股东为北京航天驭星科技股份有限公司，持股51.4539%。</w:t>
      </w:r>
    </w:p>
    <w:p>
      <w:pPr>
        <w:pStyle w:val="005"/>
      </w:pPr>
      <w:r>
        <w:rPr>
          <w:rFonts w:hint="eastAsia"/>
          <w:b w:val="0"/>
        </w:rPr>
        <w:t>三垣航天系无限宇航同行业公司，其融资节奏及融资估值具有一定参考意义，具体情况如下：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2022年11月天使轮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北京元航硬科技创业投资基金、杭州银杏源</w:t>
            </w:r>
          </w:p>
        </w:tc>
      </w:tr>
      <w:tr>
        <w:trPr>
          <w:cantSplit/>
        </w:trPr>
        <w:tc>
          <w:tcPr>
            <w:tcW w:w="850" w:type="pct"/>
            <w:vAlign w:val="center"/>
          </w:tcPr>
          <w:p>
            <w:pPr>
              <w:keepNext/>
              <w:jc w:val="center"/>
            </w:pPr>
            <w:r>
              <w:rPr>
                <w:rFonts w:hint="eastAsia"/>
                <w:b w:val="0"/>
                <w:sz w:val="21"/>
              </w:rPr>
              <w:t>2024年3月Pre-A轮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太仓鑫六号（领投）、太仓智汇科创基金</w:t>
            </w:r>
          </w:p>
        </w:tc>
      </w:tr>
      <w:tr>
        <w:trPr>
          <w:cantSplit/>
        </w:trPr>
        <w:tc>
          <w:tcPr>
            <w:tcW w:w="850" w:type="pct"/>
            <w:tcBorders>
              <w:bottom w:val="single" w:sz="12" w:space="0" w:color="010000"/>
            </w:tcBorders>
            <w:vAlign w:val="center"/>
          </w:tcPr>
          <w:p>
            <w:pPr>
              <w:keepNext/>
              <w:jc w:val="center"/>
            </w:pPr>
            <w:r>
              <w:rPr>
                <w:rFonts w:hint="eastAsia"/>
                <w:b w:val="0"/>
                <w:sz w:val="21"/>
              </w:rPr>
              <w:t>2024年9月Pre-A+轮</w:t>
            </w:r>
          </w:p>
        </w:tc>
        <w:tc>
          <w:tcPr>
            <w:tcW w:w="800" w:type="pct"/>
            <w:tcBorders>
              <w:bottom w:val="single" w:sz="12" w:space="0" w:color="010000"/>
            </w:tcBorders>
            <w:vAlign w:val="center"/>
          </w:tcPr>
          <w:p>
            <w:pPr>
              <w:keepNext/>
              <w:jc w:val="center"/>
            </w:pPr>
            <w:r>
              <w:rPr>
                <w:rFonts w:hint="eastAsia"/>
                <w:b w:val="0"/>
                <w:sz w:val="21"/>
              </w:rPr>
              <w:t>约8.7亿至14.5亿元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005"/>
      </w:pPr>
      <w:r>
        <w:rPr>
          <w:rFonts w:hint="eastAsia"/>
          <w:b w:val="0"/>
        </w:rPr>
        <w:t>公司累计融资三轮，当前轮次为Pre-A+轮。以该轮新进股东合计持股3.3333%测算，若本次融资金额为3000万元，对应投前估值约8.7亿元；若为5000万元，对应投前估值约14.5亿元。该轮持股比例较低，测算结果对融资金额高度敏感。</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2023年2月</w:t>
            </w:r>
          </w:p>
        </w:tc>
        <w:tc>
          <w:tcPr>
            <w:tcW w:w="1050" w:type="pct"/>
            <w:vAlign w:val="center"/>
          </w:tcPr>
          <w:p>
            <w:pPr>
              <w:keepNext/>
              <w:jc w:val="center"/>
            </w:pPr>
            <w:r>
              <w:rPr>
                <w:rFonts w:hint="eastAsia"/>
                <w:b w:val="0"/>
                <w:sz w:val="21"/>
              </w:rPr>
              <w:t>1600→1671.9577</w:t>
            </w:r>
          </w:p>
        </w:tc>
        <w:tc>
          <w:tcPr>
            <w:tcW w:w="2200" w:type="pct"/>
            <w:vAlign w:val="center"/>
          </w:tcPr>
          <w:p>
            <w:pPr>
              <w:keepNext/>
              <w:jc w:val="left"/>
            </w:pPr>
            <w:r>
              <w:rPr>
                <w:rFonts w:hint="eastAsia"/>
                <w:b w:val="0"/>
                <w:sz w:val="21"/>
              </w:rPr>
              <w:t>北京元航硬科技、李灵玲、杭州银杏源</w:t>
            </w:r>
          </w:p>
        </w:tc>
        <w:tc>
          <w:tcPr>
            <w:tcW w:w="1000" w:type="pct"/>
            <w:vAlign w:val="center"/>
          </w:tcPr>
          <w:p>
            <w:pPr>
              <w:keepNext/>
              <w:jc w:val="center"/>
            </w:pPr>
            <w:r>
              <w:rPr>
                <w:rFonts w:hint="eastAsia"/>
                <w:b w:val="0"/>
                <w:sz w:val="21"/>
              </w:rPr>
              <w:t>11.3924%</w:t>
            </w:r>
          </w:p>
        </w:tc>
      </w:tr>
      <w:tr>
        <w:trPr>
          <w:cantSplit/>
        </w:trPr>
        <w:tc>
          <w:tcPr>
            <w:tcW w:w="750" w:type="pct"/>
            <w:vAlign w:val="center"/>
          </w:tcPr>
          <w:p>
            <w:pPr>
              <w:keepNext/>
              <w:jc w:val="center"/>
            </w:pPr>
            <w:r>
              <w:rPr>
                <w:rFonts w:hint="eastAsia"/>
                <w:b w:val="0"/>
                <w:sz w:val="21"/>
              </w:rPr>
              <w:t>2024年6月</w:t>
            </w:r>
          </w:p>
        </w:tc>
        <w:tc>
          <w:tcPr>
            <w:tcW w:w="1050" w:type="pct"/>
            <w:vAlign w:val="center"/>
          </w:tcPr>
          <w:p>
            <w:pPr>
              <w:keepNext/>
              <w:jc w:val="center"/>
            </w:pPr>
            <w:r>
              <w:rPr>
                <w:rFonts w:hint="eastAsia"/>
                <w:b w:val="0"/>
                <w:sz w:val="21"/>
              </w:rPr>
              <w:t>1671.9577→1809.1225</w:t>
            </w:r>
          </w:p>
        </w:tc>
        <w:tc>
          <w:tcPr>
            <w:tcW w:w="2200" w:type="pct"/>
            <w:vAlign w:val="center"/>
          </w:tcPr>
          <w:p>
            <w:pPr>
              <w:keepNext/>
              <w:jc w:val="left"/>
            </w:pPr>
            <w:r>
              <w:rPr>
                <w:rFonts w:hint="eastAsia"/>
                <w:b w:val="0"/>
                <w:sz w:val="21"/>
              </w:rPr>
              <w:t>太仓鑫六号、太仓智汇科创基金</w:t>
            </w:r>
          </w:p>
        </w:tc>
        <w:tc>
          <w:tcPr>
            <w:tcW w:w="1000" w:type="pct"/>
            <w:vAlign w:val="center"/>
          </w:tcPr>
          <w:p>
            <w:pPr>
              <w:keepNext/>
              <w:jc w:val="center"/>
            </w:pPr>
            <w:r>
              <w:rPr>
                <w:rFonts w:hint="eastAsia"/>
                <w:b w:val="0"/>
                <w:sz w:val="21"/>
              </w:rPr>
              <w:t>8.5060%</w:t>
            </w:r>
          </w:p>
        </w:tc>
      </w:tr>
      <w:tr>
        <w:trPr>
          <w:cantSplit/>
        </w:trPr>
        <w:tc>
          <w:tcPr>
            <w:tcW w:w="750" w:type="pct"/>
            <w:tcBorders>
              <w:bottom w:val="single" w:sz="12" w:space="0" w:color="010000"/>
            </w:tcBorders>
            <w:vAlign w:val="center"/>
          </w:tcPr>
          <w:p>
            <w:pPr>
              <w:keepNext/>
              <w:jc w:val="center"/>
            </w:pPr>
            <w:r>
              <w:rPr>
                <w:rFonts w:hint="eastAsia"/>
                <w:b w:val="0"/>
                <w:sz w:val="21"/>
              </w:rPr>
              <w:t>2024年10月</w:t>
            </w:r>
          </w:p>
        </w:tc>
        <w:tc>
          <w:tcPr>
            <w:tcW w:w="1050" w:type="pct"/>
            <w:tcBorders>
              <w:bottom w:val="single" w:sz="12" w:space="0" w:color="010000"/>
            </w:tcBorders>
            <w:vAlign w:val="center"/>
          </w:tcPr>
          <w:p>
            <w:pPr>
              <w:keepNext/>
              <w:jc w:val="center"/>
            </w:pPr>
            <w:r>
              <w:rPr>
                <w:rFonts w:hint="eastAsia"/>
                <w:b w:val="0"/>
                <w:sz w:val="21"/>
              </w:rPr>
              <w:t>1809.1225→1871.506</w:t>
            </w:r>
          </w:p>
        </w:tc>
        <w:tc>
          <w:tcPr>
            <w:tcW w:w="2200" w:type="pct"/>
            <w:tcBorders>
              <w:bottom w:val="single" w:sz="12" w:space="0" w:color="010000"/>
            </w:tcBorders>
            <w:vAlign w:val="center"/>
          </w:tcPr>
          <w:p>
            <w:pPr>
              <w:keepNext/>
              <w:jc w:val="left"/>
            </w:pPr>
            <w:r>
              <w:rPr>
                <w:rFonts w:hint="eastAsia"/>
                <w:b w:val="0"/>
                <w:sz w:val="21"/>
              </w:rPr>
              <w:t>深圳市高新投旗下两只基金</w:t>
            </w:r>
          </w:p>
        </w:tc>
        <w:tc>
          <w:tcPr>
            <w:tcW w:w="1000" w:type="pct"/>
            <w:tcBorders>
              <w:bottom w:val="single" w:sz="12" w:space="0" w:color="010000"/>
            </w:tcBorders>
            <w:vAlign w:val="center"/>
          </w:tcPr>
          <w:p>
            <w:pPr>
              <w:keepNext/>
              <w:jc w:val="center"/>
            </w:pPr>
            <w:r>
              <w:rPr>
                <w:rFonts w:hint="eastAsia"/>
                <w:b w:val="0"/>
                <w:sz w:val="21"/>
              </w:rPr>
              <w:t>3.3333%</w:t>
            </w:r>
          </w:p>
        </w:tc>
      </w:tr>
    </w:tbl>
    <w:p>
      <w:pPr>
        <w:pStyle w:val="005"/>
      </w:pPr>
      <w:r>
        <w:rPr>
          <w:rFonts w:hint="eastAsia"/>
          <w:b w:val="0"/>
        </w:rPr>
        <w:t>天使轮与Pre-A轮的新进股东认缴出资额高于当期注册资本增加额，两轮为增资与老股受让并行，表中持股比例取自工商登记的持股变动记录。Pre-A+轮新进股东认缴出资额与当期注册资本增加额一致。</w:t>
      </w:r>
    </w:p>
    <w:p>
      <w:pPr>
        <w:pStyle w:val="004"/>
      </w:pPr>
      <w:r>
        <w:rPr>
          <w:rFonts w:hint="eastAsia"/>
          <w:b/>
        </w:rPr>
        <w:t>4、遨天科技（同行业公司，空间动力与在轨服务，B+轮）</w:t>
      </w:r>
    </w:p>
    <w:p>
      <w:pPr>
        <w:pStyle w:val="005"/>
      </w:pPr>
      <w:r>
        <w:rPr>
          <w:rFonts w:hint="eastAsia"/>
          <w:b w:val="0"/>
        </w:rPr>
        <w:t>遨天科技是体系级空间在轨服务宇航公司，核心产品和服务涵盖卫星动力系统的研发、生产和销售，以及空间碎片监测和空间轨道服务，经营主体为遨天科技（北京）有限公司。公司于2025年11月中标中国星网网络系统研究院有限公司、中国星网易联供应链有限公司的低轨星座卫星电推进仿真系统项目，2024年10月中标无锡市梁天溪引航天工业有限公司LX630星座系统项目。公司注册资本4251.0383万元并已全额实缴，2025年报参保人数128人，人员规模在国内同业中居首。</w:t>
      </w:r>
    </w:p>
    <w:p>
      <w:pPr>
        <w:pStyle w:val="005"/>
      </w:pPr>
      <w:r>
        <w:rPr>
          <w:rFonts w:hint="eastAsia"/>
          <w:b w:val="0"/>
        </w:rPr>
        <w:t>遨天科技系无限宇航上游同行业公司，累计完成十一轮融资，当前轮次为B+轮，为国内同业中轮次最靠后的一家，其融资节奏具有一定参考意义，具体情况如下：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2019年9月至2020年12月A轮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中关村发展启航基金、经纬创投、巢生资本</w:t>
            </w:r>
          </w:p>
        </w:tc>
      </w:tr>
      <w:tr>
        <w:trPr>
          <w:cantSplit/>
        </w:trPr>
        <w:tc>
          <w:tcPr>
            <w:tcW w:w="850" w:type="pct"/>
            <w:vAlign w:val="center"/>
          </w:tcPr>
          <w:p>
            <w:pPr>
              <w:keepNext/>
              <w:jc w:val="center"/>
            </w:pPr>
            <w:r>
              <w:rPr>
                <w:rFonts w:hint="eastAsia"/>
                <w:b w:val="0"/>
                <w:sz w:val="21"/>
              </w:rPr>
              <w:t>2021年12月A+轮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中关村资本、元禾原点</w:t>
            </w:r>
          </w:p>
        </w:tc>
      </w:tr>
      <w:tr>
        <w:trPr>
          <w:cantSplit/>
        </w:trPr>
        <w:tc>
          <w:tcPr>
            <w:tcW w:w="850" w:type="pct"/>
            <w:vAlign w:val="center"/>
          </w:tcPr>
          <w:p>
            <w:pPr>
              <w:keepNext/>
              <w:jc w:val="center"/>
            </w:pPr>
            <w:r>
              <w:rPr>
                <w:rFonts w:hint="eastAsia"/>
                <w:b w:val="0"/>
                <w:sz w:val="21"/>
              </w:rPr>
              <w:t>2023年6月至2024年2月B轮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明恒产投、深圳向日葵投资、新经济创投、成都高投、国开科创</w:t>
            </w:r>
          </w:p>
        </w:tc>
      </w:tr>
      <w:tr>
        <w:trPr>
          <w:cantSplit/>
        </w:trPr>
        <w:tc>
          <w:tcPr>
            <w:tcW w:w="850" w:type="pct"/>
            <w:tcBorders>
              <w:bottom w:val="single" w:sz="12" w:space="0" w:color="010000"/>
            </w:tcBorders>
            <w:vAlign w:val="center"/>
          </w:tcPr>
          <w:p>
            <w:pPr>
              <w:keepNext/>
              <w:jc w:val="center"/>
            </w:pPr>
            <w:r>
              <w:rPr>
                <w:rFonts w:hint="eastAsia"/>
                <w:b w:val="0"/>
                <w:sz w:val="21"/>
              </w:rPr>
              <w:t>2025年4月至2025年11月B+轮</w:t>
            </w:r>
          </w:p>
        </w:tc>
        <w:tc>
          <w:tcPr>
            <w:tcW w:w="800" w:type="pct"/>
            <w:tcBorders>
              <w:bottom w:val="single" w:sz="12" w:space="0" w:color="010000"/>
            </w:tcBorders>
            <w:vAlign w:val="center"/>
          </w:tcPr>
          <w:p>
            <w:pPr>
              <w:keepNext/>
              <w:jc w:val="center"/>
            </w:pPr>
            <w:r>
              <w:rPr>
                <w:rFonts w:hint="eastAsia"/>
                <w:b w:val="0"/>
                <w:sz w:val="21"/>
              </w:rPr>
              <w:t>未披露</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英房资本、科晟基金、顺禧基金、北科中发展启航基金、复琢投资</w:t>
            </w:r>
          </w:p>
        </w:tc>
      </w:tr>
    </w:tbl>
    <w:p>
      <w:pPr>
        <w:pStyle w:val="005"/>
      </w:pPr>
      <w:r>
        <w:rPr>
          <w:rFonts w:hint="eastAsia"/>
          <w:b w:val="0"/>
        </w:rPr>
        <w:t>公司各轮融资金额及估值均未披露。</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185.6651→3567.5675</w:t>
            </w:r>
          </w:p>
        </w:tc>
        <w:tc>
          <w:tcPr>
            <w:tcW w:w="2200" w:type="pct"/>
            <w:vAlign w:val="center"/>
          </w:tcPr>
          <w:p>
            <w:pPr>
              <w:keepNext/>
              <w:jc w:val="left"/>
            </w:pPr>
            <w:r>
              <w:rPr>
                <w:rFonts w:hint="eastAsia"/>
                <w:b w:val="0"/>
                <w:sz w:val="21"/>
              </w:rPr>
              <w:t>资本公积转增，非按市价增资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2024年2月</w:t>
            </w:r>
          </w:p>
        </w:tc>
        <w:tc>
          <w:tcPr>
            <w:tcW w:w="1050" w:type="pct"/>
            <w:vAlign w:val="center"/>
          </w:tcPr>
          <w:p>
            <w:pPr>
              <w:keepNext/>
              <w:jc w:val="center"/>
            </w:pPr>
            <w:r>
              <w:rPr>
                <w:rFonts w:hint="eastAsia"/>
                <w:b w:val="0"/>
                <w:sz w:val="21"/>
              </w:rPr>
              <w:t>3567.5675→3755.3342</w:t>
            </w:r>
          </w:p>
        </w:tc>
        <w:tc>
          <w:tcPr>
            <w:tcW w:w="2200" w:type="pct"/>
            <w:vAlign w:val="center"/>
          </w:tcPr>
          <w:p>
            <w:pPr>
              <w:keepNext/>
              <w:jc w:val="left"/>
            </w:pPr>
            <w:r>
              <w:rPr>
                <w:rFonts w:hint="eastAsia"/>
                <w:b w:val="0"/>
                <w:sz w:val="21"/>
              </w:rPr>
              <w:t>国开科技创业投资</w:t>
            </w:r>
          </w:p>
        </w:tc>
        <w:tc>
          <w:tcPr>
            <w:tcW w:w="1000" w:type="pct"/>
            <w:vAlign w:val="center"/>
          </w:tcPr>
          <w:p>
            <w:pPr>
              <w:keepNext/>
              <w:jc w:val="center"/>
            </w:pPr>
            <w:r>
              <w:rPr>
                <w:rFonts w:hint="eastAsia"/>
                <w:b w:val="0"/>
                <w:sz w:val="21"/>
              </w:rPr>
              <w:t>5.0000%</w:t>
            </w:r>
          </w:p>
        </w:tc>
      </w:tr>
      <w:tr>
        <w:trPr>
          <w:cantSplit/>
        </w:trPr>
        <w:tc>
          <w:tcPr>
            <w:tcW w:w="750" w:type="pct"/>
            <w:vAlign w:val="center"/>
          </w:tcPr>
          <w:p>
            <w:pPr>
              <w:keepNext/>
              <w:jc w:val="center"/>
            </w:pPr>
            <w:r>
              <w:rPr>
                <w:rFonts w:hint="eastAsia"/>
                <w:b w:val="0"/>
                <w:sz w:val="21"/>
              </w:rPr>
              <w:t>2025年4月</w:t>
            </w:r>
          </w:p>
        </w:tc>
        <w:tc>
          <w:tcPr>
            <w:tcW w:w="1050" w:type="pct"/>
            <w:vAlign w:val="center"/>
          </w:tcPr>
          <w:p>
            <w:pPr>
              <w:keepNext/>
              <w:jc w:val="center"/>
            </w:pPr>
            <w:r>
              <w:rPr>
                <w:rFonts w:hint="eastAsia"/>
                <w:b w:val="0"/>
                <w:sz w:val="21"/>
              </w:rPr>
              <w:t>3755.3342→4125.8605</w:t>
            </w:r>
          </w:p>
        </w:tc>
        <w:tc>
          <w:tcPr>
            <w:tcW w:w="2200" w:type="pct"/>
            <w:vAlign w:val="center"/>
          </w:tcPr>
          <w:p>
            <w:pPr>
              <w:keepNext/>
              <w:jc w:val="left"/>
            </w:pPr>
            <w:r>
              <w:rPr>
                <w:rFonts w:hint="eastAsia"/>
                <w:b w:val="0"/>
                <w:sz w:val="21"/>
              </w:rPr>
              <w:t>无锡梁溪空天、天津远翼景昊、嘉兴晨金</w:t>
            </w:r>
          </w:p>
        </w:tc>
        <w:tc>
          <w:tcPr>
            <w:tcW w:w="1000" w:type="pct"/>
            <w:vAlign w:val="center"/>
          </w:tcPr>
          <w:p>
            <w:pPr>
              <w:keepNext/>
              <w:jc w:val="center"/>
            </w:pPr>
            <w:r>
              <w:rPr>
                <w:rFonts w:hint="eastAsia"/>
                <w:b w:val="0"/>
                <w:sz w:val="21"/>
              </w:rPr>
              <w:t>8.9806%</w:t>
            </w:r>
          </w:p>
        </w:tc>
      </w:tr>
      <w:tr>
        <w:trPr>
          <w:cantSplit/>
        </w:trPr>
        <w:tc>
          <w:tcPr>
            <w:tcW w:w="750" w:type="pct"/>
            <w:vAlign w:val="center"/>
          </w:tcPr>
          <w:p>
            <w:pPr>
              <w:keepNext/>
              <w:jc w:val="center"/>
            </w:pPr>
            <w:r>
              <w:rPr>
                <w:rFonts w:hint="eastAsia"/>
                <w:b w:val="0"/>
                <w:sz w:val="21"/>
              </w:rPr>
              <w:t>2025年6月</w:t>
            </w:r>
          </w:p>
        </w:tc>
        <w:tc>
          <w:tcPr>
            <w:tcW w:w="1050" w:type="pct"/>
            <w:vAlign w:val="center"/>
          </w:tcPr>
          <w:p>
            <w:pPr>
              <w:keepNext/>
              <w:jc w:val="center"/>
            </w:pPr>
            <w:r>
              <w:rPr>
                <w:rFonts w:hint="eastAsia"/>
                <w:b w:val="0"/>
                <w:sz w:val="21"/>
              </w:rPr>
              <w:t>4125.8605→4251.0383</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2.9446%</w:t>
            </w:r>
          </w:p>
        </w:tc>
      </w:tr>
      <w:tr>
        <w:trPr>
          <w:cantSplit/>
        </w:trPr>
        <w:tc>
          <w:tcPr>
            <w:tcW w:w="750" w:type="pct"/>
            <w:tcBorders>
              <w:bottom w:val="single" w:sz="12" w:space="0" w:color="010000"/>
            </w:tcBorders>
            <w:vAlign w:val="center"/>
          </w:tcPr>
          <w:p>
            <w:pPr>
              <w:keepNext/>
              <w:jc w:val="center"/>
            </w:pPr>
            <w:r>
              <w:rPr>
                <w:rFonts w:hint="eastAsia"/>
                <w:b w:val="0"/>
                <w:sz w:val="21"/>
              </w:rPr>
              <w:t>2025年11月</w:t>
            </w:r>
          </w:p>
        </w:tc>
        <w:tc>
          <w:tcPr>
            <w:tcW w:w="1050" w:type="pct"/>
            <w:tcBorders>
              <w:bottom w:val="single" w:sz="12" w:space="0" w:color="010000"/>
            </w:tcBorders>
            <w:vAlign w:val="center"/>
          </w:tcPr>
          <w:p>
            <w:pPr>
              <w:keepNext/>
              <w:jc w:val="center"/>
            </w:pPr>
            <w:r>
              <w:rPr>
                <w:rFonts w:hint="eastAsia"/>
                <w:b w:val="0"/>
                <w:sz w:val="21"/>
              </w:rPr>
              <w:t>注册资本未变动</w:t>
            </w:r>
          </w:p>
        </w:tc>
        <w:tc>
          <w:tcPr>
            <w:tcW w:w="2200" w:type="pct"/>
            <w:tcBorders>
              <w:bottom w:val="single" w:sz="12" w:space="0" w:color="010000"/>
            </w:tcBorders>
            <w:vAlign w:val="center"/>
          </w:tcPr>
          <w:p>
            <w:pPr>
              <w:keepNext/>
              <w:jc w:val="left"/>
            </w:pPr>
            <w:r>
              <w:rPr>
                <w:rFonts w:hint="eastAsia"/>
                <w:b w:val="0"/>
                <w:sz w:val="21"/>
              </w:rPr>
              <w:t>北科中发展启航基金、复琢投资受让老股</w:t>
            </w:r>
          </w:p>
        </w:tc>
        <w:tc>
          <w:tcPr>
            <w:tcW w:w="1000" w:type="pct"/>
            <w:tcBorders>
              <w:bottom w:val="single" w:sz="12" w:space="0" w:color="010000"/>
            </w:tcBorders>
            <w:vAlign w:val="center"/>
          </w:tcPr>
          <w:p>
            <w:pPr>
              <w:keepNext/>
              <w:jc w:val="center"/>
            </w:pPr>
            <w:r>
              <w:rPr>
                <w:rFonts w:hint="eastAsia"/>
                <w:b w:val="0"/>
                <w:sz w:val="21"/>
              </w:rPr>
              <w:t>—</w:t>
            </w:r>
          </w:p>
        </w:tc>
      </w:tr>
    </w:tbl>
    <w:p>
      <w:pPr>
        <w:pStyle w:val="005"/>
      </w:pPr>
      <w:r>
        <w:rPr>
          <w:rFonts w:hint="eastAsia"/>
          <w:b w:val="0"/>
        </w:rPr>
        <w:t>2023年10月注册资本由185.6651万元增至3567.5675万元，增幅约十八倍，属资本公积转增。该时点前后每单位注册资本对应的权益不可比，估值测算仅适用于转增之后的轮次。2025年4月一轮的新进股东认缴出资额合计高于当期注册资本增加额，为增资与老股受让并行；2025年11月一轮注册资本未发生变动，为老股转让。</w:t>
      </w:r>
    </w:p>
    <w:p>
      <w:pPr>
        <w:pStyle w:val="004"/>
      </w:pPr>
      <w:r>
        <w:rPr>
          <w:rFonts w:hint="eastAsia"/>
          <w:b/>
        </w:rPr>
        <w:t>5、鸿擎科技（同行业公司，空间动力系统，Pre-B轮）</w:t>
      </w:r>
    </w:p>
    <w:p>
      <w:pPr>
        <w:pStyle w:val="005"/>
      </w:pPr>
      <w:r>
        <w:rPr>
          <w:rFonts w:hint="eastAsia"/>
          <w:b w:val="0"/>
        </w:rPr>
        <w:t>鸿擎科技是空间动力解决方案供应商，主要面向低轨互联网、物联网星座，满足小卫星轨道提升、在轨位置保持、离轨等多种任务的动力需求，经营主体为北京蓝箭鸿擎科技有限公司。蓝箭航天空间科技股份有限公司持有公司14.9551%股权。公司关联的鸿鹄星座为国内三大低轨星座之一，鸿擎科技对无限宇航兼具同业与潜在客户双重属性。公司注册资本4680.6916万元，实缴3848.079万元，2025年报参保人数61人。</w:t>
      </w:r>
    </w:p>
    <w:p>
      <w:pPr>
        <w:pStyle w:val="005"/>
      </w:pPr>
      <w:r>
        <w:rPr>
          <w:rFonts w:hint="eastAsia"/>
          <w:b w:val="0"/>
        </w:rPr>
        <w:t>鸿擎科技系无限宇航上游同行业公司，累计完成十二轮融资，单轮及累计融资规模在国内同业中居首，其融资节奏及融资估值具有一定参考意义，具体情况如下：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2022年8月至2023年10月A轮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陕西金控资本、华成智讯、基石资本</w:t>
            </w:r>
          </w:p>
        </w:tc>
      </w:tr>
      <w:tr>
        <w:trPr>
          <w:cantSplit/>
        </w:trPr>
        <w:tc>
          <w:tcPr>
            <w:tcW w:w="850" w:type="pct"/>
            <w:vAlign w:val="center"/>
          </w:tcPr>
          <w:p>
            <w:pPr>
              <w:keepNext/>
              <w:jc w:val="center"/>
            </w:pPr>
            <w:r>
              <w:rPr>
                <w:rFonts w:hint="eastAsia"/>
                <w:b w:val="0"/>
                <w:sz w:val="21"/>
              </w:rPr>
              <w:t>2024年12月A+轮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3.4亿元</w:t>
            </w:r>
          </w:p>
        </w:tc>
        <w:tc>
          <w:tcPr>
            <w:tcW w:w="2500" w:type="pct"/>
            <w:vAlign w:val="center"/>
          </w:tcPr>
          <w:p>
            <w:pPr>
              <w:keepNext/>
              <w:jc w:val="left"/>
            </w:pPr>
            <w:r>
              <w:rPr>
                <w:rFonts w:hint="eastAsia"/>
                <w:b w:val="0"/>
                <w:sz w:val="21"/>
              </w:rPr>
              <w:t>通宇通讯、昆仑资本、北京市先进制造和智能装备产业投资基金</w:t>
            </w:r>
          </w:p>
        </w:tc>
      </w:tr>
      <w:tr>
        <w:trPr>
          <w:cantSplit/>
        </w:trPr>
        <w:tc>
          <w:tcPr>
            <w:tcW w:w="850" w:type="pct"/>
            <w:vAlign w:val="center"/>
          </w:tcPr>
          <w:p>
            <w:pPr>
              <w:keepNext/>
              <w:jc w:val="center"/>
            </w:pPr>
            <w:r>
              <w:rPr>
                <w:rFonts w:hint="eastAsia"/>
                <w:b w:val="0"/>
                <w:sz w:val="21"/>
              </w:rPr>
              <w:t>2025年1月A+轮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3亿元</w:t>
            </w:r>
          </w:p>
        </w:tc>
        <w:tc>
          <w:tcPr>
            <w:tcW w:w="2500" w:type="pct"/>
            <w:vAlign w:val="center"/>
          </w:tcPr>
          <w:p>
            <w:pPr>
              <w:keepNext/>
              <w:jc w:val="left"/>
            </w:pPr>
            <w:r>
              <w:rPr>
                <w:rFonts w:hint="eastAsia"/>
                <w:b w:val="0"/>
                <w:sz w:val="21"/>
              </w:rPr>
              <w:t>昆仑资本（领投）、白云基金、广电平云资本、北京京国管</w:t>
            </w:r>
          </w:p>
        </w:tc>
      </w:tr>
      <w:tr>
        <w:trPr>
          <w:cantSplit/>
        </w:trPr>
        <w:tc>
          <w:tcPr>
            <w:tcW w:w="850" w:type="pct"/>
            <w:vAlign w:val="center"/>
          </w:tcPr>
          <w:p>
            <w:pPr>
              <w:keepNext/>
              <w:jc w:val="center"/>
            </w:pPr>
            <w:r>
              <w:rPr>
                <w:rFonts w:hint="eastAsia"/>
                <w:b w:val="0"/>
                <w:sz w:val="21"/>
              </w:rPr>
              <w:t>2025年2月A+轮</w:t>
            </w:r>
          </w:p>
        </w:tc>
        <w:tc>
          <w:tcPr>
            <w:tcW w:w="800" w:type="pct"/>
            <w:vAlign w:val="center"/>
          </w:tcPr>
          <w:p>
            <w:pPr>
              <w:keepNext/>
              <w:jc w:val="center"/>
            </w:pPr>
            <w:r>
              <w:rPr>
                <w:rFonts w:hint="eastAsia"/>
                <w:b w:val="0"/>
                <w:sz w:val="21"/>
              </w:rPr>
              <w:t>约20.7亿元</w:t>
            </w:r>
          </w:p>
        </w:tc>
        <w:tc>
          <w:tcPr>
            <w:tcW w:w="850" w:type="pct"/>
            <w:vAlign w:val="center"/>
          </w:tcPr>
          <w:p>
            <w:pPr>
              <w:keepNext/>
              <w:jc w:val="center"/>
            </w:pPr>
            <w:r>
              <w:rPr>
                <w:rFonts w:hint="eastAsia"/>
                <w:b w:val="0"/>
                <w:sz w:val="21"/>
              </w:rPr>
              <w:t>约1亿元</w:t>
            </w:r>
          </w:p>
        </w:tc>
        <w:tc>
          <w:tcPr>
            <w:tcW w:w="2500" w:type="pct"/>
            <w:vAlign w:val="center"/>
          </w:tcPr>
          <w:p>
            <w:pPr>
              <w:keepNext/>
              <w:jc w:val="left"/>
            </w:pPr>
            <w:r>
              <w:rPr>
                <w:rFonts w:hint="eastAsia"/>
                <w:b w:val="0"/>
                <w:sz w:val="21"/>
              </w:rPr>
              <w:t>雄安科技创新成长股权投资基金</w:t>
            </w:r>
          </w:p>
        </w:tc>
      </w:tr>
      <w:tr>
        <w:trPr>
          <w:cantSplit/>
        </w:trPr>
        <w:tc>
          <w:tcPr>
            <w:tcW w:w="850" w:type="pct"/>
            <w:vAlign w:val="center"/>
          </w:tcPr>
          <w:p>
            <w:pPr>
              <w:keepNext/>
              <w:jc w:val="center"/>
            </w:pPr>
            <w:r>
              <w:rPr>
                <w:rFonts w:hint="eastAsia"/>
                <w:b w:val="0"/>
                <w:sz w:val="21"/>
              </w:rPr>
              <w:t>2025年7月A+轮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湖北长江中信科移动通信技术产业投资基金</w:t>
            </w:r>
          </w:p>
        </w:tc>
      </w:tr>
      <w:tr>
        <w:trPr>
          <w:cantSplit/>
        </w:trPr>
        <w:tc>
          <w:tcPr>
            <w:tcW w:w="850" w:type="pct"/>
            <w:vAlign w:val="center"/>
          </w:tcPr>
          <w:p>
            <w:pPr>
              <w:keepNext/>
              <w:jc w:val="center"/>
            </w:pPr>
            <w:r>
              <w:rPr>
                <w:rFonts w:hint="eastAsia"/>
                <w:b w:val="0"/>
                <w:sz w:val="21"/>
              </w:rPr>
              <w:t>2025年12月A+轮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北京经开区产业升级股权投资基金二期、北京汇瀛金丰</w:t>
            </w:r>
          </w:p>
        </w:tc>
      </w:tr>
      <w:tr>
        <w:trPr>
          <w:cantSplit/>
        </w:trPr>
        <w:tc>
          <w:tcPr>
            <w:tcW w:w="850" w:type="pct"/>
            <w:tcBorders>
              <w:bottom w:val="single" w:sz="12" w:space="0" w:color="010000"/>
            </w:tcBorders>
            <w:vAlign w:val="center"/>
          </w:tcPr>
          <w:p>
            <w:pPr>
              <w:keepNext/>
              <w:jc w:val="center"/>
            </w:pPr>
            <w:r>
              <w:rPr>
                <w:rFonts w:hint="eastAsia"/>
                <w:b w:val="0"/>
                <w:sz w:val="21"/>
              </w:rPr>
              <w:t>2026年7月Pre-B轮</w:t>
            </w:r>
          </w:p>
        </w:tc>
        <w:tc>
          <w:tcPr>
            <w:tcW w:w="800" w:type="pct"/>
            <w:tcBorders>
              <w:bottom w:val="single" w:sz="12" w:space="0" w:color="010000"/>
            </w:tcBorders>
            <w:vAlign w:val="center"/>
          </w:tcPr>
          <w:p>
            <w:pPr>
              <w:keepNext/>
              <w:jc w:val="center"/>
            </w:pPr>
            <w:r>
              <w:rPr>
                <w:rFonts w:hint="eastAsia"/>
                <w:b w:val="0"/>
                <w:sz w:val="21"/>
              </w:rPr>
              <w:t>约60.1亿元</w:t>
            </w:r>
          </w:p>
        </w:tc>
        <w:tc>
          <w:tcPr>
            <w:tcW w:w="850" w:type="pct"/>
            <w:tcBorders>
              <w:bottom w:val="single" w:sz="12" w:space="0" w:color="010000"/>
            </w:tcBorders>
            <w:vAlign w:val="center"/>
          </w:tcPr>
          <w:p>
            <w:pPr>
              <w:keepNext/>
              <w:jc w:val="center"/>
            </w:pPr>
            <w:r>
              <w:rPr>
                <w:rFonts w:hint="eastAsia"/>
                <w:b w:val="0"/>
                <w:sz w:val="21"/>
              </w:rPr>
              <w:t>超13亿元</w:t>
            </w:r>
          </w:p>
        </w:tc>
        <w:tc>
          <w:tcPr>
            <w:tcW w:w="25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005"/>
      </w:pPr>
      <w:r>
        <w:rPr>
          <w:rFonts w:hint="eastAsia"/>
          <w:b w:val="0"/>
        </w:rPr>
        <w:t>公司有两个轮次可测算估值。2025年2月一轮，雄安科技创新成长股权投资基金认缴出资额137.4925万元，与当期注册资本增加额一致，占增资后注册资本4.5977%，按本次融资金额约1亿元测算，对应投前估值约20.7亿元。2026年7月Pre-B轮新进股东合计持股17.7883%，按本次融资金额13亿元测算，对应投前估值约60.1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2021年11月</w:t>
            </w:r>
          </w:p>
        </w:tc>
        <w:tc>
          <w:tcPr>
            <w:tcW w:w="1050" w:type="pct"/>
            <w:vAlign w:val="center"/>
          </w:tcPr>
          <w:p>
            <w:pPr>
              <w:keepNext/>
              <w:jc w:val="center"/>
            </w:pPr>
            <w:r>
              <w:rPr>
                <w:rFonts w:hint="eastAsia"/>
                <w:b w:val="0"/>
                <w:sz w:val="21"/>
              </w:rPr>
              <w:t>100→1000</w:t>
            </w:r>
          </w:p>
        </w:tc>
        <w:tc>
          <w:tcPr>
            <w:tcW w:w="2200" w:type="pct"/>
            <w:vAlign w:val="center"/>
          </w:tcPr>
          <w:p>
            <w:pPr>
              <w:keepNext/>
              <w:jc w:val="left"/>
            </w:pPr>
            <w:r>
              <w:rPr>
                <w:rFonts w:hint="eastAsia"/>
                <w:b w:val="0"/>
                <w:sz w:val="21"/>
              </w:rPr>
              <w:t>上海星维浩瀚、蓝箭航天</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2022年3月</w:t>
            </w:r>
          </w:p>
        </w:tc>
        <w:tc>
          <w:tcPr>
            <w:tcW w:w="1050" w:type="pct"/>
            <w:vAlign w:val="center"/>
          </w:tcPr>
          <w:p>
            <w:pPr>
              <w:keepNext/>
              <w:jc w:val="center"/>
            </w:pPr>
            <w:r>
              <w:rPr>
                <w:rFonts w:hint="eastAsia"/>
                <w:b w:val="0"/>
                <w:sz w:val="21"/>
              </w:rPr>
              <w:t>1000→1190.4762</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2022年8月</w:t>
            </w:r>
          </w:p>
        </w:tc>
        <w:tc>
          <w:tcPr>
            <w:tcW w:w="1050" w:type="pct"/>
            <w:vAlign w:val="center"/>
          </w:tcPr>
          <w:p>
            <w:pPr>
              <w:keepNext/>
              <w:jc w:val="center"/>
            </w:pPr>
            <w:r>
              <w:rPr>
                <w:rFonts w:hint="eastAsia"/>
                <w:b w:val="0"/>
                <w:sz w:val="21"/>
              </w:rPr>
              <w:t>1190.4762→1455.0263</w:t>
            </w:r>
          </w:p>
        </w:tc>
        <w:tc>
          <w:tcPr>
            <w:tcW w:w="2200" w:type="pct"/>
            <w:vAlign w:val="center"/>
          </w:tcPr>
          <w:p>
            <w:pPr>
              <w:keepNext/>
              <w:jc w:val="left"/>
            </w:pPr>
            <w:r>
              <w:rPr>
                <w:rFonts w:hint="eastAsia"/>
                <w:b w:val="0"/>
                <w:sz w:val="21"/>
              </w:rPr>
              <w:t>海南洋浦潜渊天擎、宁波澜溪创新、佛山光晟</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1455.0263→1798.5742</w:t>
            </w:r>
          </w:p>
        </w:tc>
        <w:tc>
          <w:tcPr>
            <w:tcW w:w="2200" w:type="pct"/>
            <w:vAlign w:val="center"/>
          </w:tcPr>
          <w:p>
            <w:pPr>
              <w:keepNext/>
              <w:jc w:val="left"/>
            </w:pPr>
            <w:r>
              <w:rPr>
                <w:rFonts w:hint="eastAsia"/>
                <w:b w:val="0"/>
                <w:sz w:val="21"/>
              </w:rPr>
              <w:t>华成智飞、华成智飞伙伴、马鞍山科威基石</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2024年5月</w:t>
            </w:r>
          </w:p>
        </w:tc>
        <w:tc>
          <w:tcPr>
            <w:tcW w:w="1050" w:type="pct"/>
            <w:vAlign w:val="center"/>
          </w:tcPr>
          <w:p>
            <w:pPr>
              <w:keepNext/>
              <w:jc w:val="center"/>
            </w:pPr>
            <w:r>
              <w:rPr>
                <w:rFonts w:hint="eastAsia"/>
                <w:b w:val="0"/>
                <w:sz w:val="21"/>
              </w:rPr>
              <w:t>1798.5742→2234.2538</w:t>
            </w:r>
          </w:p>
        </w:tc>
        <w:tc>
          <w:tcPr>
            <w:tcW w:w="2200" w:type="pct"/>
            <w:vAlign w:val="center"/>
          </w:tcPr>
          <w:p>
            <w:pPr>
              <w:keepNext/>
              <w:jc w:val="left"/>
            </w:pPr>
            <w:r>
              <w:rPr>
                <w:rFonts w:hint="eastAsia"/>
                <w:b w:val="0"/>
                <w:sz w:val="21"/>
              </w:rPr>
              <w:t>增资与16.73%股权转让并行</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2025年1月</w:t>
            </w:r>
          </w:p>
        </w:tc>
        <w:tc>
          <w:tcPr>
            <w:tcW w:w="1050" w:type="pct"/>
            <w:vAlign w:val="center"/>
          </w:tcPr>
          <w:p>
            <w:pPr>
              <w:keepNext/>
              <w:jc w:val="center"/>
            </w:pPr>
            <w:r>
              <w:rPr>
                <w:rFonts w:hint="eastAsia"/>
                <w:b w:val="0"/>
                <w:sz w:val="21"/>
              </w:rPr>
              <w:t>2234.2538→2552.2053</w:t>
            </w:r>
          </w:p>
        </w:tc>
        <w:tc>
          <w:tcPr>
            <w:tcW w:w="2200" w:type="pct"/>
            <w:vAlign w:val="center"/>
          </w:tcPr>
          <w:p>
            <w:pPr>
              <w:keepNext/>
              <w:jc w:val="left"/>
            </w:pPr>
            <w:r>
              <w:rPr>
                <w:rFonts w:hint="eastAsia"/>
                <w:b w:val="0"/>
                <w:sz w:val="21"/>
              </w:rPr>
              <w:t>通宇通讯、昆仑资本、北京市先进制造基金</w:t>
            </w:r>
          </w:p>
        </w:tc>
        <w:tc>
          <w:tcPr>
            <w:tcW w:w="1000" w:type="pct"/>
            <w:vAlign w:val="center"/>
          </w:tcPr>
          <w:p>
            <w:pPr>
              <w:keepNext/>
              <w:jc w:val="center"/>
            </w:pPr>
            <w:r>
              <w:rPr>
                <w:rFonts w:hint="eastAsia"/>
                <w:b w:val="0"/>
                <w:sz w:val="21"/>
              </w:rPr>
              <w:t>12.4577%</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2552.2053→2852.9703</w:t>
            </w:r>
          </w:p>
        </w:tc>
        <w:tc>
          <w:tcPr>
            <w:tcW w:w="2200" w:type="pct"/>
            <w:vAlign w:val="center"/>
          </w:tcPr>
          <w:p>
            <w:pPr>
              <w:keepNext/>
              <w:jc w:val="left"/>
            </w:pPr>
            <w:r>
              <w:rPr>
                <w:rFonts w:hint="eastAsia"/>
                <w:b w:val="0"/>
                <w:sz w:val="21"/>
              </w:rPr>
              <w:t>白云基金、广电平云资本、北京京国管</w:t>
            </w:r>
          </w:p>
        </w:tc>
        <w:tc>
          <w:tcPr>
            <w:tcW w:w="1000" w:type="pct"/>
            <w:vAlign w:val="center"/>
          </w:tcPr>
          <w:p>
            <w:pPr>
              <w:keepNext/>
              <w:jc w:val="center"/>
            </w:pPr>
            <w:r>
              <w:rPr>
                <w:rFonts w:hint="eastAsia"/>
                <w:b w:val="0"/>
                <w:sz w:val="21"/>
              </w:rPr>
              <w:t>10.5421%</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2852.9703→2990.4628</w:t>
            </w:r>
          </w:p>
        </w:tc>
        <w:tc>
          <w:tcPr>
            <w:tcW w:w="2200" w:type="pct"/>
            <w:vAlign w:val="center"/>
          </w:tcPr>
          <w:p>
            <w:pPr>
              <w:keepNext/>
              <w:jc w:val="left"/>
            </w:pPr>
            <w:r>
              <w:rPr>
                <w:rFonts w:hint="eastAsia"/>
                <w:b w:val="0"/>
                <w:sz w:val="21"/>
              </w:rPr>
              <w:t>雄安科技创新成长股权投资基金</w:t>
            </w:r>
          </w:p>
        </w:tc>
        <w:tc>
          <w:tcPr>
            <w:tcW w:w="1000" w:type="pct"/>
            <w:vAlign w:val="center"/>
          </w:tcPr>
          <w:p>
            <w:pPr>
              <w:keepNext/>
              <w:jc w:val="center"/>
            </w:pPr>
            <w:r>
              <w:rPr>
                <w:rFonts w:hint="eastAsia"/>
                <w:b w:val="0"/>
                <w:sz w:val="21"/>
              </w:rPr>
              <w:t>4.5977%</w:t>
            </w:r>
          </w:p>
        </w:tc>
      </w:tr>
      <w:tr>
        <w:trPr>
          <w:cantSplit/>
        </w:trPr>
        <w:tc>
          <w:tcPr>
            <w:tcW w:w="750" w:type="pct"/>
            <w:vAlign w:val="center"/>
          </w:tcPr>
          <w:p>
            <w:pPr>
              <w:keepNext/>
              <w:jc w:val="center"/>
            </w:pPr>
            <w:r>
              <w:rPr>
                <w:rFonts w:hint="eastAsia"/>
                <w:b w:val="0"/>
                <w:sz w:val="21"/>
              </w:rPr>
              <w:t>2025年8月</w:t>
            </w:r>
          </w:p>
        </w:tc>
        <w:tc>
          <w:tcPr>
            <w:tcW w:w="1050" w:type="pct"/>
            <w:vAlign w:val="center"/>
          </w:tcPr>
          <w:p>
            <w:pPr>
              <w:keepNext/>
              <w:jc w:val="center"/>
            </w:pPr>
            <w:r>
              <w:rPr>
                <w:rFonts w:hint="eastAsia"/>
                <w:b w:val="0"/>
                <w:sz w:val="21"/>
              </w:rPr>
              <w:t>2990.4628→3521.5342</w:t>
            </w:r>
          </w:p>
        </w:tc>
        <w:tc>
          <w:tcPr>
            <w:tcW w:w="2200" w:type="pct"/>
            <w:vAlign w:val="center"/>
          </w:tcPr>
          <w:p>
            <w:pPr>
              <w:keepNext/>
              <w:jc w:val="left"/>
            </w:pPr>
            <w:r>
              <w:rPr>
                <w:rFonts w:hint="eastAsia"/>
                <w:b w:val="0"/>
                <w:sz w:val="21"/>
              </w:rPr>
              <w:t>湖北长江中信科基金</w:t>
            </w:r>
          </w:p>
        </w:tc>
        <w:tc>
          <w:tcPr>
            <w:tcW w:w="1000" w:type="pct"/>
            <w:vAlign w:val="center"/>
          </w:tcPr>
          <w:p>
            <w:pPr>
              <w:keepNext/>
              <w:jc w:val="center"/>
            </w:pPr>
            <w:r>
              <w:rPr>
                <w:rFonts w:hint="eastAsia"/>
                <w:b w:val="0"/>
                <w:sz w:val="21"/>
              </w:rPr>
              <w:t>15.0806%</w:t>
            </w:r>
          </w:p>
        </w:tc>
      </w:tr>
      <w:tr>
        <w:trPr>
          <w:cantSplit/>
        </w:trPr>
        <w:tc>
          <w:tcPr>
            <w:tcW w:w="750" w:type="pct"/>
            <w:vAlign w:val="center"/>
          </w:tcPr>
          <w:p>
            <w:pPr>
              <w:keepNext/>
              <w:jc w:val="center"/>
            </w:pPr>
            <w:r>
              <w:rPr>
                <w:rFonts w:hint="eastAsia"/>
                <w:b w:val="0"/>
                <w:sz w:val="21"/>
              </w:rPr>
              <w:t>2025年12月</w:t>
            </w:r>
          </w:p>
        </w:tc>
        <w:tc>
          <w:tcPr>
            <w:tcW w:w="1050" w:type="pct"/>
            <w:vAlign w:val="center"/>
          </w:tcPr>
          <w:p>
            <w:pPr>
              <w:keepNext/>
              <w:jc w:val="center"/>
            </w:pPr>
            <w:r>
              <w:rPr>
                <w:rFonts w:hint="eastAsia"/>
                <w:b w:val="0"/>
                <w:sz w:val="21"/>
              </w:rPr>
              <w:t>3521.5342→3848.079</w:t>
            </w:r>
          </w:p>
        </w:tc>
        <w:tc>
          <w:tcPr>
            <w:tcW w:w="2200" w:type="pct"/>
            <w:vAlign w:val="center"/>
          </w:tcPr>
          <w:p>
            <w:pPr>
              <w:keepNext/>
              <w:jc w:val="left"/>
            </w:pPr>
            <w:r>
              <w:rPr>
                <w:rFonts w:hint="eastAsia"/>
                <w:b w:val="0"/>
                <w:sz w:val="21"/>
              </w:rPr>
              <w:t>北京经开区产业升级基金二期、北京汇瀛金丰</w:t>
            </w:r>
          </w:p>
        </w:tc>
        <w:tc>
          <w:tcPr>
            <w:tcW w:w="1000" w:type="pct"/>
            <w:vAlign w:val="center"/>
          </w:tcPr>
          <w:p>
            <w:pPr>
              <w:keepNext/>
              <w:jc w:val="center"/>
            </w:pPr>
            <w:r>
              <w:rPr>
                <w:rFonts w:hint="eastAsia"/>
                <w:b w:val="0"/>
                <w:sz w:val="21"/>
              </w:rPr>
              <w:t>8.4860%</w:t>
            </w:r>
          </w:p>
        </w:tc>
      </w:tr>
      <w:tr>
        <w:trPr>
          <w:cantSplit/>
        </w:trPr>
        <w:tc>
          <w:tcPr>
            <w:tcW w:w="750" w:type="pct"/>
            <w:tcBorders>
              <w:bottom w:val="single" w:sz="12" w:space="0" w:color="010000"/>
            </w:tcBorders>
            <w:vAlign w:val="center"/>
          </w:tcPr>
          <w:p>
            <w:pPr>
              <w:keepNext/>
              <w:jc w:val="center"/>
            </w:pPr>
            <w:r>
              <w:rPr>
                <w:rFonts w:hint="eastAsia"/>
                <w:b w:val="0"/>
                <w:sz w:val="21"/>
              </w:rPr>
              <w:t>2026年6月</w:t>
            </w:r>
          </w:p>
        </w:tc>
        <w:tc>
          <w:tcPr>
            <w:tcW w:w="1050" w:type="pct"/>
            <w:tcBorders>
              <w:bottom w:val="single" w:sz="12" w:space="0" w:color="010000"/>
            </w:tcBorders>
            <w:vAlign w:val="center"/>
          </w:tcPr>
          <w:p>
            <w:pPr>
              <w:keepNext/>
              <w:jc w:val="center"/>
            </w:pPr>
            <w:r>
              <w:rPr>
                <w:rFonts w:hint="eastAsia"/>
                <w:b w:val="0"/>
                <w:sz w:val="21"/>
              </w:rPr>
              <w:t>3848.079→4680.6916</w:t>
            </w:r>
          </w:p>
        </w:tc>
        <w:tc>
          <w:tcPr>
            <w:tcW w:w="2200" w:type="pct"/>
            <w:tcBorders>
              <w:bottom w:val="single" w:sz="12" w:space="0" w:color="010000"/>
            </w:tcBorders>
            <w:vAlign w:val="center"/>
          </w:tcPr>
          <w:p>
            <w:pPr>
              <w:keepNext/>
              <w:jc w:val="left"/>
            </w:pPr>
            <w:r>
              <w:rPr>
                <w:rFonts w:hint="eastAsia"/>
                <w:b w:val="0"/>
                <w:sz w:val="21"/>
              </w:rPr>
              <w:t>建信投资、工银投资、上海金融科技基金等</w:t>
            </w:r>
          </w:p>
        </w:tc>
        <w:tc>
          <w:tcPr>
            <w:tcW w:w="1000" w:type="pct"/>
            <w:tcBorders>
              <w:bottom w:val="single" w:sz="12" w:space="0" w:color="010000"/>
            </w:tcBorders>
            <w:vAlign w:val="center"/>
          </w:tcPr>
          <w:p>
            <w:pPr>
              <w:keepNext/>
              <w:jc w:val="center"/>
            </w:pPr>
            <w:r>
              <w:rPr>
                <w:rFonts w:hint="eastAsia"/>
                <w:b w:val="0"/>
                <w:sz w:val="21"/>
              </w:rPr>
              <w:t>17.7883%</w:t>
            </w:r>
          </w:p>
        </w:tc>
      </w:tr>
    </w:tbl>
    <w:p>
      <w:pPr>
        <w:pStyle w:val="005"/>
      </w:pPr>
      <w:r>
        <w:rPr>
          <w:rFonts w:hint="eastAsia"/>
          <w:b w:val="0"/>
        </w:rPr>
        <w:t>公司部分轮次为增资与老股转让并行。北京市先进制造和智能装备产业投资基金认缴出资额343.7314万元，高于其进入当期的注册资本增加额317.9515万元，差额部分为受让老股，仅以注册资本增加额测算会低估该轮估值。通宇通讯（002792.SZ）为上市公司，其2024年12月投资及2026年2月转让退出均应履行公告义务，可据其公告核对交易对价与持股比例。</w:t>
      </w:r>
    </w:p>
    <w:p>
      <w:pPr>
        <w:pStyle w:val="004"/>
      </w:pPr>
      <w:r>
        <w:rPr>
          <w:rFonts w:hint="eastAsia"/>
          <w:b/>
        </w:rPr>
        <w:t>6、往返九霄（同行业公司，动力系统研制阶段）</w:t>
      </w:r>
    </w:p>
    <w:p>
      <w:pPr>
        <w:pStyle w:val="005"/>
      </w:pPr>
      <w:r>
        <w:rPr>
          <w:rFonts w:hint="eastAsia"/>
          <w:b w:val="0"/>
        </w:rPr>
        <w:t>往返九霄是国内轨道转移飞行器研制企业，以空间发动机自主研发为切入点，整机产品处于研制阶段。北京往返九霄航空航天科技有限公司为苏州往返九霄航空航天科技有限公司的全资子公司，融资在苏州主体层面进行。公司拥有专利20项、软件著作权10项，公开招聘岗位集中于火箭发动机推力室设计、发动机阀门设计、发动机系统设计与火箭发动机工艺设计。</w:t>
      </w:r>
    </w:p>
    <w:p>
      <w:pPr>
        <w:pStyle w:val="005"/>
      </w:pPr>
      <w:r>
        <w:rPr>
          <w:rFonts w:hint="eastAsia"/>
          <w:b w:val="0"/>
        </w:rPr>
        <w:t>往返九霄系无限宇航同行业公司，与无限宇航、未来宇航同为国内三家轨道转移飞行器整机企业，其经营主体基本情况如下：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4153"/>
        <w:gridCol w:w="4153"/>
      </w:tblGrid>
      <w:tr>
        <w:trPr>
          <w:cantSplit/>
          <w:tblHeader/>
        </w:trPr>
        <w:tc>
          <w:tcPr>
            <w:tcW w:w="1300" w:type="pct"/>
            <w:tcBorders>
              <w:top w:val="single" w:sz="12" w:space="0" w:color="010000"/>
              <w:bottom w:val="single" w:sz="4" w:space="0" w:color="010000"/>
            </w:tcBorders>
            <w:vAlign w:val="center"/>
          </w:tcPr>
          <w:p>
            <w:pPr>
              <w:keepNext/>
              <w:jc w:val="center"/>
            </w:pPr>
            <w:r>
              <w:rPr>
                <w:rFonts w:hint="eastAsia"/>
                <w:b/>
                <w:sz w:val="21"/>
              </w:rPr>
              <w:t>项目</w:t>
            </w:r>
          </w:p>
        </w:tc>
        <w:tc>
          <w:tcPr>
            <w:tcW w:w="3700" w:type="pct"/>
            <w:tcBorders>
              <w:top w:val="single" w:sz="12" w:space="0" w:color="010000"/>
              <w:bottom w:val="single" w:sz="4" w:space="0" w:color="010000"/>
            </w:tcBorders>
            <w:vAlign w:val="center"/>
          </w:tcPr>
          <w:p>
            <w:pPr>
              <w:keepNext/>
              <w:jc w:val="center"/>
            </w:pPr>
            <w:r>
              <w:rPr>
                <w:rFonts w:hint="eastAsia"/>
                <w:b/>
                <w:sz w:val="21"/>
              </w:rPr>
              <w:t>内容</w:t>
            </w:r>
          </w:p>
        </w:tc>
      </w:tr>
      <w:tr>
        <w:trPr>
          <w:cantSplit/>
        </w:trPr>
        <w:tc>
          <w:tcPr>
            <w:tcW w:w="1300" w:type="pct"/>
            <w:vAlign w:val="center"/>
          </w:tcPr>
          <w:p>
            <w:pPr>
              <w:keepNext/>
              <w:jc w:val="center"/>
            </w:pPr>
            <w:r>
              <w:rPr>
                <w:rFonts w:hint="eastAsia"/>
                <w:b w:val="0"/>
                <w:sz w:val="21"/>
              </w:rPr>
              <w:t>成立日期</w:t>
            </w:r>
          </w:p>
        </w:tc>
        <w:tc>
          <w:tcPr>
            <w:tcW w:w="3700" w:type="pct"/>
            <w:vAlign w:val="center"/>
          </w:tcPr>
          <w:p>
            <w:pPr>
              <w:keepNext/>
              <w:jc w:val="left"/>
            </w:pPr>
            <w:r>
              <w:rPr>
                <w:rFonts w:hint="eastAsia"/>
                <w:b w:val="0"/>
                <w:sz w:val="21"/>
              </w:rPr>
              <w:t>2024年8月</w:t>
            </w:r>
          </w:p>
        </w:tc>
      </w:tr>
      <w:tr>
        <w:trPr>
          <w:cantSplit/>
        </w:trPr>
        <w:tc>
          <w:tcPr>
            <w:tcW w:w="1300" w:type="pct"/>
            <w:vAlign w:val="center"/>
          </w:tcPr>
          <w:p>
            <w:pPr>
              <w:keepNext/>
              <w:jc w:val="center"/>
            </w:pPr>
            <w:r>
              <w:rPr>
                <w:rFonts w:hint="eastAsia"/>
                <w:b w:val="0"/>
                <w:sz w:val="21"/>
              </w:rPr>
              <w:t>注册资本／实缴</w:t>
            </w:r>
          </w:p>
        </w:tc>
        <w:tc>
          <w:tcPr>
            <w:tcW w:w="3700" w:type="pct"/>
            <w:vAlign w:val="center"/>
          </w:tcPr>
          <w:p>
            <w:pPr>
              <w:keepNext/>
              <w:jc w:val="left"/>
            </w:pPr>
            <w:r>
              <w:rPr>
                <w:rFonts w:hint="eastAsia"/>
                <w:b w:val="0"/>
                <w:sz w:val="21"/>
              </w:rPr>
              <w:t>500万元／500万元</w:t>
            </w:r>
          </w:p>
        </w:tc>
      </w:tr>
      <w:tr>
        <w:trPr>
          <w:cantSplit/>
        </w:trPr>
        <w:tc>
          <w:tcPr>
            <w:tcW w:w="1300" w:type="pct"/>
            <w:vAlign w:val="center"/>
          </w:tcPr>
          <w:p>
            <w:pPr>
              <w:keepNext/>
              <w:jc w:val="center"/>
            </w:pPr>
            <w:r>
              <w:rPr>
                <w:rFonts w:hint="eastAsia"/>
                <w:b w:val="0"/>
                <w:sz w:val="21"/>
              </w:rPr>
              <w:t>股东</w:t>
            </w:r>
          </w:p>
        </w:tc>
        <w:tc>
          <w:tcPr>
            <w:tcW w:w="3700" w:type="pct"/>
            <w:vAlign w:val="center"/>
          </w:tcPr>
          <w:p>
            <w:pPr>
              <w:keepNext/>
              <w:jc w:val="left"/>
            </w:pPr>
            <w:r>
              <w:rPr>
                <w:rFonts w:hint="eastAsia"/>
                <w:b w:val="0"/>
                <w:sz w:val="21"/>
              </w:rPr>
              <w:t>苏州往返九霄航空航天科技有限公司持股100%</w:t>
            </w:r>
          </w:p>
        </w:tc>
      </w:tr>
      <w:tr>
        <w:trPr>
          <w:cantSplit/>
        </w:trPr>
        <w:tc>
          <w:tcPr>
            <w:tcW w:w="1300" w:type="pct"/>
            <w:vAlign w:val="center"/>
          </w:tcPr>
          <w:p>
            <w:pPr>
              <w:keepNext/>
              <w:jc w:val="center"/>
            </w:pPr>
            <w:r>
              <w:rPr>
                <w:rFonts w:hint="eastAsia"/>
                <w:b w:val="0"/>
                <w:sz w:val="21"/>
              </w:rPr>
              <w:t>参保人数</w:t>
            </w:r>
          </w:p>
        </w:tc>
        <w:tc>
          <w:tcPr>
            <w:tcW w:w="3700" w:type="pct"/>
            <w:vAlign w:val="center"/>
          </w:tcPr>
          <w:p>
            <w:pPr>
              <w:keepNext/>
              <w:jc w:val="left"/>
            </w:pPr>
            <w:r>
              <w:rPr>
                <w:rFonts w:hint="eastAsia"/>
                <w:b w:val="0"/>
                <w:sz w:val="21"/>
              </w:rPr>
              <w:t>6人，分支机构12人</w:t>
            </w:r>
          </w:p>
        </w:tc>
      </w:tr>
      <w:tr>
        <w:trPr>
          <w:cantSplit/>
        </w:trPr>
        <w:tc>
          <w:tcPr>
            <w:tcW w:w="1300" w:type="pct"/>
            <w:tcBorders>
              <w:bottom w:val="single" w:sz="12" w:space="0" w:color="010000"/>
            </w:tcBorders>
            <w:vAlign w:val="center"/>
          </w:tcPr>
          <w:p>
            <w:pPr>
              <w:keepNext/>
              <w:jc w:val="center"/>
            </w:pPr>
            <w:r>
              <w:rPr>
                <w:rFonts w:hint="eastAsia"/>
                <w:b w:val="0"/>
                <w:sz w:val="21"/>
              </w:rPr>
              <w:t>知识产权</w:t>
            </w:r>
          </w:p>
        </w:tc>
        <w:tc>
          <w:tcPr>
            <w:tcW w:w="3700" w:type="pct"/>
            <w:tcBorders>
              <w:bottom w:val="single" w:sz="12" w:space="0" w:color="010000"/>
            </w:tcBorders>
            <w:vAlign w:val="center"/>
          </w:tcPr>
          <w:p>
            <w:pPr>
              <w:keepNext/>
              <w:jc w:val="left"/>
            </w:pPr>
            <w:r>
              <w:rPr>
                <w:rFonts w:hint="eastAsia"/>
                <w:b w:val="0"/>
                <w:sz w:val="21"/>
              </w:rPr>
              <w:t>专利20项、软件著作权10项</w:t>
            </w:r>
          </w:p>
        </w:tc>
      </w:tr>
    </w:tbl>
    <w:p>
      <w:pPr>
        <w:pStyle w:val="004"/>
      </w:pPr>
      <w:r>
        <w:rPr>
          <w:rFonts w:hint="eastAsia"/>
          <w:b/>
        </w:rPr>
        <w:t>7、Momentus（同行业公司，美国纳斯达克上市）</w:t>
      </w:r>
    </w:p>
    <w:p>
      <w:pPr>
        <w:pStyle w:val="005"/>
      </w:pPr>
      <w:r>
        <w:rPr>
          <w:rFonts w:hint="eastAsia"/>
          <w:b w:val="0"/>
        </w:rPr>
        <w:t>Momentus Inc.是美国轨道转移飞行器研制与运营企业，主营业务为Vigoride系列轨道转移飞行器的研发、制造及在轨运输服务，2021年8月通过特殊目的收购公司方式在纳斯达克上市，证券代码MNTS。公司现阶段收入主要来自美国国防高级研究计划局NOM4D、BRIDGES项目及太空发展局HALO项目的工程服务。2023年度308.9万美元收入中，170万美元来自Vigoride 5与Vigoride 6的客户履约。</w:t>
      </w:r>
    </w:p>
    <w:p>
      <w:pPr>
        <w:pStyle w:val="005"/>
      </w:pPr>
      <w:r>
        <w:rPr>
          <w:rFonts w:hint="eastAsia"/>
          <w:b w:val="0"/>
        </w:rPr>
        <w:t>Momentus系无限宇航同行业公司，为全球范围内产品形态最为接近且已上市的企业，其财务数据具有一定参考意义，2022年至2025年财务数据如下：</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时间</w:t>
            </w:r>
          </w:p>
        </w:tc>
        <w:tc>
          <w:tcPr>
            <w:tcW w:w="2700" w:type="pct"/>
            <w:tcBorders>
              <w:top w:val="single" w:sz="12" w:space="0" w:color="010000"/>
              <w:bottom w:val="single" w:sz="4" w:space="0" w:color="010000"/>
            </w:tcBorders>
            <w:vAlign w:val="center"/>
          </w:tcPr>
          <w:p>
            <w:pPr>
              <w:keepNext/>
              <w:jc w:val="center"/>
            </w:pPr>
            <w:r>
              <w:rPr>
                <w:rFonts w:hint="eastAsia"/>
                <w:b/>
                <w:sz w:val="21"/>
              </w:rPr>
              <w:t>事项</w:t>
            </w:r>
          </w:p>
        </w:tc>
        <w:tc>
          <w:tcPr>
            <w:tcW w:w="1500" w:type="pct"/>
            <w:tcBorders>
              <w:top w:val="single" w:sz="12" w:space="0" w:color="010000"/>
              <w:bottom w:val="single" w:sz="4" w:space="0" w:color="010000"/>
            </w:tcBorders>
            <w:vAlign w:val="center"/>
          </w:tcPr>
          <w:p>
            <w:pPr>
              <w:keepNext/>
              <w:jc w:val="center"/>
            </w:pPr>
            <w:r>
              <w:rPr>
                <w:rFonts w:hint="eastAsia"/>
                <w:b/>
                <w:sz w:val="21"/>
              </w:rPr>
              <w:t>金额</w:t>
            </w:r>
          </w:p>
        </w:tc>
      </w:tr>
      <w:tr>
        <w:trPr>
          <w:cantSplit/>
        </w:trPr>
        <w:tc>
          <w:tcPr>
            <w:tcW w:w="800" w:type="pct"/>
            <w:vAlign w:val="center"/>
          </w:tcPr>
          <w:p>
            <w:pPr>
              <w:keepNext/>
              <w:jc w:val="center"/>
            </w:pPr>
            <w:r>
              <w:rPr>
                <w:rFonts w:hint="eastAsia"/>
                <w:b w:val="0"/>
                <w:sz w:val="21"/>
              </w:rPr>
              <w:t>2021年8月</w:t>
            </w:r>
          </w:p>
        </w:tc>
        <w:tc>
          <w:tcPr>
            <w:tcW w:w="2700" w:type="pct"/>
            <w:vAlign w:val="center"/>
          </w:tcPr>
          <w:p>
            <w:pPr>
              <w:keepNext/>
              <w:jc w:val="left"/>
            </w:pPr>
            <w:r>
              <w:rPr>
                <w:rFonts w:hint="eastAsia"/>
                <w:b w:val="0"/>
                <w:sz w:val="21"/>
              </w:rPr>
              <w:t>与Stable Road Acquisition Corp完成SPAC合并，在纳斯达克上市</w:t>
            </w:r>
          </w:p>
        </w:tc>
        <w:tc>
          <w:tcPr>
            <w:tcW w:w="1500" w:type="pct"/>
            <w:vAlign w:val="center"/>
          </w:tcPr>
          <w:p>
            <w:pPr>
              <w:keepNext/>
              <w:jc w:val="left"/>
            </w:pPr>
            <w:r>
              <w:rPr>
                <w:rFonts w:hint="eastAsia"/>
                <w:b w:val="0"/>
                <w:sz w:val="21"/>
              </w:rPr>
              <w:t>未披露</w:t>
            </w:r>
          </w:p>
        </w:tc>
      </w:tr>
      <w:tr>
        <w:trPr>
          <w:cantSplit/>
        </w:trPr>
        <w:tc>
          <w:tcPr>
            <w:tcW w:w="800" w:type="pct"/>
            <w:tcBorders>
              <w:bottom w:val="single" w:sz="12" w:space="0" w:color="010000"/>
            </w:tcBorders>
            <w:vAlign w:val="center"/>
          </w:tcPr>
          <w:p>
            <w:pPr>
              <w:keepNext/>
              <w:jc w:val="center"/>
            </w:pPr>
            <w:r>
              <w:rPr>
                <w:rFonts w:hint="eastAsia"/>
                <w:b w:val="0"/>
                <w:sz w:val="21"/>
              </w:rPr>
              <w:t>2025年9月</w:t>
            </w:r>
          </w:p>
        </w:tc>
        <w:tc>
          <w:tcPr>
            <w:tcW w:w="2700" w:type="pct"/>
            <w:tcBorders>
              <w:bottom w:val="single" w:sz="12" w:space="0" w:color="010000"/>
            </w:tcBorders>
            <w:vAlign w:val="center"/>
          </w:tcPr>
          <w:p>
            <w:pPr>
              <w:keepNext/>
              <w:jc w:val="left"/>
            </w:pPr>
            <w:r>
              <w:rPr>
                <w:rFonts w:hint="eastAsia"/>
                <w:b w:val="0"/>
                <w:sz w:val="21"/>
              </w:rPr>
              <w:t>发行次级担保可转换债券，年利率8%，转股价19.92美元/股</w:t>
            </w:r>
          </w:p>
        </w:tc>
        <w:tc>
          <w:tcPr>
            <w:tcW w:w="1500" w:type="pct"/>
            <w:tcBorders>
              <w:bottom w:val="single" w:sz="12" w:space="0" w:color="010000"/>
            </w:tcBorders>
            <w:vAlign w:val="center"/>
          </w:tcPr>
          <w:p>
            <w:pPr>
              <w:keepNext/>
              <w:jc w:val="left"/>
            </w:pPr>
            <w:r>
              <w:rPr>
                <w:rFonts w:hint="eastAsia"/>
                <w:b w:val="0"/>
                <w:sz w:val="21"/>
              </w:rPr>
              <w:t>本金160万美元，实际取得约150万美元</w:t>
            </w:r>
          </w:p>
        </w:tc>
      </w:tr>
    </w:tbl>
    <w:p>
      <w:pPr>
        <w:pStyle w:val="004"/>
      </w:pPr>
      <w:r>
        <w:rPr>
          <w:rFonts w:hint="eastAsia"/>
          <w:b/>
        </w:rPr>
        <w:t>8、Astroscale（同行业公司，日本东京证券交易所上市）</w:t>
      </w:r>
    </w:p>
    <w:p>
      <w:pPr>
        <w:pStyle w:val="005"/>
      </w:pPr>
      <w:r>
        <w:rPr>
          <w:rFonts w:hint="eastAsia"/>
          <w:b w:val="0"/>
        </w:rPr>
        <w:t>Astroscale Holdings Inc.是日本空间在轨服务企业，以空间碎片清理起家，业务延伸至在轨延寿与在轨加注，2024年6月在东京证券交易所成长市场上市，证券代码186A。公司与日本宇宙航空研究开发机构、英国航天局、美国太空军签署总额上亿美元合同，其中美国太空军在轨加注合同金额2550万美元。2026年1月，公司与法国Exotrail建立战略合作，同年4月签订卫星离轨任务开发合同。公司会计年度为每年5月1日至次年4月30日。</w:t>
      </w:r>
    </w:p>
    <w:p>
      <w:pPr>
        <w:pStyle w:val="005"/>
      </w:pPr>
      <w:r>
        <w:rPr>
          <w:rFonts w:hint="eastAsia"/>
          <w:b w:val="0"/>
        </w:rPr>
        <w:t>Astroscale系无限宇航同行业公司，与无限宇航规划的在轨维修、在轨加注、碎片清理三条业务方向对应，其财务数据具有一定参考意义，最近四个会计年度财务数据如下：</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公司自2026年4月期起将延寿服务卫星首发星LEXI-P的开发费用资本化，计入费用的研发额较上一年度下降，为会计处理变化。2026年4月期研发费用75.34亿日元中，68.93亿日元为政府补助金项目的开发费用。</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4153"/>
        <w:gridCol w:w="4153"/>
      </w:tblGrid>
      <w:tr>
        <w:trPr>
          <w:cantSplit/>
          <w:tblHeader/>
        </w:trPr>
        <w:tc>
          <w:tcPr>
            <w:tcW w:w="1100" w:type="pct"/>
            <w:tcBorders>
              <w:top w:val="single" w:sz="12" w:space="0" w:color="010000"/>
              <w:bottom w:val="single" w:sz="4" w:space="0" w:color="010000"/>
            </w:tcBorders>
            <w:vAlign w:val="center"/>
          </w:tcPr>
          <w:p>
            <w:pPr>
              <w:keepNext/>
              <w:jc w:val="center"/>
            </w:pPr>
            <w:r>
              <w:rPr>
                <w:rFonts w:hint="eastAsia"/>
                <w:b/>
                <w:sz w:val="21"/>
              </w:rPr>
              <w:t>时间</w:t>
            </w:r>
          </w:p>
        </w:tc>
        <w:tc>
          <w:tcPr>
            <w:tcW w:w="3900" w:type="pct"/>
            <w:tcBorders>
              <w:top w:val="single" w:sz="12" w:space="0" w:color="010000"/>
              <w:bottom w:val="single" w:sz="4" w:space="0" w:color="010000"/>
            </w:tcBorders>
            <w:vAlign w:val="center"/>
          </w:tcPr>
          <w:p>
            <w:pPr>
              <w:keepNext/>
              <w:jc w:val="center"/>
            </w:pPr>
            <w:r>
              <w:rPr>
                <w:rFonts w:hint="eastAsia"/>
                <w:b/>
                <w:sz w:val="21"/>
              </w:rPr>
              <w:t>事项</w:t>
            </w:r>
          </w:p>
        </w:tc>
      </w:tr>
      <w:tr>
        <w:trPr>
          <w:cantSplit/>
        </w:trPr>
        <w:tc>
          <w:tcPr>
            <w:tcW w:w="1100" w:type="pct"/>
            <w:vAlign w:val="center"/>
          </w:tcPr>
          <w:p>
            <w:pPr>
              <w:keepNext/>
              <w:jc w:val="center"/>
            </w:pPr>
            <w:r>
              <w:rPr>
                <w:rFonts w:hint="eastAsia"/>
                <w:b w:val="0"/>
                <w:sz w:val="21"/>
              </w:rPr>
              <w:t>上市前</w:t>
            </w:r>
          </w:p>
        </w:tc>
        <w:tc>
          <w:tcPr>
            <w:tcW w:w="3900" w:type="pct"/>
            <w:vAlign w:val="center"/>
          </w:tcPr>
          <w:p>
            <w:pPr>
              <w:keepNext/>
              <w:jc w:val="left"/>
            </w:pPr>
            <w:r>
              <w:rPr>
                <w:rFonts w:hint="eastAsia"/>
                <w:b w:val="0"/>
                <w:sz w:val="21"/>
              </w:rPr>
              <w:t>完成A种至G种优先股多轮融资</w:t>
            </w:r>
          </w:p>
        </w:tc>
      </w:tr>
      <w:tr>
        <w:trPr>
          <w:cantSplit/>
        </w:trPr>
        <w:tc>
          <w:tcPr>
            <w:tcW w:w="1100" w:type="pct"/>
            <w:vAlign w:val="center"/>
          </w:tcPr>
          <w:p>
            <w:pPr>
              <w:keepNext/>
              <w:jc w:val="center"/>
            </w:pPr>
            <w:r>
              <w:rPr>
                <w:rFonts w:hint="eastAsia"/>
                <w:b w:val="0"/>
                <w:sz w:val="21"/>
              </w:rPr>
              <w:t>2024年6月</w:t>
            </w:r>
          </w:p>
        </w:tc>
        <w:tc>
          <w:tcPr>
            <w:tcW w:w="3900" w:type="pct"/>
            <w:vAlign w:val="center"/>
          </w:tcPr>
          <w:p>
            <w:pPr>
              <w:keepNext/>
              <w:jc w:val="left"/>
            </w:pPr>
            <w:r>
              <w:rPr>
                <w:rFonts w:hint="eastAsia"/>
                <w:b w:val="0"/>
                <w:sz w:val="21"/>
              </w:rPr>
              <w:t>在东京证券交易所成长市场上市，公开发行募集资金</w:t>
            </w:r>
          </w:p>
        </w:tc>
      </w:tr>
      <w:tr>
        <w:trPr>
          <w:cantSplit/>
        </w:trPr>
        <w:tc>
          <w:tcPr>
            <w:tcW w:w="1100" w:type="pct"/>
            <w:vAlign w:val="center"/>
          </w:tcPr>
          <w:p>
            <w:pPr>
              <w:keepNext/>
              <w:jc w:val="center"/>
            </w:pPr>
            <w:r>
              <w:rPr>
                <w:rFonts w:hint="eastAsia"/>
                <w:b w:val="0"/>
                <w:sz w:val="21"/>
              </w:rPr>
              <w:t>2025年5月</w:t>
            </w:r>
          </w:p>
        </w:tc>
        <w:tc>
          <w:tcPr>
            <w:tcW w:w="3900" w:type="pct"/>
            <w:vAlign w:val="center"/>
          </w:tcPr>
          <w:p>
            <w:pPr>
              <w:keepNext/>
              <w:jc w:val="left"/>
            </w:pPr>
            <w:r>
              <w:rPr>
                <w:rFonts w:hint="eastAsia"/>
                <w:b w:val="0"/>
                <w:sz w:val="21"/>
              </w:rPr>
              <w:t>实施海外公开发行</w:t>
            </w:r>
          </w:p>
        </w:tc>
      </w:tr>
      <w:tr>
        <w:trPr>
          <w:cantSplit/>
        </w:trPr>
        <w:tc>
          <w:tcPr>
            <w:tcW w:w="1100" w:type="pct"/>
            <w:tcBorders>
              <w:bottom w:val="single" w:sz="12" w:space="0" w:color="010000"/>
            </w:tcBorders>
            <w:vAlign w:val="center"/>
          </w:tcPr>
          <w:p>
            <w:pPr>
              <w:keepNext/>
              <w:jc w:val="center"/>
            </w:pPr>
            <w:r>
              <w:rPr>
                <w:rFonts w:hint="eastAsia"/>
                <w:b w:val="0"/>
                <w:sz w:val="21"/>
              </w:rPr>
              <w:t>2026年5月</w:t>
            </w:r>
          </w:p>
        </w:tc>
        <w:tc>
          <w:tcPr>
            <w:tcW w:w="3900" w:type="pct"/>
            <w:tcBorders>
              <w:bottom w:val="single" w:sz="12" w:space="0" w:color="010000"/>
            </w:tcBorders>
            <w:vAlign w:val="center"/>
          </w:tcPr>
          <w:p>
            <w:pPr>
              <w:keepNext/>
              <w:jc w:val="left"/>
            </w:pPr>
            <w:r>
              <w:rPr>
                <w:rFonts w:hint="eastAsia"/>
                <w:b w:val="0"/>
                <w:sz w:val="21"/>
              </w:rPr>
              <w:t>实施海外一般募集及第三方配售</w:t>
            </w:r>
          </w:p>
        </w:tc>
      </w:tr>
    </w:tbl>
    <w:p>
      <w:pPr>
        <w:pStyle w:val="004"/>
      </w:pPr>
      <w:r>
        <w:rPr>
          <w:rFonts w:hint="eastAsia"/>
          <w:b/>
        </w:rPr>
        <w:t>9、D-Orbit（同行业公司，意大利，未上市）</w:t>
      </w:r>
    </w:p>
    <w:p>
      <w:pPr>
        <w:pStyle w:val="005"/>
      </w:pPr>
      <w:r>
        <w:rPr>
          <w:rFonts w:hint="eastAsia"/>
          <w:b w:val="0"/>
        </w:rPr>
        <w:t>D-Orbit是意大利太空物流企业，核心产品ION飞行器采用模块化、可堆叠设计，提供发射入轨与在轨分发一站式服务，按部署卫星数量与轨道位置收费，深度绑定SpaceX的Transporter拼车任务。截至2026年4月，公司已执行22次轨道运输任务，累计部署141颗卫星、79台托管载荷，营业收入由2020年的123万美元增至2024年的1963万美元，年复合增长率99.9%。公司披露其服务可使卫星发射成本降低约40%，从发射到在轨运行的时间缩短85%。2025年，公司与意大利Planetek集团合并。</w:t>
      </w:r>
    </w:p>
    <w:p>
      <w:pPr>
        <w:pStyle w:val="005"/>
      </w:pPr>
      <w:r>
        <w:rPr>
          <w:rFonts w:hint="eastAsia"/>
          <w:b w:val="0"/>
        </w:rPr>
        <w:t>D-Orbit系无限宇航同行业公司，商业模式与无限宇航太空巴士一致，为该模式下全球任务次数最多、收入规模最大的企业，其融资节奏具有一定参考意义，具体情况如下：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时间</w:t>
            </w:r>
          </w:p>
        </w:tc>
        <w:tc>
          <w:tcPr>
            <w:tcW w:w="600" w:type="pct"/>
            <w:tcBorders>
              <w:top w:val="single" w:sz="12" w:space="0" w:color="010000"/>
              <w:bottom w:val="single" w:sz="4" w:space="0" w:color="010000"/>
            </w:tcBorders>
            <w:vAlign w:val="center"/>
          </w:tcPr>
          <w:p>
            <w:pPr>
              <w:keepNext/>
              <w:jc w:val="center"/>
            </w:pPr>
            <w:r>
              <w:rPr>
                <w:rFonts w:hint="eastAsia"/>
                <w:b/>
                <w:sz w:val="21"/>
              </w:rPr>
              <w:t>投前估值</w:t>
            </w:r>
          </w:p>
        </w:tc>
        <w:tc>
          <w:tcPr>
            <w:tcW w:w="220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14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00" w:type="pct"/>
            <w:vAlign w:val="center"/>
          </w:tcPr>
          <w:p>
            <w:pPr>
              <w:keepNext/>
              <w:jc w:val="center"/>
            </w:pPr>
            <w:r>
              <w:rPr>
                <w:rFonts w:hint="eastAsia"/>
                <w:b w:val="0"/>
                <w:sz w:val="21"/>
              </w:rPr>
              <w:t>2024年C轮</w:t>
            </w:r>
          </w:p>
        </w:tc>
        <w:tc>
          <w:tcPr>
            <w:tcW w:w="600" w:type="pct"/>
            <w:vAlign w:val="center"/>
          </w:tcPr>
          <w:p>
            <w:pPr>
              <w:keepNext/>
              <w:jc w:val="center"/>
            </w:pPr>
            <w:r>
              <w:rPr>
                <w:rFonts w:hint="eastAsia"/>
                <w:b w:val="0"/>
                <w:sz w:val="21"/>
              </w:rPr>
              <w:t>未披露</w:t>
            </w:r>
          </w:p>
        </w:tc>
        <w:tc>
          <w:tcPr>
            <w:tcW w:w="2200" w:type="pct"/>
            <w:vAlign w:val="center"/>
          </w:tcPr>
          <w:p>
            <w:pPr>
              <w:keepNext/>
              <w:jc w:val="left"/>
            </w:pPr>
            <w:r>
              <w:rPr>
                <w:rFonts w:hint="eastAsia"/>
                <w:b w:val="0"/>
                <w:sz w:val="21"/>
              </w:rPr>
              <w:t>1.68亿美元</w:t>
            </w:r>
          </w:p>
        </w:tc>
        <w:tc>
          <w:tcPr>
            <w:tcW w:w="1400" w:type="pct"/>
            <w:vAlign w:val="center"/>
          </w:tcPr>
          <w:p>
            <w:pPr>
              <w:keepNext/>
              <w:jc w:val="left"/>
            </w:pPr>
            <w:r>
              <w:rPr>
                <w:rFonts w:hint="eastAsia"/>
                <w:b w:val="0"/>
                <w:sz w:val="21"/>
              </w:rPr>
              <w:t>未披露</w:t>
            </w:r>
          </w:p>
        </w:tc>
      </w:tr>
      <w:tr>
        <w:trPr>
          <w:cantSplit/>
        </w:trPr>
        <w:tc>
          <w:tcPr>
            <w:tcW w:w="800" w:type="pct"/>
            <w:tcBorders>
              <w:bottom w:val="single" w:sz="12" w:space="0" w:color="010000"/>
            </w:tcBorders>
            <w:vAlign w:val="center"/>
          </w:tcPr>
          <w:p>
            <w:pPr>
              <w:keepNext/>
              <w:jc w:val="center"/>
            </w:pPr>
            <w:r>
              <w:rPr>
                <w:rFonts w:hint="eastAsia"/>
                <w:b w:val="0"/>
                <w:sz w:val="21"/>
              </w:rPr>
              <w:t>2026年1月D轮首笔</w:t>
            </w:r>
          </w:p>
        </w:tc>
        <w:tc>
          <w:tcPr>
            <w:tcW w:w="600" w:type="pct"/>
            <w:tcBorders>
              <w:bottom w:val="single" w:sz="12" w:space="0" w:color="010000"/>
            </w:tcBorders>
            <w:vAlign w:val="center"/>
          </w:tcPr>
          <w:p>
            <w:pPr>
              <w:keepNext/>
              <w:jc w:val="center"/>
            </w:pPr>
            <w:r>
              <w:rPr>
                <w:rFonts w:hint="eastAsia"/>
                <w:b w:val="0"/>
                <w:sz w:val="21"/>
              </w:rPr>
              <w:t>未披露</w:t>
            </w:r>
          </w:p>
        </w:tc>
        <w:tc>
          <w:tcPr>
            <w:tcW w:w="2200" w:type="pct"/>
            <w:tcBorders>
              <w:bottom w:val="single" w:sz="12" w:space="0" w:color="010000"/>
            </w:tcBorders>
            <w:vAlign w:val="center"/>
          </w:tcPr>
          <w:p>
            <w:pPr>
              <w:keepNext/>
              <w:jc w:val="left"/>
            </w:pPr>
            <w:r>
              <w:rPr>
                <w:rFonts w:hint="eastAsia"/>
                <w:b w:val="0"/>
                <w:sz w:val="21"/>
              </w:rPr>
              <w:t>1.28亿美元，其中5300万美元为新增融资、7500万美元为受让老股</w:t>
            </w:r>
          </w:p>
        </w:tc>
        <w:tc>
          <w:tcPr>
            <w:tcW w:w="1400" w:type="pct"/>
            <w:tcBorders>
              <w:bottom w:val="single" w:sz="12" w:space="0" w:color="010000"/>
            </w:tcBorders>
            <w:vAlign w:val="center"/>
          </w:tcPr>
          <w:p>
            <w:pPr>
              <w:keepNext/>
              <w:jc w:val="left"/>
            </w:pPr>
            <w:r>
              <w:rPr>
                <w:rFonts w:hint="eastAsia"/>
                <w:b w:val="0"/>
                <w:sz w:val="21"/>
              </w:rPr>
              <w:t>意大利Azimut集团</w:t>
            </w:r>
          </w:p>
        </w:tc>
      </w:tr>
    </w:tbl>
    <w:p>
      <w:pPr>
        <w:pStyle w:val="005"/>
      </w:pPr>
      <w:r>
        <w:rPr>
          <w:rFonts w:hint="eastAsia"/>
          <w:b w:val="0"/>
        </w:rPr>
        <w:t>公司累计融资金额存在三个来源口径：公司资料口径为3.3亿美元，PitchBook口径为4.08亿美元，CB Insights口径为3.0984亿美元。三者统计范围与截止时点不同，此处并列列示，未作合并或取平均。</w:t>
      </w:r>
    </w:p>
    <w:p>
      <w:pPr>
        <w:pStyle w:val="004"/>
      </w:pPr>
      <w:r>
        <w:rPr>
          <w:rFonts w:hint="eastAsia"/>
          <w:b/>
        </w:rPr>
        <w:t>10、Impulse Space（同行业公司，美国，未上市）</w:t>
      </w:r>
    </w:p>
    <w:p>
      <w:pPr>
        <w:pStyle w:val="005"/>
      </w:pPr>
      <w:r>
        <w:rPr>
          <w:rFonts w:hint="eastAsia"/>
          <w:b w:val="0"/>
        </w:rPr>
        <w:t>Impulse Space是美国轨道转移飞行器研制企业，由SpaceX创始成员汤姆·穆勒创立，主攻大推力化学推进路线。其Helios飞行器为高能上面级与轨道转移飞行器的融合产品，可在24小时之内将多个载荷从近地轨道送至地球静止轨道。公司于2023年首飞，截至2025年11月完成三次飞行任务，订单规模2亿美元。</w:t>
      </w:r>
    </w:p>
    <w:p>
      <w:pPr>
        <w:pStyle w:val="005"/>
      </w:pPr>
      <w:r>
        <w:rPr>
          <w:rFonts w:hint="eastAsia"/>
          <w:b w:val="0"/>
        </w:rPr>
        <w:t>Impulse Space系无限宇航同行业公司，技术路线与无限宇航一致，均以化学推进为主，其融资估值具有一定参考意义，具体情况如下：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1700" w:type="pct"/>
            <w:tcBorders>
              <w:top w:val="single" w:sz="12" w:space="0" w:color="010000"/>
              <w:bottom w:val="single" w:sz="4" w:space="0" w:color="010000"/>
            </w:tcBorders>
            <w:vAlign w:val="center"/>
          </w:tcPr>
          <w:p>
            <w:pPr>
              <w:keepNext/>
              <w:jc w:val="center"/>
            </w:pPr>
            <w:r>
              <w:rPr>
                <w:rFonts w:hint="eastAsia"/>
                <w:b/>
                <w:sz w:val="21"/>
              </w:rPr>
              <w:t>时间</w:t>
            </w:r>
          </w:p>
        </w:tc>
        <w:tc>
          <w:tcPr>
            <w:tcW w:w="1650" w:type="pct"/>
            <w:tcBorders>
              <w:top w:val="single" w:sz="12" w:space="0" w:color="010000"/>
              <w:bottom w:val="single" w:sz="4" w:space="0" w:color="010000"/>
            </w:tcBorders>
            <w:vAlign w:val="center"/>
          </w:tcPr>
          <w:p>
            <w:pPr>
              <w:keepNext/>
              <w:jc w:val="center"/>
            </w:pPr>
            <w:r>
              <w:rPr>
                <w:rFonts w:hint="eastAsia"/>
                <w:b/>
                <w:sz w:val="21"/>
              </w:rPr>
              <w:t>投前估值</w:t>
            </w:r>
          </w:p>
        </w:tc>
        <w:tc>
          <w:tcPr>
            <w:tcW w:w="1650" w:type="pct"/>
            <w:tcBorders>
              <w:top w:val="single" w:sz="12" w:space="0" w:color="010000"/>
              <w:bottom w:val="single" w:sz="4" w:space="0" w:color="010000"/>
            </w:tcBorders>
            <w:vAlign w:val="center"/>
          </w:tcPr>
          <w:p>
            <w:pPr>
              <w:keepNext/>
              <w:jc w:val="center"/>
            </w:pPr>
            <w:r>
              <w:rPr>
                <w:rFonts w:hint="eastAsia"/>
                <w:b/>
                <w:sz w:val="21"/>
              </w:rPr>
              <w:t>本次融资金额</w:t>
            </w:r>
          </w:p>
        </w:tc>
      </w:tr>
      <w:tr>
        <w:trPr>
          <w:cantSplit/>
        </w:trPr>
        <w:tc>
          <w:tcPr>
            <w:tcW w:w="1700" w:type="pct"/>
            <w:tcBorders>
              <w:bottom w:val="single" w:sz="12" w:space="0" w:color="010000"/>
            </w:tcBorders>
            <w:vAlign w:val="center"/>
          </w:tcPr>
          <w:p>
            <w:pPr>
              <w:keepNext/>
              <w:jc w:val="center"/>
            </w:pPr>
            <w:r>
              <w:rPr>
                <w:rFonts w:hint="eastAsia"/>
                <w:b w:val="0"/>
                <w:sz w:val="21"/>
              </w:rPr>
              <w:t>2026年D轮</w:t>
            </w:r>
          </w:p>
        </w:tc>
        <w:tc>
          <w:tcPr>
            <w:tcW w:w="1650" w:type="pct"/>
            <w:tcBorders>
              <w:bottom w:val="single" w:sz="12" w:space="0" w:color="010000"/>
            </w:tcBorders>
            <w:vAlign w:val="center"/>
          </w:tcPr>
          <w:p>
            <w:pPr>
              <w:keepNext/>
              <w:jc w:val="center"/>
            </w:pPr>
            <w:r>
              <w:rPr>
                <w:rFonts w:hint="eastAsia"/>
                <w:b w:val="0"/>
                <w:sz w:val="21"/>
              </w:rPr>
              <w:t>约37.6亿美元</w:t>
            </w:r>
          </w:p>
        </w:tc>
        <w:tc>
          <w:tcPr>
            <w:tcW w:w="1650" w:type="pct"/>
            <w:tcBorders>
              <w:bottom w:val="single" w:sz="12" w:space="0" w:color="010000"/>
            </w:tcBorders>
            <w:vAlign w:val="center"/>
          </w:tcPr>
          <w:p>
            <w:pPr>
              <w:keepNext/>
              <w:jc w:val="center"/>
            </w:pPr>
            <w:r>
              <w:rPr>
                <w:rFonts w:hint="eastAsia"/>
                <w:b w:val="0"/>
                <w:sz w:val="21"/>
              </w:rPr>
              <w:t>5亿美元</w:t>
            </w:r>
          </w:p>
        </w:tc>
      </w:tr>
    </w:tbl>
    <w:p>
      <w:pPr>
        <w:pStyle w:val="005"/>
      </w:pPr>
      <w:r>
        <w:rPr>
          <w:rFonts w:hint="eastAsia"/>
          <w:b w:val="0"/>
        </w:rPr>
        <w:t>公司本轮融资后估值42.6亿美元，扣除本次融资金额5亿美元，对应投前估值约37.6亿美元，为全球轨道转移飞行器企业已披露估值中的最高水平。</w:t>
      </w:r>
    </w:p>
    <w:p>
      <w:pPr>
        <w:pStyle w:val="004"/>
      </w:pPr>
      <w:r>
        <w:rPr>
          <w:rFonts w:hint="eastAsia"/>
          <w:b/>
        </w:rPr>
        <w:t>附：无限宇航融资与注册资本变更情况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由北京经济技术开发区变更至北京市海淀区。</w:t>
      </w:r>
    </w:p>
    <w:p>
      <w:pPr>
        <w:pStyle w:val="005"/>
      </w:pPr>
      <w:r>
        <w:rPr>
          <w:rFonts w:hint="eastAsia"/>
          <w:b w:val="0"/>
        </w:rPr>
        <w:t>公司累计融资五次，当前轮次为A轮，具体情况如下：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2024年12月股权转让</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未披露，交易股权4.76%</w:t>
            </w:r>
          </w:p>
        </w:tc>
        <w:tc>
          <w:tcPr>
            <w:tcW w:w="2500" w:type="pct"/>
            <w:vAlign w:val="center"/>
          </w:tcPr>
          <w:p>
            <w:pPr>
              <w:keepNext/>
              <w:jc w:val="left"/>
            </w:pPr>
            <w:r>
              <w:rPr>
                <w:rFonts w:hint="eastAsia"/>
                <w:b w:val="0"/>
                <w:sz w:val="21"/>
              </w:rPr>
              <w:t>广州市溪航科技（溪山天使会）</w:t>
            </w:r>
          </w:p>
        </w:tc>
      </w:tr>
      <w:tr>
        <w:trPr>
          <w:cantSplit/>
        </w:trPr>
        <w:tc>
          <w:tcPr>
            <w:tcW w:w="850" w:type="pct"/>
            <w:vAlign w:val="center"/>
          </w:tcPr>
          <w:p>
            <w:pPr>
              <w:keepNext/>
              <w:jc w:val="center"/>
            </w:pPr>
            <w:r>
              <w:rPr>
                <w:rFonts w:hint="eastAsia"/>
                <w:b w:val="0"/>
                <w:sz w:val="21"/>
              </w:rPr>
              <w:t>2025年3月天使轮</w:t>
            </w:r>
          </w:p>
        </w:tc>
        <w:tc>
          <w:tcPr>
            <w:tcW w:w="800" w:type="pct"/>
            <w:vAlign w:val="center"/>
          </w:tcPr>
          <w:p>
            <w:pPr>
              <w:keepNext/>
              <w:jc w:val="center"/>
            </w:pPr>
            <w:r>
              <w:rPr>
                <w:rFonts w:hint="eastAsia"/>
                <w:b w:val="0"/>
                <w:sz w:val="21"/>
              </w:rPr>
              <w:t>约1.8亿至2.9亿元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北京九合深宏（领投）、深圳英诺科技创新</w:t>
            </w:r>
          </w:p>
        </w:tc>
      </w:tr>
      <w:tr>
        <w:trPr>
          <w:cantSplit/>
        </w:trPr>
        <w:tc>
          <w:tcPr>
            <w:tcW w:w="850" w:type="pct"/>
            <w:vAlign w:val="center"/>
          </w:tcPr>
          <w:p>
            <w:pPr>
              <w:keepNext/>
              <w:jc w:val="center"/>
            </w:pPr>
            <w:r>
              <w:rPr>
                <w:rFonts w:hint="eastAsia"/>
                <w:b w:val="0"/>
                <w:sz w:val="21"/>
              </w:rPr>
              <w:t>2025年10月Pre-A轮</w:t>
            </w:r>
          </w:p>
        </w:tc>
        <w:tc>
          <w:tcPr>
            <w:tcW w:w="800" w:type="pct"/>
            <w:vAlign w:val="center"/>
          </w:tcPr>
          <w:p>
            <w:pPr>
              <w:keepNext/>
              <w:jc w:val="center"/>
            </w:pPr>
            <w:r>
              <w:rPr>
                <w:rFonts w:hint="eastAsia"/>
                <w:b w:val="0"/>
                <w:sz w:val="21"/>
              </w:rPr>
              <w:t>约1.9亿至3.1亿元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850" w:type="pct"/>
            <w:vAlign w:val="center"/>
          </w:tcPr>
          <w:p>
            <w:pPr>
              <w:keepNext/>
              <w:jc w:val="center"/>
            </w:pPr>
            <w:r>
              <w:rPr>
                <w:rFonts w:hint="eastAsia"/>
                <w:b w:val="0"/>
                <w:sz w:val="21"/>
              </w:rPr>
              <w:t>2026年1月Pre-A轮</w:t>
            </w:r>
          </w:p>
        </w:tc>
        <w:tc>
          <w:tcPr>
            <w:tcW w:w="800" w:type="pct"/>
            <w:vAlign w:val="center"/>
          </w:tcPr>
          <w:p>
            <w:pPr>
              <w:keepNext/>
              <w:jc w:val="center"/>
            </w:pPr>
            <w:r>
              <w:rPr>
                <w:rFonts w:hint="eastAsia"/>
                <w:b w:val="0"/>
                <w:sz w:val="21"/>
              </w:rPr>
              <w:t>未披露</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固安泽润新兴技术产业投资基金</w:t>
            </w:r>
          </w:p>
        </w:tc>
      </w:tr>
      <w:tr>
        <w:trPr>
          <w:cantSplit/>
        </w:trPr>
        <w:tc>
          <w:tcPr>
            <w:tcW w:w="850" w:type="pct"/>
            <w:tcBorders>
              <w:bottom w:val="single" w:sz="12" w:space="0" w:color="010000"/>
            </w:tcBorders>
            <w:vAlign w:val="center"/>
          </w:tcPr>
          <w:p>
            <w:pPr>
              <w:keepNext/>
              <w:jc w:val="center"/>
            </w:pPr>
            <w:r>
              <w:rPr>
                <w:rFonts w:hint="eastAsia"/>
                <w:b w:val="0"/>
                <w:sz w:val="21"/>
              </w:rPr>
              <w:t>2026年8月A轮</w:t>
            </w:r>
          </w:p>
        </w:tc>
        <w:tc>
          <w:tcPr>
            <w:tcW w:w="800" w:type="pct"/>
            <w:tcBorders>
              <w:bottom w:val="single" w:sz="12" w:space="0" w:color="010000"/>
            </w:tcBorders>
            <w:vAlign w:val="center"/>
          </w:tcPr>
          <w:p>
            <w:pPr>
              <w:keepNext/>
              <w:jc w:val="center"/>
            </w:pPr>
            <w:r>
              <w:rPr>
                <w:rFonts w:hint="eastAsia"/>
                <w:b w:val="0"/>
                <w:sz w:val="21"/>
              </w:rPr>
              <w:t>未披露</w:t>
            </w:r>
          </w:p>
        </w:tc>
        <w:tc>
          <w:tcPr>
            <w:tcW w:w="850" w:type="pct"/>
            <w:tcBorders>
              <w:bottom w:val="single" w:sz="12" w:space="0" w:color="010000"/>
            </w:tcBorders>
            <w:vAlign w:val="center"/>
          </w:tcPr>
          <w:p>
            <w:pPr>
              <w:keepNext/>
              <w:jc w:val="center"/>
            </w:pPr>
            <w:r>
              <w:rPr>
                <w:rFonts w:hint="eastAsia"/>
                <w:b w:val="0"/>
                <w:sz w:val="21"/>
              </w:rPr>
              <w:t>约亿元</w:t>
            </w:r>
          </w:p>
        </w:tc>
        <w:tc>
          <w:tcPr>
            <w:tcW w:w="25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005"/>
      </w:pPr>
      <w:r>
        <w:rPr>
          <w:rFonts w:hint="eastAsia"/>
          <w:b w:val="0"/>
        </w:rPr>
        <w:t>天使轮由2024年12月与2025年3月两次增资构成，新进股东合计持股14.5297%；Pre-A轮由2025年10月与2025年11月两次增资构成，新进股东合计持股13.7457%。两轮融资金额均披露为数千万元，按3000万元至5000万元区间测算投前估值。2026年8月A轮融资约亿元，工商变更手续尚在办理中。</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2023年9月至10月</w:t>
            </w:r>
          </w:p>
        </w:tc>
        <w:tc>
          <w:tcPr>
            <w:tcW w:w="1050" w:type="pct"/>
            <w:vAlign w:val="center"/>
          </w:tcPr>
          <w:p>
            <w:pPr>
              <w:keepNext/>
              <w:jc w:val="center"/>
            </w:pPr>
            <w:r>
              <w:rPr>
                <w:rFonts w:hint="eastAsia"/>
                <w:b w:val="0"/>
                <w:sz w:val="21"/>
              </w:rPr>
              <w:t>100→510.2041</w:t>
            </w:r>
          </w:p>
        </w:tc>
        <w:tc>
          <w:tcPr>
            <w:tcW w:w="2200" w:type="pct"/>
            <w:vAlign w:val="center"/>
          </w:tcPr>
          <w:p>
            <w:pPr>
              <w:keepNext/>
              <w:jc w:val="left"/>
            </w:pPr>
            <w:r>
              <w:rPr>
                <w:rFonts w:hint="eastAsia"/>
                <w:b w:val="0"/>
                <w:sz w:val="21"/>
              </w:rPr>
              <w:t>无为空间、无相空间、无界空间、何佳丽、霍甲</w:t>
            </w:r>
          </w:p>
        </w:tc>
        <w:tc>
          <w:tcPr>
            <w:tcW w:w="1000" w:type="pct"/>
            <w:vAlign w:val="center"/>
          </w:tcPr>
          <w:p>
            <w:pPr>
              <w:keepNext/>
              <w:jc w:val="center"/>
            </w:pPr>
            <w:r>
              <w:rPr>
                <w:rFonts w:hint="eastAsia"/>
                <w:b w:val="0"/>
                <w:sz w:val="21"/>
              </w:rPr>
              <w:t>51.0000%</w:t>
            </w:r>
          </w:p>
        </w:tc>
      </w:tr>
      <w:tr>
        <w:trPr>
          <w:cantSplit/>
        </w:trPr>
        <w:tc>
          <w:tcPr>
            <w:tcW w:w="750" w:type="pct"/>
            <w:vAlign w:val="center"/>
          </w:tcPr>
          <w:p>
            <w:pPr>
              <w:keepNext/>
              <w:jc w:val="center"/>
            </w:pPr>
            <w:r>
              <w:rPr>
                <w:rFonts w:hint="eastAsia"/>
                <w:b w:val="0"/>
                <w:sz w:val="21"/>
              </w:rPr>
              <w:t>2024年6月</w:t>
            </w:r>
          </w:p>
        </w:tc>
        <w:tc>
          <w:tcPr>
            <w:tcW w:w="1050" w:type="pct"/>
            <w:vAlign w:val="center"/>
          </w:tcPr>
          <w:p>
            <w:pPr>
              <w:keepNext/>
              <w:jc w:val="center"/>
            </w:pPr>
            <w:r>
              <w:rPr>
                <w:rFonts w:hint="eastAsia"/>
                <w:b w:val="0"/>
                <w:sz w:val="21"/>
              </w:rPr>
              <w:t>510.2041→535.7143</w:t>
            </w:r>
          </w:p>
        </w:tc>
        <w:tc>
          <w:tcPr>
            <w:tcW w:w="2200" w:type="pct"/>
            <w:vAlign w:val="center"/>
          </w:tcPr>
          <w:p>
            <w:pPr>
              <w:keepNext/>
              <w:jc w:val="left"/>
            </w:pPr>
            <w:r>
              <w:rPr>
                <w:rFonts w:hint="eastAsia"/>
                <w:b w:val="0"/>
                <w:sz w:val="21"/>
              </w:rPr>
              <w:t>广州溪航科技</w:t>
            </w:r>
          </w:p>
        </w:tc>
        <w:tc>
          <w:tcPr>
            <w:tcW w:w="1000" w:type="pct"/>
            <w:vAlign w:val="center"/>
          </w:tcPr>
          <w:p>
            <w:pPr>
              <w:keepNext/>
              <w:jc w:val="center"/>
            </w:pPr>
            <w:r>
              <w:rPr>
                <w:rFonts w:hint="eastAsia"/>
                <w:b w:val="0"/>
                <w:sz w:val="21"/>
              </w:rPr>
              <w:t>4.7619%</w:t>
            </w:r>
          </w:p>
        </w:tc>
      </w:tr>
      <w:tr>
        <w:trPr>
          <w:cantSplit/>
        </w:trPr>
        <w:tc>
          <w:tcPr>
            <w:tcW w:w="750" w:type="pct"/>
            <w:vAlign w:val="center"/>
          </w:tcPr>
          <w:p>
            <w:pPr>
              <w:keepNext/>
              <w:jc w:val="center"/>
            </w:pPr>
            <w:r>
              <w:rPr>
                <w:rFonts w:hint="eastAsia"/>
                <w:b w:val="0"/>
                <w:sz w:val="21"/>
              </w:rPr>
              <w:t>2024年12月</w:t>
            </w:r>
          </w:p>
        </w:tc>
        <w:tc>
          <w:tcPr>
            <w:tcW w:w="1050" w:type="pct"/>
            <w:vAlign w:val="center"/>
          </w:tcPr>
          <w:p>
            <w:pPr>
              <w:keepNext/>
              <w:jc w:val="center"/>
            </w:pPr>
            <w:r>
              <w:rPr>
                <w:rFonts w:hint="eastAsia"/>
                <w:b w:val="0"/>
                <w:sz w:val="21"/>
              </w:rPr>
              <w:t>535.7143→589.2857</w:t>
            </w:r>
          </w:p>
        </w:tc>
        <w:tc>
          <w:tcPr>
            <w:tcW w:w="2200" w:type="pct"/>
            <w:vAlign w:val="center"/>
          </w:tcPr>
          <w:p>
            <w:pPr>
              <w:keepNext/>
              <w:jc w:val="left"/>
            </w:pPr>
            <w:r>
              <w:rPr>
                <w:rFonts w:hint="eastAsia"/>
                <w:b w:val="0"/>
                <w:sz w:val="21"/>
              </w:rPr>
              <w:t>北京九合深宏</w:t>
            </w:r>
          </w:p>
        </w:tc>
        <w:tc>
          <w:tcPr>
            <w:tcW w:w="1000" w:type="pct"/>
            <w:vAlign w:val="center"/>
          </w:tcPr>
          <w:p>
            <w:pPr>
              <w:keepNext/>
              <w:jc w:val="center"/>
            </w:pPr>
            <w:r>
              <w:rPr>
                <w:rFonts w:hint="eastAsia"/>
                <w:b w:val="0"/>
                <w:sz w:val="21"/>
              </w:rPr>
              <w:t>9.0909%</w:t>
            </w:r>
          </w:p>
        </w:tc>
      </w:tr>
      <w:tr>
        <w:trPr>
          <w:cantSplit/>
        </w:trPr>
        <w:tc>
          <w:tcPr>
            <w:tcW w:w="750" w:type="pct"/>
            <w:vAlign w:val="center"/>
          </w:tcPr>
          <w:p>
            <w:pPr>
              <w:keepNext/>
              <w:jc w:val="center"/>
            </w:pPr>
            <w:r>
              <w:rPr>
                <w:rFonts w:hint="eastAsia"/>
                <w:b w:val="0"/>
                <w:sz w:val="21"/>
              </w:rPr>
              <w:t>2025年3月</w:t>
            </w:r>
          </w:p>
        </w:tc>
        <w:tc>
          <w:tcPr>
            <w:tcW w:w="1050" w:type="pct"/>
            <w:vAlign w:val="center"/>
          </w:tcPr>
          <w:p>
            <w:pPr>
              <w:keepNext/>
              <w:jc w:val="center"/>
            </w:pPr>
            <w:r>
              <w:rPr>
                <w:rFonts w:hint="eastAsia"/>
                <w:b w:val="0"/>
                <w:sz w:val="21"/>
              </w:rPr>
              <w:t>589.2857→626.7857</w:t>
            </w:r>
          </w:p>
        </w:tc>
        <w:tc>
          <w:tcPr>
            <w:tcW w:w="2200" w:type="pct"/>
            <w:vAlign w:val="center"/>
          </w:tcPr>
          <w:p>
            <w:pPr>
              <w:keepNext/>
              <w:jc w:val="left"/>
            </w:pPr>
            <w:r>
              <w:rPr>
                <w:rFonts w:hint="eastAsia"/>
                <w:b w:val="0"/>
                <w:sz w:val="21"/>
              </w:rPr>
              <w:t>深圳英诺科技创新</w:t>
            </w:r>
          </w:p>
        </w:tc>
        <w:tc>
          <w:tcPr>
            <w:tcW w:w="1000" w:type="pct"/>
            <w:vAlign w:val="center"/>
          </w:tcPr>
          <w:p>
            <w:pPr>
              <w:keepNext/>
              <w:jc w:val="center"/>
            </w:pPr>
            <w:r>
              <w:rPr>
                <w:rFonts w:hint="eastAsia"/>
                <w:b w:val="0"/>
                <w:sz w:val="21"/>
              </w:rPr>
              <w:t>5.9829%</w:t>
            </w:r>
          </w:p>
        </w:tc>
      </w:tr>
      <w:tr>
        <w:trPr>
          <w:cantSplit/>
        </w:trPr>
        <w:tc>
          <w:tcPr>
            <w:tcW w:w="750" w:type="pct"/>
            <w:vAlign w:val="center"/>
          </w:tcPr>
          <w:p>
            <w:pPr>
              <w:keepNext/>
              <w:jc w:val="center"/>
            </w:pPr>
            <w:r>
              <w:rPr>
                <w:rFonts w:hint="eastAsia"/>
                <w:b w:val="0"/>
                <w:sz w:val="21"/>
              </w:rPr>
              <w:t>2025年10月</w:t>
            </w:r>
          </w:p>
        </w:tc>
        <w:tc>
          <w:tcPr>
            <w:tcW w:w="1050" w:type="pct"/>
            <w:vAlign w:val="center"/>
          </w:tcPr>
          <w:p>
            <w:pPr>
              <w:keepNext/>
              <w:jc w:val="center"/>
            </w:pPr>
            <w:r>
              <w:rPr>
                <w:rFonts w:hint="eastAsia"/>
                <w:b w:val="0"/>
                <w:sz w:val="21"/>
              </w:rPr>
              <w:t>626.7857→683.7663</w:t>
            </w:r>
          </w:p>
        </w:tc>
        <w:tc>
          <w:tcPr>
            <w:tcW w:w="2200" w:type="pct"/>
            <w:vAlign w:val="center"/>
          </w:tcPr>
          <w:p>
            <w:pPr>
              <w:keepNext/>
              <w:jc w:val="left"/>
            </w:pPr>
            <w:r>
              <w:rPr>
                <w:rFonts w:hint="eastAsia"/>
                <w:b w:val="0"/>
                <w:sz w:val="21"/>
              </w:rPr>
              <w:t>台州守仁共创、深圳红灰十一号、深圳中小担创投</w:t>
            </w:r>
          </w:p>
        </w:tc>
        <w:tc>
          <w:tcPr>
            <w:tcW w:w="1000" w:type="pct"/>
            <w:vAlign w:val="center"/>
          </w:tcPr>
          <w:p>
            <w:pPr>
              <w:keepNext/>
              <w:jc w:val="center"/>
            </w:pPr>
            <w:r>
              <w:rPr>
                <w:rFonts w:hint="eastAsia"/>
                <w:b w:val="0"/>
                <w:sz w:val="21"/>
              </w:rPr>
              <w:t>8.3333%</w:t>
            </w:r>
          </w:p>
        </w:tc>
      </w:tr>
      <w:tr>
        <w:trPr>
          <w:cantSplit/>
        </w:trPr>
        <w:tc>
          <w:tcPr>
            <w:tcW w:w="750" w:type="pct"/>
            <w:vAlign w:val="center"/>
          </w:tcPr>
          <w:p>
            <w:pPr>
              <w:keepNext/>
              <w:jc w:val="center"/>
            </w:pPr>
            <w:r>
              <w:rPr>
                <w:rFonts w:hint="eastAsia"/>
                <w:b w:val="0"/>
                <w:sz w:val="21"/>
              </w:rPr>
              <w:t>2025年11月</w:t>
            </w:r>
          </w:p>
        </w:tc>
        <w:tc>
          <w:tcPr>
            <w:tcW w:w="1050" w:type="pct"/>
            <w:vAlign w:val="center"/>
          </w:tcPr>
          <w:p>
            <w:pPr>
              <w:keepNext/>
              <w:jc w:val="center"/>
            </w:pPr>
            <w:r>
              <w:rPr>
                <w:rFonts w:hint="eastAsia"/>
                <w:b w:val="0"/>
                <w:sz w:val="21"/>
              </w:rPr>
              <w:t>683.7663→726.6726</w:t>
            </w:r>
          </w:p>
        </w:tc>
        <w:tc>
          <w:tcPr>
            <w:tcW w:w="2200" w:type="pct"/>
            <w:vAlign w:val="center"/>
          </w:tcPr>
          <w:p>
            <w:pPr>
              <w:keepNext/>
              <w:jc w:val="left"/>
            </w:pPr>
            <w:r>
              <w:rPr>
                <w:rFonts w:hint="eastAsia"/>
                <w:b w:val="0"/>
                <w:sz w:val="21"/>
              </w:rPr>
              <w:t>天使共赢二号、深圳市天使二号、湖州南浔启真</w:t>
            </w:r>
          </w:p>
        </w:tc>
        <w:tc>
          <w:tcPr>
            <w:tcW w:w="1000" w:type="pct"/>
            <w:vAlign w:val="center"/>
          </w:tcPr>
          <w:p>
            <w:pPr>
              <w:keepNext/>
              <w:jc w:val="center"/>
            </w:pPr>
            <w:r>
              <w:rPr>
                <w:rFonts w:hint="eastAsia"/>
                <w:b w:val="0"/>
                <w:sz w:val="21"/>
              </w:rPr>
              <w:t>5.9044%</w:t>
            </w:r>
          </w:p>
        </w:tc>
      </w:tr>
      <w:tr>
        <w:trPr>
          <w:cantSplit/>
        </w:trPr>
        <w:tc>
          <w:tcPr>
            <w:tcW w:w="750" w:type="pct"/>
            <w:tcBorders>
              <w:bottom w:val="single" w:sz="12" w:space="0" w:color="010000"/>
            </w:tcBorders>
            <w:vAlign w:val="center"/>
          </w:tcPr>
          <w:p>
            <w:pPr>
              <w:keepNext/>
              <w:jc w:val="center"/>
            </w:pPr>
            <w:r>
              <w:rPr>
                <w:rFonts w:hint="eastAsia"/>
                <w:b w:val="0"/>
                <w:sz w:val="21"/>
              </w:rPr>
              <w:t>2026年1月</w:t>
            </w:r>
          </w:p>
        </w:tc>
        <w:tc>
          <w:tcPr>
            <w:tcW w:w="1050" w:type="pct"/>
            <w:tcBorders>
              <w:bottom w:val="single" w:sz="12" w:space="0" w:color="010000"/>
            </w:tcBorders>
            <w:vAlign w:val="center"/>
          </w:tcPr>
          <w:p>
            <w:pPr>
              <w:keepNext/>
              <w:jc w:val="center"/>
            </w:pPr>
            <w:r>
              <w:rPr>
                <w:rFonts w:hint="eastAsia"/>
                <w:b w:val="0"/>
                <w:sz w:val="21"/>
              </w:rPr>
              <w:t>726.6726→739.6027</w:t>
            </w:r>
          </w:p>
        </w:tc>
        <w:tc>
          <w:tcPr>
            <w:tcW w:w="2200" w:type="pct"/>
            <w:tcBorders>
              <w:bottom w:val="single" w:sz="12" w:space="0" w:color="010000"/>
            </w:tcBorders>
            <w:vAlign w:val="center"/>
          </w:tcPr>
          <w:p>
            <w:pPr>
              <w:keepNext/>
              <w:jc w:val="left"/>
            </w:pPr>
            <w:r>
              <w:rPr>
                <w:rFonts w:hint="eastAsia"/>
                <w:b w:val="0"/>
                <w:sz w:val="21"/>
              </w:rPr>
              <w:t>厉延琳、刘建奇、固安泽润</w:t>
            </w:r>
          </w:p>
        </w:tc>
        <w:tc>
          <w:tcPr>
            <w:tcW w:w="1000" w:type="pct"/>
            <w:tcBorders>
              <w:bottom w:val="single" w:sz="12" w:space="0" w:color="010000"/>
            </w:tcBorders>
            <w:vAlign w:val="center"/>
          </w:tcPr>
          <w:p>
            <w:pPr>
              <w:keepNext/>
              <w:jc w:val="center"/>
            </w:pPr>
            <w:r>
              <w:rPr>
                <w:rFonts w:hint="eastAsia"/>
                <w:b w:val="0"/>
                <w:sz w:val="21"/>
              </w:rPr>
              <w:t>1.7482%</w:t>
            </w:r>
          </w:p>
        </w:tc>
      </w:tr>
    </w:tbl>
    <w:p>
      <w:pPr>
        <w:pStyle w:val="005"/>
      </w:pPr>
      <w:r>
        <w:rPr>
          <w:rFonts w:hint="eastAsia"/>
          <w:b w:val="0"/>
        </w:rPr>
        <w:t>2023年9月至10月的三次增资为创始团队与员工持股平台搭建，五方按最终注册资本510.2041万元计算合计持股51.0000%，同期李健持股49%。2026年1月增资的新进方含两名自然人。</w:t>
      </w:r>
    </w:p>
    <w:p>
      <w:pPr>
        <w:pStyle w:val="004"/>
      </w:pPr>
      <w:r>
        <w:rPr>
          <w:rFonts w:hint="eastAsia"/>
          <w:b/>
        </w:rPr>
        <w:t>资料来源与口径说明</w:t>
      </w:r>
    </w:p>
    <w:p>
      <w:pPr>
        <w:pStyle w:val="005"/>
      </w:pPr>
      <w:r>
        <w:rPr>
          <w:rFonts w:hint="eastAsia"/>
          <w:b w:val="0"/>
        </w:rPr>
        <w:t>一、国内公司的成立日期、注册资本、实缴资本、股东持股比例、注册资本变更记录、参保人数、招投标记录，取自企查查企业信用报告专业版，报告生成日期为2026年8月27日。</w:t>
      </w:r>
    </w:p>
    <w:p>
      <w:pPr>
        <w:pStyle w:val="005"/>
      </w:pPr>
      <w:r>
        <w:rPr>
          <w:rFonts w:hint="eastAsia"/>
          <w:b w:val="0"/>
        </w:rPr>
        <w:t>二、投前估值的测算方法为：投前估值等于本次融资金额除以本轮新进股东合计持股比例，再减去本次融资金额。该方法假设本轮为纯增资，且新进股东出资全部计入本次注册资本增加额；存在增资与老股转让并行的情形时，测算结果会低估估值。凡以该方法得出的数值，文中均已注明测算依据。</w:t>
      </w:r>
    </w:p>
    <w:p>
      <w:pPr>
        <w:pStyle w:val="005"/>
      </w:pPr>
      <w:r>
        <w:rPr>
          <w:rFonts w:hint="eastAsia"/>
          <w:b w:val="0"/>
        </w:rPr>
        <w:t>三、Momentus财务数据取自其年度报告（Form 10-K，FY2025及FY2023），为经审计合并利润表数据。Astroscale财务数据取自其有価証券報告書（第八期、第六期），为国际财务报告准则合并数据；其会计年度为5月1日至次年4月30日，与国内公司的自然年口径不同，未作换算或合并。</w:t>
      </w:r>
    </w:p>
    <w:p>
      <w:pPr>
        <w:pStyle w:val="005"/>
      </w:pPr>
      <w:r>
        <w:rPr>
          <w:rFonts w:hint="eastAsia"/>
          <w:b w:val="0"/>
        </w:rPr>
        <w:t>四、D-Orbit与Impulse Space的经营及融资数据取自公开报道，未经审计。</w:t>
      </w:r>
    </w:p>
    <w:p>
      <w:pPr>
        <w:pStyle w:val="005"/>
      </w:pPr>
      <w:r>
        <w:rPr>
          <w:rFonts w:hint="eastAsia"/>
          <w:b w:val="0"/>
        </w:rPr>
        <w:t>五、未来宇航的估值取自公司2026年4月产品发布会期间的对外表述。</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