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按此测算平均单价约2,000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因而直接转化为本环节的需求增长，人形机器人的产业化进程构成本环节最主要的成长来源。</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在连续作业的岗位上，购置一台人形机器人的一次性投入已低于雇佣一名工人一年的支出，机器替代人工开始具备经济性。成本的持续下行同时打开了此前因价格门槛而无法覆盖的场景，可经济性替代的岗位范围随之扩大，构成本行业长期增长的基础。</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执行器领域尚未出现类似汽车发动机供应商的专业角色，行业仍处于前模块化阶段。整机厂商选择自研，主要是因为可选供应商有限、需要自行把控成本与性能、保护知识产权并加快迭代，并非长期的战略偏好。整机厂商目前也难以给出供应商投入大规模研发与工装所需的长期采购量承诺。自研格局因此会延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产业价值中心的迁移可分为三个阶段：2025年以前为技术验证阶段，价值集中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尚未锁定的窗口期以价格争夺早期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