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10</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公司的经营范围则同时覆盖金属与非金属两条材料路线，密封件制造、特种陶瓷制品制造与金属制品制造均在列。</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pStyle w:val="a0"/>
      </w:pPr>
      <w:r>
        <w:rPr>
          <w:rFonts w:hint="eastAsia"/>
        </w:rPr>
        <w:t>是否需要定期更换，决定该零部件属于耗材还是长周期件，进而决定其收入是一次性装机收入还是重复性替换收入。</w:t>
      </w:r>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keepNext/>
        <w:jc w:val="center"/>
      </w:pPr>
      <w:r>
        <w:rPr>
          <w:rFonts w:hint="eastAsia"/>
          <w:b/>
          <w:sz w:val="21"/>
        </w:rPr>
        <w:t>表4  机械类零部件按材质划分的技术难点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bl>
    <w:p>
      <w:pPr>
        <w:pStyle w:val="a6"/>
        <w:jc w:val="center"/>
      </w:pPr>
      <w:r>
        <w:rPr>
          <w:rFonts w:hint="eastAsia"/>
          <w:sz w:val="11"/>
          <w:szCs w:val="11"/>
        </w:rPr>
        <w:t>资料来源：托伦斯招股说明书（注册稿），本报告整理。注：末列系本报告按材料属性对应，公司实际采用的材料以当面确认为准。</w:t>
      </w:r>
    </w:p>
    <w:p>
      <w:pPr>
        <w:pStyle w:val="a0"/>
      </w:pPr>
      <w:r>
        <w:rPr>
          <w:rFonts w:hint="eastAsia"/>
        </w:rPr>
        <w:t>原材料的可获得性与价格公允性是这一环节的固有难点。非金属零部件的原材料多通过委托加工定制与成品采购取得，主要供应商为境外企业且多数规模较小，既无市场公开报价，也无可比公司披露的同类采购价格可供对照。</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包含精密机械加工、焊接、表面处理三类核心工艺。这类产品精度高、批量小、多品种、尺寸特殊，一件产品往往要同时满足强度、抗腐蚀、电子特性、电磁特性、材料纯度等多项要求，设计与制造横跨材料、机械、物理、电子、精密仪器几个学科。</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无锡金源属于哪一类，尚不能判定。</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66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471"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66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471"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667"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bl>
    <w:p>
      <w:pPr>
        <w:pStyle w:val="a6"/>
        <w:jc w:val="center"/>
      </w:pPr>
      <w:r>
        <w:rPr>
          <w:rFonts w:hint="eastAsia"/>
          <w:sz w:val="11"/>
          <w:szCs w:val="11"/>
        </w:rPr>
        <w:t>资料来源：臻宝科技招股说明书（注册稿），本报告整理。注：两个品类的数据发布机构均为QY Research（QYR）。半导体用密封件品类目前无独立的公开市场规模统计，本报告不列示该品类的规模数据。</w:t>
      </w:r>
    </w:p>
    <w:p>
      <w:pPr>
        <w:pStyle w:val="a0"/>
      </w:pPr>
      <w:r>
        <w:rPr>
          <w:rFonts w:hint="eastAsia"/>
        </w:rPr>
        <w:t>材质决定寿命。碳化硅气体分配盘导热性好、抗等离子体腐蚀能力强于硅和石英，使用寿命是硅气体分配盘的2至4倍，设备的工作在线率也随之提高。</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从各品类的国产化程度看，越靠近工艺反应、对材料与精度要求越高的部件，国产化率越低。机械类中的简单结构件国产化率较高、国内企业已进入国际市场，而高端产品仍未突破；仪器仪表类与光学类的高端产品则基本未国产化。</w:t>
      </w:r>
    </w:p>
    <w:p>
      <w:pPr>
        <w:pStyle w:val="a0"/>
      </w:pPr>
      <w:r>
        <w:rPr>
          <w:rFonts w:hint="eastAsia"/>
        </w:rPr>
        <w:t>无锡金源的两条核心产品线正处在这条曲线的低位。刻蚀设备用气体分配盘国内尚无稳定量产企业，半导体陶瓷加热器国产化率不足10%、具备稳定量产能力的企业较少。但行业本身的增速并不高：按QY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综合毛利率取决于各产品线的材质与收入结构。</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单一产品的毛利率波动幅度大于公司整体，且同一品类在不同厂商之间差距很大。五家可比公司中，托伦斯与先锋精科按单品披露了毛利率，富创精密未作单品拆分。与无锡金源两条核心产品线直接对应的是匀气盘（气体分布盘）与加热器。</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keepNext/>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产品含匀气盘与加热器，与两条核心产品线直接对应，且按单品披露毛利率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刻蚀用硅电极即硅气体分配盘，与精密气体喷头功能相同、材料路线不同；四轮问询下的产销勾稽与能耗核查颗粒度为五家样本中最细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以下各节的体例是：先列交易所问了什么，再列中介机构调取了哪些材料作答。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回复方式以调取台账和量化测算为主，三家的做法各有侧重。臻宝科技第二轮回复列明核查程序九项，包括查阅仓库管理和成本核算制度，获取废料台账与产成品明细并测算利用边角料生产的产品数量与材料成本，获取报废产品明细与材料更换涉及的产品清单并对良率变动作量化分析，获取物料清单与实际投入产出关系比对，以及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的共同点在于，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以复核测算逻辑，获取募投项目可行性研究报告与经济效益测算表，查阅下游行业研究报告与主要厂商资本开支计划，查阅可比公司及下游主要客户的定期报告，获取在手订单以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第四轮问询可以说明核查深度。交易所列出报告期各期按重量与按长度计算的两套产销比，2016年至2019年1—6月按重量口径分别为103.05%、96.58%、90.56%、54.12%，按长度口径分别为99.37%、90.41%、94.66%、59.71%，要求从定性和定量两方面说明差异原因及合理性。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把五家企业公开回复中调取的材料按关注点归并，可以看到同一类问题在不同企业、不同年份的核查落点高度一致。下表右列为这些材料在企业日常经营中的对应记录，系依据中列内容归纳。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各表末列标注该公司与无锡金源在产业链上的位置关系，关系判断依据为产品在设备中的功能位置，不涉及双方是否已存在业务往来。</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公司未披露产品的材料牌号与工艺路线。材料属性直接决定毛利率区间：2025年非金属路线的珂玛科技53.94%、臻宝科技49.85%，金属路线的先锋精科29.02%、托伦斯27.14%、富创精密24.94%。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主要数据来源与口径说明</w:t>
      </w:r>
      <w:bookmarkEnd w:id="1032"/>
    </w:p>
    <w:p>
      <w:pPr>
        <w:pStyle w:val="a0"/>
      </w:pPr>
      <w:r>
        <w:rPr>
          <w:rFonts w:hint="eastAsia"/>
        </w:rPr>
        <w:t>行业数据来自弗若斯特沙利文、QY Research、IC World等机构的统计，经臻宝科技与托伦斯招股说明书列示；可比公司经营与财务数据来自各公司定期报告与Wind整理成果；审核关注要点来自五家样本企业的问询函回复与落实函回复；标的公司信息来自企业信用信息公示与公司官网。各表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