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图4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4" name="Picture 4"/>
            <wp:cNvGraphicFramePr>
              <a:graphicFrameLocks noChangeAspect="1"/>
            </wp:cNvGraphicFramePr>
            <a:graphic>
              <a:graphicData uri="http://schemas.openxmlformats.org/drawingml/2006/picture">
                <pic:pic>
                  <pic:nvPicPr>
                    <pic:cNvPr id="0" name="fig5.png"/>
                    <pic:cNvPicPr/>
                  </pic:nvPicPr>
                  <pic:blipFill>
                    <a:blip r:embed="rId39"/>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从产业阶段看，觅途咨询将2025年界定为人形机器人小批量产元年、2026年为规模量产元年。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觅途咨询将产业价值中心的迁移划分为三个阶段：2025年以前为技术验证阶段，价值中心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公司自2019年设立以来聚焦机器人一体化关节模组及谐波减速机等核心零部件。据公司产品手册及官网，其关节模组产品中，面向人形机器人的系列已形成R48、R58、R68、R83、R102、R120和R120 Max，按关节部位分别对应头颈、肩肘腕及腰部、髋部及腿部；在此之外另设面向工业场景的模组系列，人形机器人用系列的峰值扭矩覆盖3.8牛米至576牛米。减速器占执行器成本的30%至50%，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据公司官网，公司拥有12,000平方米研制基地，已取得授权发明专利15项、授权实用新型专利11项和软件著作权4项。公司为高新技术企业、江苏省重点智能制造企业和2025年江苏省专精特新中小企业，2021年获批无锡市高寿命高精度谐波减速机重点实验室，已取得ISO 9001:2015质量管理体系认证，“机器人一体化智能动力关节”产品入选《江苏省重点推广应用的新技术新产品目录（2025年）》；公司先后获高工金球奖、2024年度人形机器人核心驱动奖、机器人一体化关节标杆奖和2026年度具身智能关节性能突破奖等行业奖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