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④中发邢台生产经营所使用土地涉及四宗宗地，权属均登记在燕京啤酒（邢台）有限公司名下，详见本节4、土地收购。同业竞争的解决方案需与土地权属整合统筹安排。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同时改变两个层面的股权结构。中发邢台层面，燕京啤酒持有的67.00%股权转由发行人持有，与发行人原已持有的33.00%合并，中发邢台由发行人的参股公司变为全资子公司，纳入合并报表范围。发行人层面，由于对价系发行人向燕京啤酒定向增发自身股权，发行人的注册资本相应增加，燕京啤酒因取得新增股权而持股比例上升，燕京集团及食品发酵研究院未参与本次出资、持股比例被动稀释，但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尽调了解并经查验权属证书，该生产基地共涉及四宗宗地、四本权属证书，证载面积合计181,900.00平方米（折合272.85亩），四宗宗地的权利人均为燕京啤酒（邢台）有限公司，中发邢台不拥有该等土地的使用权。四宗宗地的权属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折合面积分别为70.00亩、97.85亩、47.65亩及57.35亩，坐落依次为张相村东北（邢临路南侧、三河路东侧）、邢临高速南侧（岗头村地西侧）、南和区和鼎路东侧（东吕高速以南，不动产单元号130527008001GB00022W00000000）及南和区河郭镇张相村东（不动产单元号130527008001JB00084W00000000）。经复核宗地图界址点坐标，宗地一、三、四自西向东相邻连片，宗地四呈L形环抱宗地三的东侧及北侧；宗地二未附界址点坐标表，其与其余宗地的位置关系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关于权利人主体。四宗宗地的权利人燕京啤酒（邢台）有限公司系独立法人，与发行人控股股东北京燕京啤酒股份有限公司并非同一主体，且未在发行人及中发邢台报告期内各期财务报表及尽调资料中出现。</w:t>
      </w:r>
      <w:commentRangeStart w:id="0"/>
      <w:r>
        <w:rPr>
          <w:rFonts w:hint="eastAsia" w:ascii="Times New Roman" w:hAnsi="Times New Roman" w:cs="Times New Roman"/>
        </w:rPr>
        <w:t xml:space="preserve">该主体的股权结构、实际控制人及其与燕京啤酒、北控集团的股权关系尚待核实，该事项直接影响本次土地交易的关联关系认定、国资监管层级及交易方式的适用，属本节首要待核事项。</w:t>
      </w:r>
      <w:commentRangeEnd w:id="0"/>
      <w:r>
        <w:rPr>
          <w:rStyle w:val="CommentReference"/>
        </w:rPr>
        <w:commentReference w:id="0"/>
      </w:r>
      <w:r>
        <w:rPr>
          <w:rFonts w:hint="eastAsia" w:ascii="Times New Roman" w:hAnsi="Times New Roman" w:cs="Times New Roman"/>
        </w:rPr>
        <w:t xml:space="preserve">此外，权利人名称在权属证书正文与宗地图上存在三种表述，分别为燕京啤酒（邢台）有限公司、燕京（邢台）啤酒有限公司及邢台燕京啤酒有限公司，需以工商登记及不动产登记簿记载为准予以统一。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形式。宗地三、宗地四已于2025年换发不动产权证书；宗地一、宗地二仍为2013年、2015年由南和县人民政府颁发的《国有土地使用证》，尚未换发，且发证机关名称与现行行政区划（南和区）不一致。按照不动产统一登记的要求，该两宗宗地在办理转移登记前通常需先行换发不动产权证书，该环节应作为交易的前置程序纳入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的权属性质及用途。宗地四的权利类型为集体建设用地使用权、权利性质为批准拨用，即该宗土地属农民集体所有，不属于国有土地，亦非国有划拨用地，其权利来源与前三宗出让取得的国有建设用地存在本质差异。同时，该宗地的证载用途为工业用地，与公司说明的主要用作污水处理设施的实际用途不一致，其实际使用状况、地上建（构）筑物的建设手续及环保验收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他人名下的土地上建造并持有房屋建筑物及在建工程，形成房、地权属分离的状态。中发邢台的厂房及在建工程具体坐落于上述哪几宗宗地之上，需与建设用地规划许可证、建设工程规划许可证及施工许可证逐一比对确认，据以最终确定本次收购的必要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厂房钢结构检测鉴定费、岩土工程勘察费、建筑消防安全评估费、航拍服务费及冻干机设备预付款等，通过其他应收款—单位、预付账款科目核算。上述事项反映各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纳豆生产厂房及在建工程均坐落于上述宗地之上，若上市主体（含拟纳入合并范围的中发邢台）不拥有该等土地的使用权，将影响对资产完整性的判断并形成对关联方的依赖，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对手方身份、关联交易及国资程序。本次交易的出让方为燕京啤酒（邢台）有限公司而非发行人控股股东本身，其与发行人的关联关系需在核实该主体股权结构后认定：如其系燕京啤酒或北控集团控制的企业，则本次交易构成关联交易，且属于同一国家出资企业体系内部的资产转让，可依据《企业国有资产交易监督管理办法》（国务院国资委、财政部令第32号）论证采取非公开协议方式的可行性；如其不属于上述体系，则本次交易应按市场化交易安排，定价、决策及审批路径均需另行论证。无论何种情形，交易标的涉及国有资产的，均须以经备案的评估结果作为定价基础并履行相应的内部决策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出让用地的使用权转让涉及土地增值税、增值税及附加、契税、印花税及企业所得税，其中土地增值税采用四级超率累进税率，与评估增值幅度直接相关，是本次交易税费的主要构成，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宗地四的处置路径与前三宗存在本质差异。宗地四为集体建设用地，不属于国有土地，其流转适用《中华人民共和国土地管理法》关于集体经营性建设用地的规定，须符合国土空间规划确定的用途、依法完成登记，并经本集体经济组织成员的村民会议三分之二以上成员或者三分之二以上村民代表同意；该宗地系以批准拨用方式取得，能否入市流转存在进一步限制。与国有划拨用地可通过补缴出让金转为出让用地后转让相比，集体建设用地的流转周期更长、不确定性更高。考虑到该宗地主要用作污水处理配套设施、不承载主要生产经营，其对资产完整性的影响程度低于前三宗，可在核实实际使用状况后另行确定处理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邢台）有限公司购入其实际占用的国有出让土地使用权，实现房、地权属统一，并与本节3、同业竞争项下的股权重组统筹推进。考虑到四宗宗地的权属性质不同，建议区分处理：宗地一、宗地二、宗地三为出让取得的国有建设用地，合计143,665.00平方米（折合215.50亩），承载纳豆生产厂房及在建工程，属于必须解决的核心资产，纳入本次收购范围；宗地四为集体建设用地，主要用作污水处理配套设施，流转程序复杂且不承载主要生产经营，是否纳入收购范围待核实后另行确定。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核实交易对手方主体情况。取得燕京啤酒（邢台）有限公司的营业执照、公司章程及股权结构穿透资料，确认其股东、实际控制人及其与燕京啤酒、燕京集团、北控集团的股权关系，据以认定本次交易是否构成关联交易、是否属于国有资产交易以及适用的国资监管层级；同时核实该主体的历史名称变更情况，统一权属证书、宗地图与工商登记之间的名称表述。该项工作是确定后续全部程序的前提，建议优先启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完成权属核实及旧证换发。逐宗核对四本权属证书记载的权利人、宗地编号、四至范围、证载面积、土地用途、取得方式及使用期限，并调取不动产登记簿核实是否存在抵押、查封等权利限制；核实中发邢台的实际占用范围与证载范围是否一致，是否存在超占或与其他主体混用，并将厂房及在建工程与各宗宗地逐一对应。宗地一、宗地二仍为旧版《国有土地使用证》，应先行向不动产登记机构申请换发不动产权证书，该环节需纳入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确定收购范围及与股权重组的衔接。交易标的为宗地一、宗地二、宗地三的国有建设用地使用权及地上附着物（如有），受让方为中发邢台。建议先完成土地权属过户，再实施发行人对中发邢台的股权收购，使注入上市主体的中发邢台已实现房、地权属统一；若两项交易难以先后进行，亦可同步交割，但需在协议中明确交割条件的先后顺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履行定价、审批程序及税费测算。聘请具有证券期货相关业务资格的评估机构出具土地评估报告；如经核实本次交易属于国有资产交易，须完成国资备案并以经备案的评估值作为定价依据，履行双方内部决策及相应层级的国资审批程序，燕京啤酒作为A股上市公司在涉及其体系内资产处置时同步履行审议及披露程序。税费方面，出让方需缴纳土地增值税、增值税及附加、企业所得税，受让方需按成交价格缴纳契税，双方就产权转移书据分别缴纳印花税；建议在取得评估结果后测算税费总额并在协议中明确承担方式，同时就是否可适用企业改制重组有关土地增值税、契税优惠政策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过户、办证及款项清理。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对发行人为中发邢台代垫、代付的各项费用及设备款进行梳理，补充签署书面协议、完善审批手续，并在申报基准日前完成结清，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宗地四的处理及过渡期安排。宗地四待核实实际使用状况后确定处理方式：如其地上确为污水处理配套设施，建议不纳入本次收购范围，由中发邢台与权利人签署书面协议，明确设施的使用方式、期限及费用分担并按公允价格定价，同时核查设施的建设手续及环保验收是否完备，并就该宗地未纳入上市主体对生产经营的影响作出说明；如其地上实际承载生产经营功能，则须论证集体经营性建设用地入市或长期租赁的可行性。此外，若前三宗宗地的过户在申报基准日前无法完成，建议先由双方签署书面的土地及厂房租赁协议并办理租赁备案，明确租金定价依据及公允性，并取得权利人及燕京啤酒出具的承诺函，承诺保障中发邢台持续、稳定使用该等土地并在约定期限内完成权属转移。租赁属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1T05:37:00Z" w:initials="YJ">
    <w:p w14:paraId="2674CD05" w14:textId="77777777">
      <w:pPr>
        <w:pStyle w:val="CommentText"/>
      </w:pPr>
      <w:r>
        <w:rPr>
          <w:rStyle w:val="CommentReference"/>
        </w:rPr>
        <w:annotationRef/>
      </w:r>
      <w:r>
        <w:rPr>
          <w:rFonts w:hint="eastAsia" w:ascii="Times New Roman" w:hAnsi="Times New Roman" w:eastAsia="宋体"/>
          <w:color w:val="000000"/>
          <w:sz w:val="20"/>
          <w:szCs w:val="20"/>
        </w:rPr>
        <w:t xml:space="preserve">四本权属证书已取得并经查验，本节据此改写。尚待核实的首要事项为权利人燕京啤酒（邢台）有限公司的主体情况：该公司系独立法人，与发行人控股股东北京燕京啤酒股份有限公司并非同一主体，且未在报告期内各期财务报表及已提供的尽调资料中出现，其股权结构、实际控制人及其与燕京啤酒、北控集团的股权关系均不明。该事项决定本次土地交易是否构成关联交易、是否属于国有资产交易、适用的国资监管层级，以及能否依据32号令采取非公开协议方式，需取得其营业执照、公司章程及股权穿透资料后据以复核本节（2）③及（3）①至④。此外，权利人名称在证书正文与宗地图上有燕京啤酒（邢台）有限公司、燕京（邢台）啤酒有限公司、邢台燕京啤酒有限公司三种表述，需以工商登记及不动产登记簿为准统一。</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74CD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DF27F43" w16cex:dateUtc="2026-08-21T05: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74CD05" w16cid:durableId="5DF27F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