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widowControl/>
        <w:spacing w:before="156" w:after="156" w:line="360" w:lineRule="auto"/>
        <w:jc w:val="center"/>
      </w:pPr>
      <w:r>
        <w:rPr>
          <w:rFonts w:ascii="宋体" w:hAnsi="宋体" w:cs="宋体" w:eastAsia="宋体" w:hint="eastAsia"/>
          <w:b/>
          <w:sz w:val="36"/>
        </w:rPr>
        <w:t>北京燕京中发生物技术有限公司主板上市财务指标测算</w:t>
      </w:r>
    </w:p>
    <w:sdt>
      <w:sdtPr>
        <w:id w:val="-1457872018"/>
        <w:docPartObj>
          <w:docPartGallery w:val="Table of Contents"/>
          <w:docPartUnique/>
        </w:docPartObj>
      </w:sdtPr>
      <w:sdtContent>
        <w:p>
          <w:pPr>
            <w:pStyle w:val="TOC"/>
            <w:spacing w:before="156" w:after="156" w:line="360" w:lineRule="auto"/>
            <w:rPr>
              <w:rFonts w:eastAsia="宋体"/>
              <w:b/>
              <w:color w:val="000000"/>
              <w:sz w:val="28"/>
              <w:szCs w:val="28"/>
            </w:rPr>
          </w:pPr>
          <w:r>
            <w:rPr>
              <w:rFonts w:eastAsia="宋体" w:hint="eastAsia"/>
              <w:b/>
              <w:color w:val="000000"/>
              <w:sz w:val="28"/>
              <w:szCs w:val="28"/>
            </w:rPr>
            <w:t>目录</w:t>
          </w:r>
        </w:p>
        <w:p>
          <w:pPr>
            <w:pStyle w:val="TOC1"/>
            <w:tabs>
              <w:tab w:val="right" w:leader="dot" w:pos="8299"/>
            </w:tabs>
            <w:spacing w:line="360" w:lineRule="auto"/>
            <w:rPr>
              <w:noProof/>
              <w:sz w:val="24"/>
              <w:szCs w:val="24"/>
            </w:rPr>
          </w:pPr>
          <w:r>
            <w:rPr>
              <w:sz w:val="24"/>
              <w:szCs w:val="24"/>
            </w:rPr>
            <w:fldChar w:fldCharType="begin"/>
          </w:r>
          <w:r>
            <w:rPr>
              <w:sz w:val="24"/>
              <w:szCs w:val="24"/>
            </w:rPr>
            <w:instrText xml:space="preserve"> TOC \o "1-3" \h \z \u </w:instrText>
          </w:r>
          <w:r>
            <w:rPr>
              <w:sz w:val="24"/>
              <w:szCs w:val="24"/>
            </w:rPr>
            <w:fldChar w:fldCharType="separate"/>
          </w:r>
          <w:hyperlink w:anchor="_Toc900000" w:history="1">
            <w:r>
              <w:rPr>
                <w:rStyle w:val="a5"/>
                <w:bCs w:val="0"/>
                <w:noProof/>
                <w:sz w:val="24"/>
                <w:szCs w:val="24"/>
              </w:rPr>
              <w:t xml:space="preserve">一、 主板上市的财务指标要求</w:t>
            </w:r>
            <w:r>
              <w:rPr>
                <w:webHidden/>
                <w:noProof/>
                <w:sz w:val="24"/>
                <w:szCs w:val="24"/>
              </w:rPr>
              <w:tab/>
            </w:r>
            <w:r>
              <w:rPr>
                <w:webHidden/>
                <w:noProof/>
                <w:sz w:val="24"/>
                <w:szCs w:val="24"/>
              </w:rPr>
              <w:fldChar w:fldCharType="begin"/>
            </w:r>
            <w:r>
              <w:rPr>
                <w:webHidden/>
                <w:noProof/>
                <w:sz w:val="24"/>
                <w:szCs w:val="24"/>
              </w:rPr>
              <w:instrText xml:space="preserve"> PAGEREF _Toc900000 \h </w:instrText>
            </w:r>
            <w:r>
              <w:rPr>
                <w:webHidden/>
                <w:noProof/>
                <w:sz w:val="24"/>
                <w:szCs w:val="24"/>
              </w:rPr>
              <w:fldChar w:fldCharType="separate"/>
            </w:r>
            <w:r>
              <w:rPr>
                <w:webHidden/>
                <w:noProof/>
                <w:sz w:val="24"/>
                <w:szCs w:val="24"/>
              </w:rPr>
              <w:t>2</w:t>
            </w:r>
            <w:r>
              <w:rPr>
                <w:webHidden/>
                <w:noProof/>
                <w:sz w:val="24"/>
                <w:szCs w:val="24"/>
              </w:rPr>
              <w:fldChar w:fldCharType="end"/>
            </w:r>
          </w:hyperlink>
        </w:p>
        <w:p>
          <w:pPr>
            <w:pStyle w:val="TOC1"/>
            <w:tabs>
              <w:tab w:val="right" w:leader="dot" w:pos="8299"/>
            </w:tabs>
            <w:spacing w:line="360" w:lineRule="auto"/>
            <w:rPr>
              <w:noProof/>
              <w:sz w:val="24"/>
              <w:szCs w:val="24"/>
            </w:rPr>
          </w:pPr>
          <w:hyperlink w:anchor="_Toc900001" w:history="1">
            <w:r>
              <w:rPr>
                <w:rStyle w:val="a5"/>
                <w:bCs w:val="0"/>
                <w:noProof/>
                <w:sz w:val="24"/>
                <w:szCs w:val="24"/>
              </w:rPr>
              <w:t xml:space="preserve">二、 发行人财务数据及比对</w:t>
            </w:r>
            <w:r>
              <w:rPr>
                <w:webHidden/>
                <w:noProof/>
                <w:sz w:val="24"/>
                <w:szCs w:val="24"/>
              </w:rPr>
              <w:tab/>
            </w:r>
            <w:r>
              <w:rPr>
                <w:webHidden/>
                <w:noProof/>
                <w:sz w:val="24"/>
                <w:szCs w:val="24"/>
              </w:rPr>
              <w:fldChar w:fldCharType="begin"/>
            </w:r>
            <w:r>
              <w:rPr>
                <w:webHidden/>
                <w:noProof/>
                <w:sz w:val="24"/>
                <w:szCs w:val="24"/>
              </w:rPr>
              <w:instrText xml:space="preserve"> PAGEREF _Toc900001 \h </w:instrText>
            </w:r>
            <w:r>
              <w:rPr>
                <w:webHidden/>
                <w:noProof/>
                <w:sz w:val="24"/>
                <w:szCs w:val="24"/>
              </w:rPr>
              <w:fldChar w:fldCharType="separate"/>
            </w:r>
            <w:r>
              <w:rPr>
                <w:webHidden/>
                <w:noProof/>
                <w:sz w:val="24"/>
                <w:szCs w:val="24"/>
              </w:rPr>
              <w:t>2</w:t>
            </w:r>
            <w:r>
              <w:rPr>
                <w:webHidden/>
                <w:noProof/>
                <w:sz w:val="24"/>
                <w:szCs w:val="24"/>
              </w:rPr>
              <w:fldChar w:fldCharType="end"/>
            </w:r>
          </w:hyperlink>
        </w:p>
        <w:p>
          <w:pPr>
            <w:pStyle w:val="TOC1"/>
            <w:tabs>
              <w:tab w:val="right" w:leader="dot" w:pos="8299"/>
            </w:tabs>
            <w:spacing w:line="360" w:lineRule="auto"/>
            <w:rPr>
              <w:noProof/>
              <w:sz w:val="24"/>
              <w:szCs w:val="24"/>
            </w:rPr>
          </w:pPr>
          <w:hyperlink w:anchor="_Toc900002" w:history="1">
            <w:r>
              <w:rPr>
                <w:rStyle w:val="a5"/>
                <w:bCs w:val="0"/>
                <w:noProof/>
                <w:sz w:val="24"/>
                <w:szCs w:val="24"/>
              </w:rPr>
              <w:t xml:space="preserve">三、 按公司战略规划数据的模拟测算</w:t>
            </w:r>
            <w:r>
              <w:rPr>
                <w:webHidden/>
                <w:noProof/>
                <w:sz w:val="24"/>
                <w:szCs w:val="24"/>
              </w:rPr>
              <w:tab/>
            </w:r>
            <w:r>
              <w:rPr>
                <w:webHidden/>
                <w:noProof/>
                <w:sz w:val="24"/>
                <w:szCs w:val="24"/>
              </w:rPr>
              <w:fldChar w:fldCharType="begin"/>
            </w:r>
            <w:r>
              <w:rPr>
                <w:webHidden/>
                <w:noProof/>
                <w:sz w:val="24"/>
                <w:szCs w:val="24"/>
              </w:rPr>
              <w:instrText xml:space="preserve"> PAGEREF _Toc900002 \h </w:instrText>
            </w:r>
            <w:r>
              <w:rPr>
                <w:webHidden/>
                <w:noProof/>
                <w:sz w:val="24"/>
                <w:szCs w:val="24"/>
              </w:rPr>
              <w:fldChar w:fldCharType="separate"/>
            </w:r>
            <w:r>
              <w:rPr>
                <w:webHidden/>
                <w:noProof/>
                <w:sz w:val="24"/>
                <w:szCs w:val="24"/>
              </w:rPr>
              <w:t>3</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3" w:history="1">
            <w:r>
              <w:rPr>
                <w:rStyle w:val="a5"/>
                <w:rFonts w:eastAsia="宋体" w:cs="宋体"/>
                <w:bCs/>
                <w:noProof/>
                <w:sz w:val="24"/>
                <w:szCs w:val="24"/>
              </w:rPr>
              <w:t xml:space="preserve">3.1 规划数据及口径说明</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_Toc900003 \h </w:instrText>
            </w:r>
            <w:r>
              <w:rPr>
                <w:rFonts w:eastAsia="宋体"/>
                <w:webHidden/>
                <w:noProof/>
                <w:sz w:val="24"/>
                <w:szCs w:val="24"/>
              </w:rPr>
              <w:fldChar w:fldCharType="separate"/>
            </w:r>
            <w:r>
              <w:rPr>
                <w:rFonts w:eastAsia="宋体"/>
                <w:webHidden/>
                <w:noProof/>
                <w:sz w:val="24"/>
                <w:szCs w:val="24"/>
              </w:rPr>
              <w:t>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4" w:history="1">
            <w:r>
              <w:rPr>
                <w:rStyle w:val="a5"/>
                <w:rFonts w:eastAsia="宋体" w:cs="宋体"/>
                <w:bCs/>
                <w:noProof/>
                <w:sz w:val="24"/>
                <w:szCs w:val="24"/>
              </w:rPr>
              <w:t xml:space="preserve">3.2 滚动三年测算</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_Toc900004 \h </w:instrText>
            </w:r>
            <w:r>
              <w:rPr>
                <w:rFonts w:eastAsia="宋体"/>
                <w:webHidden/>
                <w:noProof/>
                <w:sz w:val="24"/>
                <w:szCs w:val="24"/>
              </w:rPr>
              <w:fldChar w:fldCharType="separate"/>
            </w:r>
            <w:r>
              <w:rPr>
                <w:rFonts w:eastAsia="宋体"/>
                <w:webHidden/>
                <w:noProof/>
                <w:sz w:val="24"/>
                <w:szCs w:val="24"/>
              </w:rPr>
              <w:t>4</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05" w:history="1">
            <w:r>
              <w:rPr>
                <w:rStyle w:val="a5"/>
                <w:bCs w:val="0"/>
                <w:noProof/>
                <w:sz w:val="24"/>
                <w:szCs w:val="24"/>
              </w:rPr>
              <w:t xml:space="preserve">四、 主板重组上市的路径</w:t>
            </w:r>
            <w:r>
              <w:rPr>
                <w:webHidden/>
                <w:noProof/>
                <w:sz w:val="24"/>
                <w:szCs w:val="24"/>
              </w:rPr>
              <w:tab/>
            </w:r>
            <w:r>
              <w:rPr>
                <w:webHidden/>
                <w:noProof/>
                <w:sz w:val="24"/>
                <w:szCs w:val="24"/>
              </w:rPr>
              <w:fldChar w:fldCharType="begin"/>
            </w:r>
            <w:r>
              <w:rPr>
                <w:webHidden/>
                <w:noProof/>
                <w:sz w:val="24"/>
                <w:szCs w:val="24"/>
              </w:rPr>
              <w:instrText xml:space="preserve"> PAGEREF _Toc900005 \h </w:instrText>
            </w:r>
            <w:r>
              <w:rPr>
                <w:webHidden/>
                <w:noProof/>
                <w:sz w:val="24"/>
                <w:szCs w:val="24"/>
              </w:rPr>
              <w:fldChar w:fldCharType="separate"/>
            </w:r>
            <w:r>
              <w:rPr>
                <w:webHidden/>
                <w:noProof/>
                <w:sz w:val="24"/>
                <w:szCs w:val="24"/>
              </w:rPr>
              <w:t>5</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6" w:history="1">
            <w:r>
              <w:rPr>
                <w:rStyle w:val="a5"/>
                <w:rFonts w:eastAsia="宋体" w:cs="宋体"/>
                <w:bCs/>
                <w:noProof/>
                <w:sz w:val="24"/>
                <w:szCs w:val="24"/>
              </w:rPr>
              <w:t xml:space="preserve">4.1 重组上市的认定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_Toc900006 \h </w:instrText>
            </w:r>
            <w:r>
              <w:rPr>
                <w:rFonts w:eastAsia="宋体"/>
                <w:webHidden/>
                <w:noProof/>
                <w:sz w:val="24"/>
                <w:szCs w:val="24"/>
              </w:rPr>
              <w:fldChar w:fldCharType="separate"/>
            </w:r>
            <w:r>
              <w:rPr>
                <w:rFonts w:eastAsia="宋体"/>
                <w:webHidden/>
                <w:noProof/>
                <w:sz w:val="24"/>
                <w:szCs w:val="24"/>
              </w:rPr>
              <w:t>5</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7" w:history="1">
            <w:r>
              <w:rPr>
                <w:rStyle w:val="a5"/>
                <w:rFonts w:eastAsia="宋体" w:cs="宋体"/>
                <w:bCs/>
                <w:noProof/>
                <w:sz w:val="24"/>
                <w:szCs w:val="24"/>
              </w:rPr>
              <w:t xml:space="preserve">4.2 标的资产的财务条件</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_Toc900007 \h </w:instrText>
            </w:r>
            <w:r>
              <w:rPr>
                <w:rFonts w:eastAsia="宋体"/>
                <w:webHidden/>
                <w:noProof/>
                <w:sz w:val="24"/>
                <w:szCs w:val="24"/>
              </w:rPr>
              <w:fldChar w:fldCharType="separate"/>
            </w:r>
            <w:r>
              <w:rPr>
                <w:rFonts w:eastAsia="宋体"/>
                <w:webHidden/>
                <w:noProof/>
                <w:sz w:val="24"/>
                <w:szCs w:val="24"/>
              </w:rPr>
              <w:t>5</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8" w:history="1">
            <w:r>
              <w:rPr>
                <w:rStyle w:val="a5"/>
                <w:rFonts w:eastAsia="宋体" w:cs="宋体"/>
                <w:bCs/>
                <w:noProof/>
                <w:sz w:val="24"/>
                <w:szCs w:val="24"/>
              </w:rPr>
              <w:t xml:space="preserve">4.3 交易结构方面的因素</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_Toc900008 \h </w:instrText>
            </w:r>
            <w:r>
              <w:rPr>
                <w:rFonts w:eastAsia="宋体"/>
                <w:webHidden/>
                <w:noProof/>
                <w:sz w:val="24"/>
                <w:szCs w:val="24"/>
              </w:rPr>
              <w:fldChar w:fldCharType="separate"/>
            </w:r>
            <w:r>
              <w:rPr>
                <w:rFonts w:eastAsia="宋体"/>
                <w:webHidden/>
                <w:noProof/>
                <w:sz w:val="24"/>
                <w:szCs w:val="24"/>
              </w:rPr>
              <w:t>6</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09" w:history="1">
            <w:r>
              <w:rPr>
                <w:rStyle w:val="a5"/>
                <w:bCs w:val="0"/>
                <w:noProof/>
                <w:sz w:val="24"/>
                <w:szCs w:val="24"/>
              </w:rPr>
              <w:t xml:space="preserve">五、 其他板块财务指标对照</w:t>
            </w:r>
            <w:r>
              <w:rPr>
                <w:webHidden/>
                <w:noProof/>
                <w:sz w:val="24"/>
                <w:szCs w:val="24"/>
              </w:rPr>
              <w:tab/>
            </w:r>
            <w:r>
              <w:rPr>
                <w:webHidden/>
                <w:noProof/>
                <w:sz w:val="24"/>
                <w:szCs w:val="24"/>
              </w:rPr>
              <w:fldChar w:fldCharType="begin"/>
            </w:r>
            <w:r>
              <w:rPr>
                <w:webHidden/>
                <w:noProof/>
                <w:sz w:val="24"/>
                <w:szCs w:val="24"/>
              </w:rPr>
              <w:instrText xml:space="preserve"> PAGEREF _Toc900009 \h </w:instrText>
            </w:r>
            <w:r>
              <w:rPr>
                <w:webHidden/>
                <w:noProof/>
                <w:sz w:val="24"/>
                <w:szCs w:val="24"/>
              </w:rPr>
              <w:fldChar w:fldCharType="separate"/>
            </w:r>
            <w:r>
              <w:rPr>
                <w:webHidden/>
                <w:noProof/>
                <w:sz w:val="24"/>
                <w:szCs w:val="24"/>
              </w:rPr>
              <w:t>6</w:t>
            </w:r>
            <w:r>
              <w:rPr>
                <w:webHidden/>
                <w:noProof/>
                <w:sz w:val="24"/>
                <w:szCs w:val="24"/>
              </w:rPr>
              <w:fldChar w:fldCharType="end"/>
            </w:r>
          </w:hyperlink>
        </w:p>
        <w:p>
          <w:pPr>
            <w:pStyle w:val="11"/>
            <w:ind w:firstLine="0"/>
          </w:pPr>
          <w:r>
            <w:rPr>
              <w:sz w:val="24"/>
              <w:szCs w:val="24"/>
            </w:rPr>
            <w:fldChar w:fldCharType="end"/>
          </w:r>
        </w:p>
      </w:sdtContent>
    </w:sdt>
    <w:p>
      <w:pPr>
        <w:pStyle w:val="2"/>
        <w:spacing w:before="156" w:after="156"/>
      </w:pPr>
      <w:bookmarkStart w:id="1000" w:name="_Toc900000"/>
      <w:r>
        <w:rPr>
          <w:rFonts w:hint="eastAsia"/>
          <w:b/>
        </w:rPr>
        <w:t>主板上市的财务指标要求</w:t>
      </w:r>
      <w:bookmarkEnd w:id="1000"/>
    </w:p>
    <w:p>
      <w:pPr>
        <w:pStyle w:val="a0"/>
      </w:pPr>
      <w:r>
        <w:rPr>
          <w:rFonts w:hint="eastAsia"/>
        </w:rPr>
        <w:t>主板上市的财务指标共三套，符合其中一套即可。具体要求如下表。</w:t>
      </w:r>
    </w:p>
    <w:p>
      <w:pPr>
        <w:keepNext/>
        <w:jc w:val="center"/>
      </w:pPr>
      <w:r>
        <w:rPr>
          <w:rFonts w:hint="eastAsia"/>
          <w:b/>
          <w:sz w:val="21"/>
        </w:rPr>
        <w:t>表1：主板上市的三套财务指标</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450" w:type="pct"/>
            <w:tcBorders>
              <w:top w:val="single" w:sz="12" w:space="0" w:color="010000"/>
              <w:bottom w:val="single" w:sz="4" w:space="0" w:color="010000"/>
            </w:tcBorders>
            <w:vAlign w:val="center"/>
          </w:tcPr>
          <w:p>
            <w:pPr>
              <w:keepNext/>
              <w:jc w:val="center"/>
            </w:pPr>
            <w:r/>
            <w:r>
              <w:rPr>
                <w:rFonts w:hint="eastAsia"/>
                <w:b/>
                <w:color w:val="000000"/>
                <w:sz w:val="21"/>
              </w:rPr>
              <w:t>标准</w:t>
            </w:r>
          </w:p>
        </w:tc>
        <w:tc>
          <w:tcPr>
            <w:tcW w:w="700" w:type="pct"/>
            <w:tcBorders>
              <w:top w:val="single" w:sz="12" w:space="0" w:color="010000"/>
              <w:bottom w:val="single" w:sz="4" w:space="0" w:color="010000"/>
            </w:tcBorders>
            <w:vAlign w:val="center"/>
          </w:tcPr>
          <w:p>
            <w:pPr>
              <w:keepNext/>
              <w:jc w:val="center"/>
            </w:pPr>
            <w:r/>
            <w:r>
              <w:rPr>
                <w:rFonts w:hint="eastAsia"/>
                <w:b/>
                <w:color w:val="000000"/>
                <w:sz w:val="21"/>
              </w:rPr>
              <w:t>预计市值</w:t>
            </w:r>
          </w:p>
        </w:tc>
        <w:tc>
          <w:tcPr>
            <w:tcW w:w="1400" w:type="pct"/>
            <w:tcBorders>
              <w:top w:val="single" w:sz="12" w:space="0" w:color="010000"/>
              <w:bottom w:val="single" w:sz="4" w:space="0" w:color="010000"/>
            </w:tcBorders>
            <w:vAlign w:val="center"/>
          </w:tcPr>
          <w:p>
            <w:pPr>
              <w:keepNext/>
              <w:jc w:val="center"/>
            </w:pPr>
            <w:r/>
            <w:r>
              <w:rPr>
                <w:rFonts w:hint="eastAsia"/>
                <w:b/>
                <w:color w:val="000000"/>
                <w:sz w:val="21"/>
              </w:rPr>
              <w:t>净利润</w:t>
            </w:r>
          </w:p>
        </w:tc>
        <w:tc>
          <w:tcPr>
            <w:tcW w:w="1250" w:type="pct"/>
            <w:tcBorders>
              <w:top w:val="single" w:sz="12" w:space="0" w:color="010000"/>
              <w:bottom w:val="single" w:sz="4" w:space="0" w:color="010000"/>
            </w:tcBorders>
            <w:vAlign w:val="center"/>
          </w:tcPr>
          <w:p>
            <w:pPr>
              <w:keepNext/>
              <w:jc w:val="center"/>
            </w:pPr>
            <w:r/>
            <w:r>
              <w:rPr>
                <w:rFonts w:hint="eastAsia"/>
                <w:b/>
                <w:color w:val="000000"/>
                <w:sz w:val="21"/>
              </w:rPr>
              <w:t>营业收入</w:t>
            </w:r>
          </w:p>
        </w:tc>
        <w:tc>
          <w:tcPr>
            <w:tcW w:w="1200" w:type="pct"/>
            <w:tcBorders>
              <w:top w:val="single" w:sz="12" w:space="0" w:color="010000"/>
              <w:bottom w:val="single" w:sz="4" w:space="0" w:color="010000"/>
            </w:tcBorders>
            <w:vAlign w:val="center"/>
          </w:tcPr>
          <w:p>
            <w:pPr>
              <w:keepNext/>
              <w:jc w:val="center"/>
            </w:pPr>
            <w:r/>
            <w:r>
              <w:rPr>
                <w:rFonts w:hint="eastAsia"/>
                <w:b/>
                <w:color w:val="000000"/>
                <w:sz w:val="21"/>
              </w:rPr>
              <w:t>经营活动产生的现金流量净额</w:t>
            </w:r>
          </w:p>
        </w:tc>
      </w:tr>
      <w:tr>
        <w:trPr>
          <w:cantSplit/>
          <w:jc w:val="center"/>
        </w:trPr>
        <w:tc>
          <w:tcPr>
            <w:tcW w:w="450" w:type="pct"/>
            <w:tcBorders>
              <w:top w:val="single" w:sz="4" w:space="0" w:color="010000"/>
            </w:tcBorders>
            <w:vAlign w:val="center"/>
          </w:tcPr>
          <w:p>
            <w:pPr>
              <w:jc w:val="center"/>
            </w:pPr>
            <w:r/>
            <w:r>
              <w:rPr>
                <w:rFonts w:hint="eastAsia"/>
                <w:color w:val="000000"/>
                <w:sz w:val="21"/>
              </w:rPr>
              <w:t>第一套</w:t>
            </w:r>
          </w:p>
        </w:tc>
        <w:tc>
          <w:tcPr>
            <w:tcW w:w="700" w:type="pct"/>
            <w:tcBorders>
              <w:top w:val="single" w:sz="4" w:space="0" w:color="010000"/>
            </w:tcBorders>
            <w:vAlign w:val="center"/>
          </w:tcPr>
          <w:p>
            <w:pPr>
              <w:jc w:val="center"/>
            </w:pPr>
            <w:r/>
            <w:r>
              <w:rPr>
                <w:rFonts w:hint="eastAsia"/>
                <w:color w:val="000000"/>
                <w:sz w:val="21"/>
              </w:rPr>
              <w:t>不适用</w:t>
            </w:r>
          </w:p>
        </w:tc>
        <w:tc>
          <w:tcPr>
            <w:tcW w:w="1400" w:type="pct"/>
            <w:tcBorders>
              <w:top w:val="single" w:sz="4" w:space="0" w:color="010000"/>
            </w:tcBorders>
            <w:vAlign w:val="center"/>
          </w:tcPr>
          <w:p>
            <w:pPr>
              <w:jc w:val="left"/>
            </w:pPr>
            <w:r/>
            <w:r>
              <w:rPr>
                <w:rFonts w:hint="eastAsia"/>
                <w:color w:val="000000"/>
                <w:sz w:val="21"/>
              </w:rPr>
              <w:t>最近三年均为正，累计不低于2亿元，且最近一年不低于1亿元</w:t>
            </w:r>
          </w:p>
        </w:tc>
        <w:tc>
          <w:tcPr>
            <w:tcW w:w="1250" w:type="pct"/>
            <w:tcBorders>
              <w:top w:val="single" w:sz="4" w:space="0" w:color="010000"/>
            </w:tcBorders>
            <w:vAlign w:val="center"/>
          </w:tcPr>
          <w:p>
            <w:pPr>
              <w:jc w:val="left"/>
            </w:pPr>
            <w:r/>
            <w:r>
              <w:rPr>
                <w:rFonts w:hint="eastAsia"/>
                <w:color w:val="000000"/>
                <w:sz w:val="21"/>
              </w:rPr>
              <w:t>最近三年累计不低于15亿元（与现金流量净额二选一）</w:t>
            </w:r>
          </w:p>
        </w:tc>
        <w:tc>
          <w:tcPr>
            <w:tcW w:w="1200" w:type="pct"/>
            <w:tcBorders>
              <w:top w:val="single" w:sz="4" w:space="0" w:color="010000"/>
            </w:tcBorders>
            <w:vAlign w:val="center"/>
          </w:tcPr>
          <w:p>
            <w:pPr>
              <w:jc w:val="left"/>
            </w:pPr>
            <w:r/>
            <w:r>
              <w:rPr>
                <w:rFonts w:hint="eastAsia"/>
                <w:color w:val="000000"/>
                <w:sz w:val="21"/>
              </w:rPr>
              <w:t>最近三年累计不低于2亿元（与营业收入二选一）</w:t>
            </w:r>
          </w:p>
        </w:tc>
      </w:tr>
      <w:tr>
        <w:trPr>
          <w:cantSplit/>
          <w:jc w:val="center"/>
        </w:trPr>
        <w:tc>
          <w:tcPr>
            <w:tcW w:w="450" w:type="pct"/>
            <w:tcBorders>
              <w:top w:val="single" w:sz="4" w:space="0" w:color="010000"/>
            </w:tcBorders>
            <w:vAlign w:val="center"/>
          </w:tcPr>
          <w:p>
            <w:pPr>
              <w:jc w:val="center"/>
            </w:pPr>
            <w:r/>
            <w:r>
              <w:rPr>
                <w:rFonts w:hint="eastAsia"/>
                <w:color w:val="000000"/>
                <w:sz w:val="21"/>
              </w:rPr>
              <w:t>第二套</w:t>
            </w:r>
          </w:p>
        </w:tc>
        <w:tc>
          <w:tcPr>
            <w:tcW w:w="700" w:type="pct"/>
            <w:tcBorders>
              <w:top w:val="single" w:sz="4" w:space="0" w:color="010000"/>
            </w:tcBorders>
            <w:vAlign w:val="center"/>
          </w:tcPr>
          <w:p>
            <w:pPr>
              <w:jc w:val="center"/>
            </w:pPr>
            <w:r/>
            <w:r>
              <w:rPr>
                <w:rFonts w:hint="eastAsia"/>
                <w:color w:val="000000"/>
                <w:sz w:val="21"/>
              </w:rPr>
              <w:t>不低于50亿元</w:t>
            </w:r>
          </w:p>
        </w:tc>
        <w:tc>
          <w:tcPr>
            <w:tcW w:w="1400" w:type="pct"/>
            <w:tcBorders>
              <w:top w:val="single" w:sz="4" w:space="0" w:color="010000"/>
            </w:tcBorders>
            <w:vAlign w:val="center"/>
          </w:tcPr>
          <w:p>
            <w:pPr>
              <w:jc w:val="left"/>
            </w:pPr>
            <w:r/>
            <w:r>
              <w:rPr>
                <w:rFonts w:hint="eastAsia"/>
                <w:color w:val="000000"/>
                <w:sz w:val="21"/>
              </w:rPr>
              <w:t>最近一年为正</w:t>
            </w:r>
          </w:p>
        </w:tc>
        <w:tc>
          <w:tcPr>
            <w:tcW w:w="1250" w:type="pct"/>
            <w:tcBorders>
              <w:top w:val="single" w:sz="4" w:space="0" w:color="010000"/>
            </w:tcBorders>
            <w:vAlign w:val="center"/>
          </w:tcPr>
          <w:p>
            <w:pPr>
              <w:jc w:val="left"/>
            </w:pPr>
            <w:r/>
            <w:r>
              <w:rPr>
                <w:rFonts w:hint="eastAsia"/>
                <w:color w:val="000000"/>
                <w:sz w:val="21"/>
              </w:rPr>
              <w:t>最近一年不低于6亿元</w:t>
            </w:r>
          </w:p>
        </w:tc>
        <w:tc>
          <w:tcPr>
            <w:tcW w:w="1200" w:type="pct"/>
            <w:tcBorders>
              <w:top w:val="single" w:sz="4" w:space="0" w:color="010000"/>
            </w:tcBorders>
            <w:vAlign w:val="center"/>
          </w:tcPr>
          <w:p>
            <w:pPr>
              <w:jc w:val="left"/>
            </w:pPr>
            <w:r/>
            <w:r>
              <w:rPr>
                <w:rFonts w:hint="eastAsia"/>
                <w:color w:val="000000"/>
                <w:sz w:val="21"/>
              </w:rPr>
              <w:t>最近三年累计不低于2.5亿元</w:t>
            </w:r>
          </w:p>
        </w:tc>
      </w:tr>
      <w:tr>
        <w:trPr>
          <w:cantSplit/>
          <w:jc w:val="center"/>
        </w:trPr>
        <w:tc>
          <w:tcPr>
            <w:tcW w:w="450" w:type="pct"/>
            <w:tcBorders>
              <w:top w:val="single" w:sz="4" w:space="0" w:color="010000"/>
            </w:tcBorders>
            <w:vAlign w:val="center"/>
          </w:tcPr>
          <w:p>
            <w:pPr>
              <w:jc w:val="center"/>
            </w:pPr>
            <w:r/>
            <w:r>
              <w:rPr>
                <w:rFonts w:hint="eastAsia"/>
                <w:color w:val="000000"/>
                <w:sz w:val="21"/>
              </w:rPr>
              <w:t>第三套</w:t>
            </w:r>
          </w:p>
        </w:tc>
        <w:tc>
          <w:tcPr>
            <w:tcW w:w="700" w:type="pct"/>
            <w:tcBorders>
              <w:top w:val="single" w:sz="4" w:space="0" w:color="010000"/>
            </w:tcBorders>
            <w:vAlign w:val="center"/>
          </w:tcPr>
          <w:p>
            <w:pPr>
              <w:jc w:val="center"/>
            </w:pPr>
            <w:r/>
            <w:r>
              <w:rPr>
                <w:rFonts w:hint="eastAsia"/>
                <w:color w:val="000000"/>
                <w:sz w:val="21"/>
              </w:rPr>
              <w:t>不低于100亿元</w:t>
            </w:r>
          </w:p>
        </w:tc>
        <w:tc>
          <w:tcPr>
            <w:tcW w:w="1400" w:type="pct"/>
            <w:tcBorders>
              <w:top w:val="single" w:sz="4" w:space="0" w:color="010000"/>
            </w:tcBorders>
            <w:vAlign w:val="center"/>
          </w:tcPr>
          <w:p>
            <w:pPr>
              <w:jc w:val="left"/>
            </w:pPr>
            <w:r/>
            <w:r>
              <w:rPr>
                <w:rFonts w:hint="eastAsia"/>
                <w:color w:val="000000"/>
                <w:sz w:val="21"/>
              </w:rPr>
              <w:t>最近一年为正</w:t>
            </w:r>
          </w:p>
        </w:tc>
        <w:tc>
          <w:tcPr>
            <w:tcW w:w="1250" w:type="pct"/>
            <w:tcBorders>
              <w:top w:val="single" w:sz="4" w:space="0" w:color="010000"/>
            </w:tcBorders>
            <w:vAlign w:val="center"/>
          </w:tcPr>
          <w:p>
            <w:pPr>
              <w:jc w:val="left"/>
            </w:pPr>
            <w:r/>
            <w:r>
              <w:rPr>
                <w:rFonts w:hint="eastAsia"/>
                <w:color w:val="000000"/>
                <w:sz w:val="21"/>
              </w:rPr>
              <w:t>最近一年不低于10亿元</w:t>
            </w:r>
          </w:p>
        </w:tc>
        <w:tc>
          <w:tcPr>
            <w:tcW w:w="1200" w:type="pct"/>
            <w:tcBorders>
              <w:top w:val="single" w:sz="4" w:space="0" w:color="010000"/>
            </w:tcBorders>
            <w:vAlign w:val="center"/>
          </w:tcPr>
          <w:p>
            <w:pPr>
              <w:jc w:val="left"/>
            </w:pPr>
            <w:r/>
            <w:r>
              <w:rPr>
                <w:rFonts w:hint="eastAsia"/>
                <w:color w:val="000000"/>
                <w:sz w:val="21"/>
              </w:rPr>
              <w:t>不适用</w:t>
            </w:r>
          </w:p>
        </w:tc>
      </w:tr>
    </w:tbl>
    <w:p>
      <w:pPr>
        <w:pStyle w:val="a6"/>
        <w:jc w:val="center"/>
      </w:pPr>
      <w:r>
        <w:rPr>
          <w:rFonts w:hint="eastAsia"/>
          <w:sz w:val="11"/>
          <w:szCs w:val="11"/>
        </w:rPr>
        <w:t>资料来源：上海证券交易所主板发行上市条件，国泰海通投资银行部整理</w:t>
      </w:r>
    </w:p>
    <w:p>
      <w:pPr>
        <w:pStyle w:val="a0"/>
      </w:pPr>
      <w:r>
        <w:rPr>
          <w:rFonts w:hint="eastAsia"/>
        </w:rPr>
        <w:t>三项口径需要注意。一是净利润取扣除非经常性损益前后的孰低者，非经常性损益指政府补助、资产处置损益等与主营业务无关的损益。二是净利润、营业收入、经营活动产生的现金流量净额三项均须为经审计的数值。三是预计市值指公开发行后总股本乘以发行价格计算的股票名义总价值。</w:t>
      </w:r>
    </w:p>
    <w:p>
      <w:pPr>
        <w:pStyle w:val="a0"/>
      </w:pPr>
      <w:r>
        <w:rPr>
          <w:rFonts w:hint="eastAsia"/>
        </w:rPr>
        <w:t>除财务指标外，主板另设板块定位要求，即重点支持业务模式成熟、经营业绩稳定、规模较大、具有行业代表性的企业。该项为定性条件，不通过财务指标测算得出结论。</w:t>
      </w:r>
    </w:p>
    <w:p>
      <w:pPr>
        <w:pStyle w:val="2"/>
        <w:spacing w:before="156" w:after="156"/>
      </w:pPr>
      <w:bookmarkStart w:id="1001" w:name="_Toc900001"/>
      <w:r>
        <w:rPr>
          <w:rFonts w:hint="eastAsia"/>
          <w:b/>
        </w:rPr>
        <w:t>发行人财务数据及比对</w:t>
      </w:r>
      <w:bookmarkEnd w:id="1001"/>
    </w:p>
    <w:p>
      <w:pPr>
        <w:pStyle w:val="a0"/>
      </w:pPr>
      <w:r>
        <w:rPr>
          <w:rFonts w:hint="eastAsia"/>
        </w:rPr>
        <w:t>发行人的营业收入、净利润及经营活动产生的现金流量净额如下表。测算的报告期取2023年度至2025年度，数据取自发行人2024年度、2025年度审计报告及2026年1—6月财务报表，其中2026年1—6月数据未经审计。</w:t>
      </w:r>
    </w:p>
    <w:p>
      <w:pPr>
        <w:keepNext/>
        <w:jc w:val="center"/>
      </w:pPr>
      <w:r>
        <w:rPr>
          <w:rFonts w:hint="eastAsia"/>
          <w:b/>
          <w:sz w:val="21"/>
        </w:rPr>
        <w:t>表2：发行人主要财务数据（单位：万元）</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384"/>
        <w:gridCol w:w="1384"/>
        <w:gridCol w:w="1384"/>
        <w:gridCol w:w="1384"/>
        <w:gridCol w:w="1384"/>
        <w:gridCol w:w="1384"/>
      </w:tblGrid>
      <w:tr>
        <w:trPr>
          <w:cantSplit/>
          <w:tblHeader/>
          <w:jc w:val="center"/>
        </w:trPr>
        <w:tc>
          <w:tcPr>
            <w:tcW w:w="1200" w:type="pct"/>
            <w:tcBorders>
              <w:top w:val="single" w:sz="12" w:space="0" w:color="010000"/>
              <w:bottom w:val="single" w:sz="4" w:space="0" w:color="010000"/>
            </w:tcBorders>
            <w:vAlign w:val="center"/>
          </w:tcPr>
          <w:p>
            <w:pPr>
              <w:keepNext/>
              <w:jc w:val="center"/>
            </w:pPr>
            <w:r/>
            <w:r>
              <w:rPr>
                <w:rFonts w:hint="eastAsia"/>
                <w:b/>
                <w:color w:val="000000"/>
                <w:sz w:val="21"/>
              </w:rPr>
              <w:t>项目</w:t>
            </w:r>
          </w:p>
        </w:tc>
        <w:tc>
          <w:tcPr>
            <w:tcW w:w="700" w:type="pct"/>
            <w:tcBorders>
              <w:top w:val="single" w:sz="12" w:space="0" w:color="010000"/>
              <w:bottom w:val="single" w:sz="4" w:space="0" w:color="010000"/>
            </w:tcBorders>
            <w:vAlign w:val="center"/>
          </w:tcPr>
          <w:p>
            <w:pPr>
              <w:keepNext/>
              <w:jc w:val="center"/>
            </w:pPr>
            <w:r/>
            <w:r>
              <w:rPr>
                <w:rFonts w:hint="eastAsia"/>
                <w:b/>
                <w:color w:val="000000"/>
                <w:sz w:val="21"/>
              </w:rPr>
              <w:t>2026年1—6月</w:t>
            </w:r>
          </w:p>
        </w:tc>
        <w:tc>
          <w:tcPr>
            <w:tcW w:w="700" w:type="pct"/>
            <w:tcBorders>
              <w:top w:val="single" w:sz="12" w:space="0" w:color="010000"/>
              <w:bottom w:val="single" w:sz="4" w:space="0" w:color="010000"/>
            </w:tcBorders>
            <w:vAlign w:val="center"/>
          </w:tcPr>
          <w:p>
            <w:pPr>
              <w:keepNext/>
              <w:jc w:val="center"/>
            </w:pPr>
            <w:r/>
            <w:r>
              <w:rPr>
                <w:rFonts w:hint="eastAsia"/>
                <w:b/>
                <w:color w:val="000000"/>
                <w:sz w:val="21"/>
              </w:rPr>
              <w:t>2025年度</w:t>
            </w:r>
          </w:p>
        </w:tc>
        <w:tc>
          <w:tcPr>
            <w:tcW w:w="700" w:type="pct"/>
            <w:tcBorders>
              <w:top w:val="single" w:sz="12" w:space="0" w:color="010000"/>
              <w:bottom w:val="single" w:sz="4" w:space="0" w:color="010000"/>
            </w:tcBorders>
            <w:vAlign w:val="center"/>
          </w:tcPr>
          <w:p>
            <w:pPr>
              <w:keepNext/>
              <w:jc w:val="center"/>
            </w:pPr>
            <w:r/>
            <w:r>
              <w:rPr>
                <w:rFonts w:hint="eastAsia"/>
                <w:b/>
                <w:color w:val="000000"/>
                <w:sz w:val="21"/>
              </w:rPr>
              <w:t>2024年度</w:t>
            </w:r>
          </w:p>
        </w:tc>
        <w:tc>
          <w:tcPr>
            <w:tcW w:w="700" w:type="pct"/>
            <w:tcBorders>
              <w:top w:val="single" w:sz="12" w:space="0" w:color="010000"/>
              <w:bottom w:val="single" w:sz="4" w:space="0" w:color="010000"/>
            </w:tcBorders>
            <w:vAlign w:val="center"/>
          </w:tcPr>
          <w:p>
            <w:pPr>
              <w:keepNext/>
              <w:jc w:val="center"/>
            </w:pPr>
            <w:r/>
            <w:r>
              <w:rPr>
                <w:rFonts w:hint="eastAsia"/>
                <w:b/>
                <w:color w:val="000000"/>
                <w:sz w:val="21"/>
              </w:rPr>
              <w:t>2023年度</w:t>
            </w:r>
          </w:p>
        </w:tc>
        <w:tc>
          <w:tcPr>
            <w:tcW w:w="1000" w:type="pct"/>
            <w:tcBorders>
              <w:top w:val="single" w:sz="12" w:space="0" w:color="010000"/>
              <w:bottom w:val="single" w:sz="4" w:space="0" w:color="010000"/>
            </w:tcBorders>
            <w:vAlign w:val="center"/>
          </w:tcPr>
          <w:p>
            <w:pPr>
              <w:keepNext/>
              <w:jc w:val="center"/>
            </w:pPr>
            <w:r/>
            <w:r>
              <w:rPr>
                <w:rFonts w:hint="eastAsia"/>
                <w:b/>
                <w:color w:val="000000"/>
                <w:sz w:val="21"/>
              </w:rPr>
              <w:t>2023—2025年累计</w:t>
            </w:r>
          </w:p>
        </w:tc>
      </w:tr>
      <w:tr>
        <w:trPr>
          <w:cantSplit/>
          <w:jc w:val="center"/>
        </w:trPr>
        <w:tc>
          <w:tcPr>
            <w:tcW w:w="1200" w:type="pct"/>
            <w:tcBorders>
              <w:top w:val="single" w:sz="4" w:space="0" w:color="010000"/>
            </w:tcBorders>
            <w:vAlign w:val="center"/>
          </w:tcPr>
          <w:p>
            <w:pPr>
              <w:jc w:val="left"/>
            </w:pPr>
            <w:r/>
            <w:r>
              <w:rPr>
                <w:rFonts w:hint="eastAsia"/>
                <w:color w:val="000000"/>
                <w:sz w:val="21"/>
              </w:rPr>
              <w:t>营业收入</w:t>
            </w:r>
          </w:p>
        </w:tc>
        <w:tc>
          <w:tcPr>
            <w:tcW w:w="700" w:type="pct"/>
            <w:tcBorders>
              <w:top w:val="single" w:sz="4" w:space="0" w:color="010000"/>
            </w:tcBorders>
            <w:vAlign w:val="center"/>
          </w:tcPr>
          <w:p>
            <w:pPr>
              <w:jc w:val="right"/>
            </w:pPr>
            <w:r/>
            <w:r>
              <w:rPr>
                <w:rFonts w:hint="eastAsia"/>
                <w:color w:val="000000"/>
                <w:sz w:val="21"/>
              </w:rPr>
              <w:t>20,814.62</w:t>
            </w:r>
          </w:p>
        </w:tc>
        <w:tc>
          <w:tcPr>
            <w:tcW w:w="700" w:type="pct"/>
            <w:tcBorders>
              <w:top w:val="single" w:sz="4" w:space="0" w:color="010000"/>
            </w:tcBorders>
            <w:vAlign w:val="center"/>
          </w:tcPr>
          <w:p>
            <w:pPr>
              <w:jc w:val="right"/>
            </w:pPr>
            <w:r/>
            <w:r>
              <w:rPr>
                <w:rFonts w:hint="eastAsia"/>
                <w:color w:val="000000"/>
                <w:sz w:val="21"/>
              </w:rPr>
              <w:t>43,435.86</w:t>
            </w:r>
          </w:p>
        </w:tc>
        <w:tc>
          <w:tcPr>
            <w:tcW w:w="700" w:type="pct"/>
            <w:tcBorders>
              <w:top w:val="single" w:sz="4" w:space="0" w:color="010000"/>
            </w:tcBorders>
            <w:vAlign w:val="center"/>
          </w:tcPr>
          <w:p>
            <w:pPr>
              <w:jc w:val="right"/>
            </w:pPr>
            <w:r/>
            <w:r>
              <w:rPr>
                <w:rFonts w:hint="eastAsia"/>
                <w:color w:val="000000"/>
                <w:sz w:val="21"/>
              </w:rPr>
              <w:t>21,265.64</w:t>
            </w:r>
          </w:p>
        </w:tc>
        <w:tc>
          <w:tcPr>
            <w:tcW w:w="700" w:type="pct"/>
            <w:tcBorders>
              <w:top w:val="single" w:sz="4" w:space="0" w:color="010000"/>
            </w:tcBorders>
            <w:vAlign w:val="center"/>
          </w:tcPr>
          <w:p>
            <w:pPr>
              <w:jc w:val="right"/>
            </w:pPr>
            <w:r/>
            <w:r>
              <w:rPr>
                <w:rFonts w:hint="eastAsia"/>
                <w:color w:val="000000"/>
                <w:sz w:val="21"/>
              </w:rPr>
              <w:t>5,368.73</w:t>
            </w:r>
          </w:p>
        </w:tc>
        <w:tc>
          <w:tcPr>
            <w:tcW w:w="1000" w:type="pct"/>
            <w:tcBorders>
              <w:top w:val="single" w:sz="4" w:space="0" w:color="010000"/>
            </w:tcBorders>
            <w:vAlign w:val="center"/>
          </w:tcPr>
          <w:p>
            <w:pPr>
              <w:jc w:val="right"/>
            </w:pPr>
            <w:r/>
            <w:r>
              <w:rPr>
                <w:rFonts w:hint="eastAsia"/>
                <w:color w:val="000000"/>
                <w:sz w:val="21"/>
              </w:rPr>
              <w:t>70,070.23</w:t>
            </w:r>
          </w:p>
        </w:tc>
      </w:tr>
      <w:tr>
        <w:trPr>
          <w:cantSplit/>
          <w:jc w:val="center"/>
        </w:trPr>
        <w:tc>
          <w:tcPr>
            <w:tcW w:w="1200" w:type="pct"/>
            <w:tcBorders>
              <w:top w:val="single" w:sz="4" w:space="0" w:color="010000"/>
            </w:tcBorders>
            <w:vAlign w:val="center"/>
          </w:tcPr>
          <w:p>
            <w:pPr>
              <w:jc w:val="left"/>
            </w:pPr>
            <w:r/>
            <w:r>
              <w:rPr>
                <w:rFonts w:hint="eastAsia"/>
                <w:color w:val="000000"/>
                <w:sz w:val="21"/>
              </w:rPr>
              <w:t>净利润</w:t>
            </w:r>
          </w:p>
        </w:tc>
        <w:tc>
          <w:tcPr>
            <w:tcW w:w="700" w:type="pct"/>
            <w:tcBorders>
              <w:top w:val="single" w:sz="4" w:space="0" w:color="010000"/>
            </w:tcBorders>
            <w:vAlign w:val="center"/>
          </w:tcPr>
          <w:p>
            <w:pPr>
              <w:jc w:val="right"/>
            </w:pPr>
            <w:r/>
            <w:r>
              <w:rPr>
                <w:rFonts w:hint="eastAsia"/>
                <w:color w:val="000000"/>
                <w:sz w:val="21"/>
              </w:rPr>
              <w:t>6,308.86</w:t>
            </w:r>
          </w:p>
        </w:tc>
        <w:tc>
          <w:tcPr>
            <w:tcW w:w="700" w:type="pct"/>
            <w:tcBorders>
              <w:top w:val="single" w:sz="4" w:space="0" w:color="010000"/>
            </w:tcBorders>
            <w:vAlign w:val="center"/>
          </w:tcPr>
          <w:p>
            <w:pPr>
              <w:jc w:val="right"/>
            </w:pPr>
            <w:r/>
            <w:r>
              <w:rPr>
                <w:rFonts w:hint="eastAsia"/>
                <w:color w:val="000000"/>
                <w:sz w:val="21"/>
              </w:rPr>
              <w:t>13,343.75</w:t>
            </w:r>
          </w:p>
        </w:tc>
        <w:tc>
          <w:tcPr>
            <w:tcW w:w="700" w:type="pct"/>
            <w:tcBorders>
              <w:top w:val="single" w:sz="4" w:space="0" w:color="010000"/>
            </w:tcBorders>
            <w:vAlign w:val="center"/>
          </w:tcPr>
          <w:p>
            <w:pPr>
              <w:jc w:val="right"/>
            </w:pPr>
            <w:r/>
            <w:r>
              <w:rPr>
                <w:rFonts w:hint="eastAsia"/>
                <w:color w:val="000000"/>
                <w:sz w:val="21"/>
              </w:rPr>
              <w:t>8,712.34</w:t>
            </w:r>
          </w:p>
        </w:tc>
        <w:tc>
          <w:tcPr>
            <w:tcW w:w="700" w:type="pct"/>
            <w:tcBorders>
              <w:top w:val="single" w:sz="4" w:space="0" w:color="010000"/>
            </w:tcBorders>
            <w:vAlign w:val="center"/>
          </w:tcPr>
          <w:p>
            <w:pPr>
              <w:jc w:val="right"/>
            </w:pPr>
            <w:r/>
            <w:r>
              <w:rPr>
                <w:rFonts w:hint="eastAsia"/>
                <w:color w:val="000000"/>
                <w:sz w:val="21"/>
              </w:rPr>
              <w:t>1,799.85</w:t>
            </w:r>
          </w:p>
        </w:tc>
        <w:tc>
          <w:tcPr>
            <w:tcW w:w="1000" w:type="pct"/>
            <w:tcBorders>
              <w:top w:val="single" w:sz="4" w:space="0" w:color="010000"/>
            </w:tcBorders>
            <w:vAlign w:val="center"/>
          </w:tcPr>
          <w:p>
            <w:pPr>
              <w:jc w:val="right"/>
            </w:pPr>
            <w:r/>
            <w:r>
              <w:rPr>
                <w:rFonts w:hint="eastAsia"/>
                <w:color w:val="000000"/>
                <w:sz w:val="21"/>
              </w:rPr>
              <w:t>23,855.94</w:t>
            </w:r>
          </w:p>
        </w:tc>
      </w:tr>
      <w:tr>
        <w:trPr>
          <w:cantSplit/>
          <w:jc w:val="center"/>
        </w:trPr>
        <w:tc>
          <w:tcPr>
            <w:tcW w:w="1200" w:type="pct"/>
            <w:tcBorders>
              <w:top w:val="single" w:sz="4" w:space="0" w:color="010000"/>
            </w:tcBorders>
            <w:vAlign w:val="center"/>
          </w:tcPr>
          <w:p>
            <w:pPr>
              <w:jc w:val="left"/>
            </w:pPr>
            <w:r/>
            <w:r>
              <w:rPr>
                <w:rFonts w:hint="eastAsia"/>
                <w:color w:val="000000"/>
                <w:sz w:val="21"/>
              </w:rPr>
              <w:t>经营活动产生的现金流量净额</w:t>
            </w:r>
          </w:p>
        </w:tc>
        <w:tc>
          <w:tcPr>
            <w:tcW w:w="700" w:type="pct"/>
            <w:tcBorders>
              <w:top w:val="single" w:sz="4" w:space="0" w:color="010000"/>
            </w:tcBorders>
            <w:vAlign w:val="center"/>
          </w:tcPr>
          <w:p>
            <w:pPr>
              <w:jc w:val="right"/>
            </w:pPr>
            <w:r/>
            <w:r>
              <w:rPr>
                <w:rFonts w:hint="eastAsia"/>
                <w:color w:val="000000"/>
                <w:sz w:val="21"/>
              </w:rPr>
              <w:t>246.20</w:t>
            </w:r>
          </w:p>
        </w:tc>
        <w:tc>
          <w:tcPr>
            <w:tcW w:w="700" w:type="pct"/>
            <w:tcBorders>
              <w:top w:val="single" w:sz="4" w:space="0" w:color="010000"/>
            </w:tcBorders>
            <w:vAlign w:val="center"/>
          </w:tcPr>
          <w:p>
            <w:pPr>
              <w:jc w:val="right"/>
            </w:pPr>
            <w:r/>
            <w:r>
              <w:rPr>
                <w:rFonts w:hint="eastAsia"/>
                <w:color w:val="000000"/>
                <w:sz w:val="21"/>
              </w:rPr>
              <w:t>4,723.32</w:t>
            </w:r>
          </w:p>
        </w:tc>
        <w:tc>
          <w:tcPr>
            <w:tcW w:w="700" w:type="pct"/>
            <w:tcBorders>
              <w:top w:val="single" w:sz="4" w:space="0" w:color="010000"/>
            </w:tcBorders>
            <w:vAlign w:val="center"/>
          </w:tcPr>
          <w:p>
            <w:pPr>
              <w:jc w:val="right"/>
            </w:pPr>
            <w:r/>
            <w:r>
              <w:rPr>
                <w:rFonts w:hint="eastAsia"/>
                <w:color w:val="000000"/>
                <w:sz w:val="21"/>
              </w:rPr>
              <w:t>5,279.36</w:t>
            </w:r>
          </w:p>
        </w:tc>
        <w:tc>
          <w:tcPr>
            <w:tcW w:w="700" w:type="pct"/>
            <w:tcBorders>
              <w:top w:val="single" w:sz="4" w:space="0" w:color="010000"/>
            </w:tcBorders>
            <w:vAlign w:val="center"/>
          </w:tcPr>
          <w:p>
            <w:pPr>
              <w:jc w:val="right"/>
            </w:pPr>
            <w:r/>
            <w:r>
              <w:rPr>
                <w:rFonts w:hint="eastAsia"/>
                <w:color w:val="000000"/>
                <w:sz w:val="21"/>
              </w:rPr>
              <w:t>448.13</w:t>
            </w:r>
          </w:p>
        </w:tc>
        <w:tc>
          <w:tcPr>
            <w:tcW w:w="1000" w:type="pct"/>
            <w:tcBorders>
              <w:top w:val="single" w:sz="4" w:space="0" w:color="010000"/>
            </w:tcBorders>
            <w:vAlign w:val="center"/>
          </w:tcPr>
          <w:p>
            <w:pPr>
              <w:jc w:val="right"/>
            </w:pPr>
            <w:r/>
            <w:r>
              <w:rPr>
                <w:rFonts w:hint="eastAsia"/>
                <w:color w:val="000000"/>
                <w:sz w:val="21"/>
              </w:rPr>
              <w:t>10,450.81</w:t>
            </w:r>
          </w:p>
        </w:tc>
      </w:tr>
    </w:tbl>
    <w:p>
      <w:pPr>
        <w:pStyle w:val="a6"/>
        <w:jc w:val="center"/>
      </w:pPr>
      <w:r>
        <w:rPr>
          <w:rFonts w:hint="eastAsia"/>
          <w:sz w:val="11"/>
          <w:szCs w:val="11"/>
        </w:rPr>
        <w:t>数据来源：发行人2024年度、2025年度审计报告及2026年1—6月财务报表，国泰海通投资银行部整理</w:t>
      </w:r>
    </w:p>
    <w:p>
      <w:pPr>
        <w:pStyle w:val="a0"/>
      </w:pPr>
      <w:r>
        <w:rPr>
          <w:rFonts w:hint="eastAsia"/>
        </w:rPr>
        <w:t>按上述数据逐项比对三套标准，结果如下表。</w:t>
      </w:r>
    </w:p>
    <w:p>
      <w:pPr>
        <w:keepNext/>
        <w:jc w:val="center"/>
      </w:pPr>
      <w:r>
        <w:rPr>
          <w:rFonts w:hint="eastAsia"/>
          <w:b/>
          <w:sz w:val="21"/>
        </w:rPr>
        <w:t>表3：发行人与主板三套财务指标的比对（单位：万元）</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500" w:type="pct"/>
            <w:tcBorders>
              <w:top w:val="single" w:sz="12" w:space="0" w:color="010000"/>
              <w:bottom w:val="single" w:sz="4" w:space="0" w:color="010000"/>
            </w:tcBorders>
            <w:vAlign w:val="center"/>
          </w:tcPr>
          <w:p>
            <w:pPr>
              <w:keepNext/>
              <w:jc w:val="center"/>
            </w:pPr>
            <w:r/>
            <w:r>
              <w:rPr>
                <w:rFonts w:hint="eastAsia"/>
                <w:b/>
                <w:color w:val="000000"/>
                <w:sz w:val="21"/>
              </w:rPr>
              <w:t>标准</w:t>
            </w:r>
          </w:p>
        </w:tc>
        <w:tc>
          <w:tcPr>
            <w:tcW w:w="1800" w:type="pct"/>
            <w:tcBorders>
              <w:top w:val="single" w:sz="12" w:space="0" w:color="010000"/>
              <w:bottom w:val="single" w:sz="4" w:space="0" w:color="010000"/>
            </w:tcBorders>
            <w:vAlign w:val="center"/>
          </w:tcPr>
          <w:p>
            <w:pPr>
              <w:keepNext/>
              <w:jc w:val="center"/>
            </w:pPr>
            <w:r/>
            <w:r>
              <w:rPr>
                <w:rFonts w:hint="eastAsia"/>
                <w:b/>
                <w:color w:val="000000"/>
                <w:sz w:val="21"/>
              </w:rPr>
              <w:t>指标</w:t>
            </w:r>
          </w:p>
        </w:tc>
        <w:tc>
          <w:tcPr>
            <w:tcW w:w="800" w:type="pct"/>
            <w:tcBorders>
              <w:top w:val="single" w:sz="12" w:space="0" w:color="010000"/>
              <w:bottom w:val="single" w:sz="4" w:space="0" w:color="010000"/>
            </w:tcBorders>
            <w:vAlign w:val="center"/>
          </w:tcPr>
          <w:p>
            <w:pPr>
              <w:keepNext/>
              <w:jc w:val="center"/>
            </w:pPr>
            <w:r/>
            <w:r>
              <w:rPr>
                <w:rFonts w:hint="eastAsia"/>
                <w:b/>
                <w:color w:val="000000"/>
                <w:sz w:val="21"/>
              </w:rPr>
              <w:t>门槛值</w:t>
            </w:r>
          </w:p>
        </w:tc>
        <w:tc>
          <w:tcPr>
            <w:tcW w:w="1200" w:type="pct"/>
            <w:tcBorders>
              <w:top w:val="single" w:sz="12" w:space="0" w:color="010000"/>
              <w:bottom w:val="single" w:sz="4" w:space="0" w:color="010000"/>
            </w:tcBorders>
            <w:vAlign w:val="center"/>
          </w:tcPr>
          <w:p>
            <w:pPr>
              <w:keepNext/>
              <w:jc w:val="center"/>
            </w:pPr>
            <w:r/>
            <w:r>
              <w:rPr>
                <w:rFonts w:hint="eastAsia"/>
                <w:b/>
                <w:color w:val="000000"/>
                <w:sz w:val="21"/>
              </w:rPr>
              <w:t>发行人</w:t>
            </w:r>
          </w:p>
        </w:tc>
        <w:tc>
          <w:tcPr>
            <w:tcW w:w="700" w:type="pct"/>
            <w:tcBorders>
              <w:top w:val="single" w:sz="12" w:space="0" w:color="010000"/>
              <w:bottom w:val="single" w:sz="4" w:space="0" w:color="010000"/>
            </w:tcBorders>
            <w:vAlign w:val="center"/>
          </w:tcPr>
          <w:p>
            <w:pPr>
              <w:keepNext/>
              <w:jc w:val="center"/>
            </w:pPr>
            <w:r/>
            <w:r>
              <w:rPr>
                <w:rFonts w:hint="eastAsia"/>
                <w:b/>
                <w:color w:val="000000"/>
                <w:sz w:val="21"/>
              </w:rPr>
              <w:t>是否满足</w:t>
            </w:r>
          </w:p>
        </w:tc>
      </w:tr>
      <w:tr>
        <w:trPr>
          <w:cantSplit/>
          <w:jc w:val="center"/>
        </w:trPr>
        <w:tc>
          <w:tcPr>
            <w:tcW w:w="500" w:type="pct"/>
            <w:tcBorders>
              <w:top w:val="single" w:sz="4" w:space="0" w:color="010000"/>
            </w:tcBorders>
            <w:vAlign w:val="center"/>
          </w:tcPr>
          <w:p>
            <w:pPr>
              <w:jc w:val="center"/>
            </w:pPr>
            <w:r/>
            <w:r>
              <w:rPr>
                <w:rFonts w:hint="eastAsia"/>
                <w:color w:val="000000"/>
                <w:sz w:val="21"/>
              </w:rPr>
              <w:t>第一套</w:t>
            </w:r>
          </w:p>
        </w:tc>
        <w:tc>
          <w:tcPr>
            <w:tcW w:w="1800" w:type="pct"/>
            <w:tcBorders>
              <w:top w:val="single" w:sz="4" w:space="0" w:color="010000"/>
            </w:tcBorders>
            <w:vAlign w:val="center"/>
          </w:tcPr>
          <w:p>
            <w:pPr>
              <w:jc w:val="left"/>
            </w:pPr>
            <w:r/>
            <w:r>
              <w:rPr>
                <w:rFonts w:hint="eastAsia"/>
                <w:color w:val="000000"/>
                <w:sz w:val="21"/>
              </w:rPr>
              <w:t>最近三年净利润均为正</w:t>
            </w:r>
          </w:p>
        </w:tc>
        <w:tc>
          <w:tcPr>
            <w:tcW w:w="800" w:type="pct"/>
            <w:tcBorders>
              <w:top w:val="single" w:sz="4" w:space="0" w:color="010000"/>
            </w:tcBorders>
            <w:vAlign w:val="center"/>
          </w:tcPr>
          <w:p>
            <w:pPr>
              <w:jc w:val="right"/>
            </w:pPr>
            <w:r/>
            <w:r>
              <w:rPr>
                <w:rFonts w:hint="eastAsia"/>
                <w:color w:val="000000"/>
                <w:sz w:val="21"/>
              </w:rPr>
              <w:t>—</w:t>
            </w:r>
          </w:p>
        </w:tc>
        <w:tc>
          <w:tcPr>
            <w:tcW w:w="1200" w:type="pct"/>
            <w:tcBorders>
              <w:top w:val="single" w:sz="4" w:space="0" w:color="010000"/>
            </w:tcBorders>
            <w:vAlign w:val="center"/>
          </w:tcPr>
          <w:p>
            <w:pPr>
              <w:jc w:val="right"/>
            </w:pPr>
            <w:r/>
            <w:r>
              <w:rPr>
                <w:rFonts w:hint="eastAsia"/>
                <w:color w:val="000000"/>
                <w:sz w:val="21"/>
              </w:rPr>
              <w:t>1,799.85／8,712.34／13,343.75</w:t>
            </w:r>
          </w:p>
        </w:tc>
        <w:tc>
          <w:tcPr>
            <w:tcW w:w="700" w:type="pct"/>
            <w:tcBorders>
              <w:top w:val="single" w:sz="4" w:space="0" w:color="010000"/>
            </w:tcBorders>
            <w:vAlign w:val="center"/>
          </w:tcPr>
          <w:p>
            <w:pPr>
              <w:jc w:val="center"/>
            </w:pPr>
            <w:r/>
            <w:r>
              <w:rPr>
                <w:rFonts w:hint="eastAsia"/>
                <w:color w:val="000000"/>
                <w:sz w:val="21"/>
              </w:rPr>
              <w:t>是</w:t>
            </w:r>
          </w:p>
        </w:tc>
      </w:tr>
      <w:tr>
        <w:trPr>
          <w:cantSplit/>
          <w:jc w:val="center"/>
        </w:trPr>
        <w:tc>
          <w:tcPr>
            <w:tcW w:w="500" w:type="pct"/>
            <w:tcBorders>
              <w:top w:val="single" w:sz="4" w:space="0" w:color="010000"/>
            </w:tcBorders>
            <w:vAlign w:val="center"/>
          </w:tcPr>
          <w:p>
            <w:pPr>
              <w:jc w:val="center"/>
            </w:pPr>
            <w:r/>
            <w:r>
              <w:rPr>
                <w:rFonts w:hint="eastAsia"/>
                <w:color w:val="000000"/>
                <w:sz w:val="21"/>
              </w:rPr>
              <w:t>第一套</w:t>
            </w:r>
          </w:p>
        </w:tc>
        <w:tc>
          <w:tcPr>
            <w:tcW w:w="1800" w:type="pct"/>
            <w:tcBorders>
              <w:top w:val="single" w:sz="4" w:space="0" w:color="010000"/>
            </w:tcBorders>
            <w:vAlign w:val="center"/>
          </w:tcPr>
          <w:p>
            <w:pPr>
              <w:jc w:val="left"/>
            </w:pPr>
            <w:r/>
            <w:r>
              <w:rPr>
                <w:rFonts w:hint="eastAsia"/>
                <w:color w:val="000000"/>
                <w:sz w:val="21"/>
              </w:rPr>
              <w:t>最近三年净利润累计</w:t>
            </w:r>
          </w:p>
        </w:tc>
        <w:tc>
          <w:tcPr>
            <w:tcW w:w="800" w:type="pct"/>
            <w:tcBorders>
              <w:top w:val="single" w:sz="4" w:space="0" w:color="010000"/>
            </w:tcBorders>
            <w:vAlign w:val="center"/>
          </w:tcPr>
          <w:p>
            <w:pPr>
              <w:jc w:val="right"/>
            </w:pPr>
            <w:r/>
            <w:r>
              <w:rPr>
                <w:rFonts w:hint="eastAsia"/>
                <w:color w:val="000000"/>
                <w:sz w:val="21"/>
              </w:rPr>
              <w:t>20,000.00</w:t>
            </w:r>
          </w:p>
        </w:tc>
        <w:tc>
          <w:tcPr>
            <w:tcW w:w="1200" w:type="pct"/>
            <w:tcBorders>
              <w:top w:val="single" w:sz="4" w:space="0" w:color="010000"/>
            </w:tcBorders>
            <w:vAlign w:val="center"/>
          </w:tcPr>
          <w:p>
            <w:pPr>
              <w:jc w:val="right"/>
            </w:pPr>
            <w:r/>
            <w:r>
              <w:rPr>
                <w:rFonts w:hint="eastAsia"/>
                <w:color w:val="000000"/>
                <w:sz w:val="21"/>
              </w:rPr>
              <w:t>23,855.94</w:t>
            </w:r>
          </w:p>
        </w:tc>
        <w:tc>
          <w:tcPr>
            <w:tcW w:w="700" w:type="pct"/>
            <w:tcBorders>
              <w:top w:val="single" w:sz="4" w:space="0" w:color="010000"/>
            </w:tcBorders>
            <w:vAlign w:val="center"/>
          </w:tcPr>
          <w:p>
            <w:pPr>
              <w:jc w:val="center"/>
            </w:pPr>
            <w:r/>
            <w:r>
              <w:rPr>
                <w:rFonts w:hint="eastAsia"/>
                <w:color w:val="000000"/>
                <w:sz w:val="21"/>
              </w:rPr>
              <w:t>是</w:t>
            </w:r>
          </w:p>
        </w:tc>
      </w:tr>
      <w:tr>
        <w:trPr>
          <w:cantSplit/>
          <w:jc w:val="center"/>
        </w:trPr>
        <w:tc>
          <w:tcPr>
            <w:tcW w:w="500" w:type="pct"/>
            <w:tcBorders>
              <w:top w:val="single" w:sz="4" w:space="0" w:color="010000"/>
            </w:tcBorders>
            <w:vAlign w:val="center"/>
          </w:tcPr>
          <w:p>
            <w:pPr>
              <w:jc w:val="center"/>
            </w:pPr>
            <w:r/>
            <w:r>
              <w:rPr>
                <w:rFonts w:hint="eastAsia"/>
                <w:color w:val="000000"/>
                <w:sz w:val="21"/>
              </w:rPr>
              <w:t>第一套</w:t>
            </w:r>
          </w:p>
        </w:tc>
        <w:tc>
          <w:tcPr>
            <w:tcW w:w="1800" w:type="pct"/>
            <w:tcBorders>
              <w:top w:val="single" w:sz="4" w:space="0" w:color="010000"/>
            </w:tcBorders>
            <w:vAlign w:val="center"/>
          </w:tcPr>
          <w:p>
            <w:pPr>
              <w:jc w:val="left"/>
            </w:pPr>
            <w:r/>
            <w:r>
              <w:rPr>
                <w:rFonts w:hint="eastAsia"/>
                <w:color w:val="000000"/>
                <w:sz w:val="21"/>
              </w:rPr>
              <w:t>最近一年净利润</w:t>
            </w:r>
          </w:p>
        </w:tc>
        <w:tc>
          <w:tcPr>
            <w:tcW w:w="800" w:type="pct"/>
            <w:tcBorders>
              <w:top w:val="single" w:sz="4" w:space="0" w:color="010000"/>
            </w:tcBorders>
            <w:vAlign w:val="center"/>
          </w:tcPr>
          <w:p>
            <w:pPr>
              <w:jc w:val="right"/>
            </w:pPr>
            <w:r/>
            <w:r>
              <w:rPr>
                <w:rFonts w:hint="eastAsia"/>
                <w:color w:val="000000"/>
                <w:sz w:val="21"/>
              </w:rPr>
              <w:t>10,000.00</w:t>
            </w:r>
          </w:p>
        </w:tc>
        <w:tc>
          <w:tcPr>
            <w:tcW w:w="1200" w:type="pct"/>
            <w:tcBorders>
              <w:top w:val="single" w:sz="4" w:space="0" w:color="010000"/>
            </w:tcBorders>
            <w:vAlign w:val="center"/>
          </w:tcPr>
          <w:p>
            <w:pPr>
              <w:jc w:val="right"/>
            </w:pPr>
            <w:r/>
            <w:r>
              <w:rPr>
                <w:rFonts w:hint="eastAsia"/>
                <w:color w:val="000000"/>
                <w:sz w:val="21"/>
              </w:rPr>
              <w:t>13,343.75</w:t>
            </w:r>
          </w:p>
        </w:tc>
        <w:tc>
          <w:tcPr>
            <w:tcW w:w="700" w:type="pct"/>
            <w:tcBorders>
              <w:top w:val="single" w:sz="4" w:space="0" w:color="010000"/>
            </w:tcBorders>
            <w:vAlign w:val="center"/>
          </w:tcPr>
          <w:p>
            <w:pPr>
              <w:jc w:val="center"/>
            </w:pPr>
            <w:r/>
            <w:r>
              <w:rPr>
                <w:rFonts w:hint="eastAsia"/>
                <w:color w:val="000000"/>
                <w:sz w:val="21"/>
              </w:rPr>
              <w:t>是</w:t>
            </w:r>
          </w:p>
        </w:tc>
      </w:tr>
      <w:tr>
        <w:trPr>
          <w:cantSplit/>
          <w:jc w:val="center"/>
        </w:trPr>
        <w:tc>
          <w:tcPr>
            <w:tcW w:w="500" w:type="pct"/>
            <w:tcBorders>
              <w:top w:val="single" w:sz="4" w:space="0" w:color="010000"/>
            </w:tcBorders>
            <w:vAlign w:val="center"/>
          </w:tcPr>
          <w:p>
            <w:pPr>
              <w:jc w:val="center"/>
            </w:pPr>
            <w:r/>
            <w:r>
              <w:rPr>
                <w:rFonts w:hint="eastAsia"/>
                <w:color w:val="000000"/>
                <w:sz w:val="21"/>
              </w:rPr>
              <w:t>第一套</w:t>
            </w:r>
          </w:p>
        </w:tc>
        <w:tc>
          <w:tcPr>
            <w:tcW w:w="1800" w:type="pct"/>
            <w:tcBorders>
              <w:top w:val="single" w:sz="4" w:space="0" w:color="010000"/>
            </w:tcBorders>
            <w:vAlign w:val="center"/>
          </w:tcPr>
          <w:p>
            <w:pPr>
              <w:jc w:val="left"/>
            </w:pPr>
            <w:r/>
            <w:r>
              <w:rPr>
                <w:rFonts w:hint="eastAsia"/>
                <w:color w:val="000000"/>
                <w:sz w:val="21"/>
              </w:rPr>
              <w:t>最近三年经营活动现金流量净额累计</w:t>
            </w:r>
          </w:p>
        </w:tc>
        <w:tc>
          <w:tcPr>
            <w:tcW w:w="800" w:type="pct"/>
            <w:tcBorders>
              <w:top w:val="single" w:sz="4" w:space="0" w:color="010000"/>
            </w:tcBorders>
            <w:vAlign w:val="center"/>
          </w:tcPr>
          <w:p>
            <w:pPr>
              <w:jc w:val="right"/>
            </w:pPr>
            <w:r/>
            <w:r>
              <w:rPr>
                <w:rFonts w:hint="eastAsia"/>
                <w:color w:val="000000"/>
                <w:sz w:val="21"/>
              </w:rPr>
              <w:t>20,000.00</w:t>
            </w:r>
          </w:p>
        </w:tc>
        <w:tc>
          <w:tcPr>
            <w:tcW w:w="1200" w:type="pct"/>
            <w:tcBorders>
              <w:top w:val="single" w:sz="4" w:space="0" w:color="010000"/>
            </w:tcBorders>
            <w:vAlign w:val="center"/>
          </w:tcPr>
          <w:p>
            <w:pPr>
              <w:jc w:val="right"/>
            </w:pPr>
            <w:r/>
            <w:r>
              <w:rPr>
                <w:rFonts w:hint="eastAsia"/>
                <w:color w:val="000000"/>
                <w:sz w:val="21"/>
              </w:rPr>
              <w:t>10,450.81</w:t>
            </w:r>
          </w:p>
        </w:tc>
        <w:tc>
          <w:tcPr>
            <w:tcW w:w="700" w:type="pct"/>
            <w:tcBorders>
              <w:top w:val="single" w:sz="4" w:space="0" w:color="010000"/>
            </w:tcBorders>
            <w:vAlign w:val="center"/>
          </w:tcPr>
          <w:p>
            <w:pPr>
              <w:jc w:val="center"/>
            </w:pPr>
            <w:r/>
            <w:r>
              <w:rPr>
                <w:rFonts w:hint="eastAsia"/>
                <w:color w:val="000000"/>
                <w:sz w:val="21"/>
              </w:rPr>
              <w:t>否</w:t>
            </w:r>
          </w:p>
        </w:tc>
      </w:tr>
      <w:tr>
        <w:trPr>
          <w:cantSplit/>
          <w:jc w:val="center"/>
        </w:trPr>
        <w:tc>
          <w:tcPr>
            <w:tcW w:w="500" w:type="pct"/>
            <w:tcBorders>
              <w:top w:val="single" w:sz="4" w:space="0" w:color="010000"/>
            </w:tcBorders>
            <w:vAlign w:val="center"/>
          </w:tcPr>
          <w:p>
            <w:pPr>
              <w:jc w:val="center"/>
            </w:pPr>
            <w:r/>
            <w:r>
              <w:rPr>
                <w:rFonts w:hint="eastAsia"/>
                <w:color w:val="000000"/>
                <w:sz w:val="21"/>
              </w:rPr>
              <w:t>第一套</w:t>
            </w:r>
          </w:p>
        </w:tc>
        <w:tc>
          <w:tcPr>
            <w:tcW w:w="1800" w:type="pct"/>
            <w:tcBorders>
              <w:top w:val="single" w:sz="4" w:space="0" w:color="010000"/>
            </w:tcBorders>
            <w:vAlign w:val="center"/>
          </w:tcPr>
          <w:p>
            <w:pPr>
              <w:jc w:val="left"/>
            </w:pPr>
            <w:r/>
            <w:r>
              <w:rPr>
                <w:rFonts w:hint="eastAsia"/>
                <w:color w:val="000000"/>
                <w:sz w:val="21"/>
              </w:rPr>
              <w:t>或：最近三年营业收入累计</w:t>
            </w:r>
          </w:p>
        </w:tc>
        <w:tc>
          <w:tcPr>
            <w:tcW w:w="800" w:type="pct"/>
            <w:tcBorders>
              <w:top w:val="single" w:sz="4" w:space="0" w:color="010000"/>
            </w:tcBorders>
            <w:vAlign w:val="center"/>
          </w:tcPr>
          <w:p>
            <w:pPr>
              <w:jc w:val="right"/>
            </w:pPr>
            <w:r/>
            <w:r>
              <w:rPr>
                <w:rFonts w:hint="eastAsia"/>
                <w:color w:val="000000"/>
                <w:sz w:val="21"/>
              </w:rPr>
              <w:t>150,000.00</w:t>
            </w:r>
          </w:p>
        </w:tc>
        <w:tc>
          <w:tcPr>
            <w:tcW w:w="1200" w:type="pct"/>
            <w:tcBorders>
              <w:top w:val="single" w:sz="4" w:space="0" w:color="010000"/>
            </w:tcBorders>
            <w:vAlign w:val="center"/>
          </w:tcPr>
          <w:p>
            <w:pPr>
              <w:jc w:val="right"/>
            </w:pPr>
            <w:r/>
            <w:r>
              <w:rPr>
                <w:rFonts w:hint="eastAsia"/>
                <w:color w:val="000000"/>
                <w:sz w:val="21"/>
              </w:rPr>
              <w:t>70,070.23</w:t>
            </w:r>
          </w:p>
        </w:tc>
        <w:tc>
          <w:tcPr>
            <w:tcW w:w="700" w:type="pct"/>
            <w:tcBorders>
              <w:top w:val="single" w:sz="4" w:space="0" w:color="010000"/>
            </w:tcBorders>
            <w:vAlign w:val="center"/>
          </w:tcPr>
          <w:p>
            <w:pPr>
              <w:jc w:val="center"/>
            </w:pPr>
            <w:r/>
            <w:r>
              <w:rPr>
                <w:rFonts w:hint="eastAsia"/>
                <w:color w:val="000000"/>
                <w:sz w:val="21"/>
              </w:rPr>
              <w:t>否</w:t>
            </w:r>
          </w:p>
        </w:tc>
      </w:tr>
      <w:tr>
        <w:trPr>
          <w:cantSplit/>
          <w:jc w:val="center"/>
        </w:trPr>
        <w:tc>
          <w:tcPr>
            <w:tcW w:w="500" w:type="pct"/>
            <w:tcBorders>
              <w:top w:val="single" w:sz="4" w:space="0" w:color="010000"/>
            </w:tcBorders>
            <w:vAlign w:val="center"/>
          </w:tcPr>
          <w:p>
            <w:pPr>
              <w:jc w:val="center"/>
            </w:pPr>
            <w:r/>
            <w:r>
              <w:rPr>
                <w:rFonts w:hint="eastAsia"/>
                <w:color w:val="000000"/>
                <w:sz w:val="21"/>
              </w:rPr>
              <w:t>第二套</w:t>
            </w:r>
          </w:p>
        </w:tc>
        <w:tc>
          <w:tcPr>
            <w:tcW w:w="1800" w:type="pct"/>
            <w:tcBorders>
              <w:top w:val="single" w:sz="4" w:space="0" w:color="010000"/>
            </w:tcBorders>
            <w:vAlign w:val="center"/>
          </w:tcPr>
          <w:p>
            <w:pPr>
              <w:jc w:val="left"/>
            </w:pPr>
            <w:r/>
            <w:r>
              <w:rPr>
                <w:rFonts w:hint="eastAsia"/>
                <w:color w:val="000000"/>
                <w:sz w:val="21"/>
              </w:rPr>
              <w:t>最近一年营业收入</w:t>
            </w:r>
          </w:p>
        </w:tc>
        <w:tc>
          <w:tcPr>
            <w:tcW w:w="800" w:type="pct"/>
            <w:tcBorders>
              <w:top w:val="single" w:sz="4" w:space="0" w:color="010000"/>
            </w:tcBorders>
            <w:vAlign w:val="center"/>
          </w:tcPr>
          <w:p>
            <w:pPr>
              <w:jc w:val="right"/>
            </w:pPr>
            <w:r/>
            <w:r>
              <w:rPr>
                <w:rFonts w:hint="eastAsia"/>
                <w:color w:val="000000"/>
                <w:sz w:val="21"/>
              </w:rPr>
              <w:t>60,000.00</w:t>
            </w:r>
          </w:p>
        </w:tc>
        <w:tc>
          <w:tcPr>
            <w:tcW w:w="1200" w:type="pct"/>
            <w:tcBorders>
              <w:top w:val="single" w:sz="4" w:space="0" w:color="010000"/>
            </w:tcBorders>
            <w:vAlign w:val="center"/>
          </w:tcPr>
          <w:p>
            <w:pPr>
              <w:jc w:val="right"/>
            </w:pPr>
            <w:r/>
            <w:r>
              <w:rPr>
                <w:rFonts w:hint="eastAsia"/>
                <w:color w:val="000000"/>
                <w:sz w:val="21"/>
              </w:rPr>
              <w:t>43,435.86</w:t>
            </w:r>
          </w:p>
        </w:tc>
        <w:tc>
          <w:tcPr>
            <w:tcW w:w="700" w:type="pct"/>
            <w:tcBorders>
              <w:top w:val="single" w:sz="4" w:space="0" w:color="010000"/>
            </w:tcBorders>
            <w:vAlign w:val="center"/>
          </w:tcPr>
          <w:p>
            <w:pPr>
              <w:jc w:val="center"/>
            </w:pPr>
            <w:r/>
            <w:r>
              <w:rPr>
                <w:rFonts w:hint="eastAsia"/>
                <w:color w:val="000000"/>
                <w:sz w:val="21"/>
              </w:rPr>
              <w:t>否</w:t>
            </w:r>
          </w:p>
        </w:tc>
      </w:tr>
      <w:tr>
        <w:trPr>
          <w:cantSplit/>
          <w:jc w:val="center"/>
        </w:trPr>
        <w:tc>
          <w:tcPr>
            <w:tcW w:w="500" w:type="pct"/>
            <w:tcBorders>
              <w:top w:val="single" w:sz="4" w:space="0" w:color="010000"/>
            </w:tcBorders>
            <w:vAlign w:val="center"/>
          </w:tcPr>
          <w:p>
            <w:pPr>
              <w:jc w:val="center"/>
            </w:pPr>
            <w:r/>
            <w:r>
              <w:rPr>
                <w:rFonts w:hint="eastAsia"/>
                <w:color w:val="000000"/>
                <w:sz w:val="21"/>
              </w:rPr>
              <w:t>第二套</w:t>
            </w:r>
          </w:p>
        </w:tc>
        <w:tc>
          <w:tcPr>
            <w:tcW w:w="1800" w:type="pct"/>
            <w:tcBorders>
              <w:top w:val="single" w:sz="4" w:space="0" w:color="010000"/>
            </w:tcBorders>
            <w:vAlign w:val="center"/>
          </w:tcPr>
          <w:p>
            <w:pPr>
              <w:jc w:val="left"/>
            </w:pPr>
            <w:r/>
            <w:r>
              <w:rPr>
                <w:rFonts w:hint="eastAsia"/>
                <w:color w:val="000000"/>
                <w:sz w:val="21"/>
              </w:rPr>
              <w:t>最近三年经营活动现金流量净额累计</w:t>
            </w:r>
          </w:p>
        </w:tc>
        <w:tc>
          <w:tcPr>
            <w:tcW w:w="800" w:type="pct"/>
            <w:tcBorders>
              <w:top w:val="single" w:sz="4" w:space="0" w:color="010000"/>
            </w:tcBorders>
            <w:vAlign w:val="center"/>
          </w:tcPr>
          <w:p>
            <w:pPr>
              <w:jc w:val="right"/>
            </w:pPr>
            <w:r/>
            <w:r>
              <w:rPr>
                <w:rFonts w:hint="eastAsia"/>
                <w:color w:val="000000"/>
                <w:sz w:val="21"/>
              </w:rPr>
              <w:t>25,000.00</w:t>
            </w:r>
          </w:p>
        </w:tc>
        <w:tc>
          <w:tcPr>
            <w:tcW w:w="1200" w:type="pct"/>
            <w:tcBorders>
              <w:top w:val="single" w:sz="4" w:space="0" w:color="010000"/>
            </w:tcBorders>
            <w:vAlign w:val="center"/>
          </w:tcPr>
          <w:p>
            <w:pPr>
              <w:jc w:val="right"/>
            </w:pPr>
            <w:r/>
            <w:r>
              <w:rPr>
                <w:rFonts w:hint="eastAsia"/>
                <w:color w:val="000000"/>
                <w:sz w:val="21"/>
              </w:rPr>
              <w:t>10,450.81</w:t>
            </w:r>
          </w:p>
        </w:tc>
        <w:tc>
          <w:tcPr>
            <w:tcW w:w="700" w:type="pct"/>
            <w:tcBorders>
              <w:top w:val="single" w:sz="4" w:space="0" w:color="010000"/>
            </w:tcBorders>
            <w:vAlign w:val="center"/>
          </w:tcPr>
          <w:p>
            <w:pPr>
              <w:jc w:val="center"/>
            </w:pPr>
            <w:r/>
            <w:r>
              <w:rPr>
                <w:rFonts w:hint="eastAsia"/>
                <w:color w:val="000000"/>
                <w:sz w:val="21"/>
              </w:rPr>
              <w:t>否</w:t>
            </w:r>
          </w:p>
        </w:tc>
      </w:tr>
      <w:tr>
        <w:trPr>
          <w:cantSplit/>
          <w:jc w:val="center"/>
        </w:trPr>
        <w:tc>
          <w:tcPr>
            <w:tcW w:w="500" w:type="pct"/>
            <w:tcBorders>
              <w:top w:val="single" w:sz="4" w:space="0" w:color="010000"/>
            </w:tcBorders>
            <w:vAlign w:val="center"/>
          </w:tcPr>
          <w:p>
            <w:pPr>
              <w:jc w:val="center"/>
            </w:pPr>
            <w:r/>
            <w:r>
              <w:rPr>
                <w:rFonts w:hint="eastAsia"/>
                <w:color w:val="000000"/>
                <w:sz w:val="21"/>
              </w:rPr>
              <w:t>第三套</w:t>
            </w:r>
          </w:p>
        </w:tc>
        <w:tc>
          <w:tcPr>
            <w:tcW w:w="1800" w:type="pct"/>
            <w:tcBorders>
              <w:top w:val="single" w:sz="4" w:space="0" w:color="010000"/>
            </w:tcBorders>
            <w:vAlign w:val="center"/>
          </w:tcPr>
          <w:p>
            <w:pPr>
              <w:jc w:val="left"/>
            </w:pPr>
            <w:r/>
            <w:r>
              <w:rPr>
                <w:rFonts w:hint="eastAsia"/>
                <w:color w:val="000000"/>
                <w:sz w:val="21"/>
              </w:rPr>
              <w:t>最近一年营业收入</w:t>
            </w:r>
          </w:p>
        </w:tc>
        <w:tc>
          <w:tcPr>
            <w:tcW w:w="800" w:type="pct"/>
            <w:tcBorders>
              <w:top w:val="single" w:sz="4" w:space="0" w:color="010000"/>
            </w:tcBorders>
            <w:vAlign w:val="center"/>
          </w:tcPr>
          <w:p>
            <w:pPr>
              <w:jc w:val="right"/>
            </w:pPr>
            <w:r/>
            <w:r>
              <w:rPr>
                <w:rFonts w:hint="eastAsia"/>
                <w:color w:val="000000"/>
                <w:sz w:val="21"/>
              </w:rPr>
              <w:t>100,000.00</w:t>
            </w:r>
          </w:p>
        </w:tc>
        <w:tc>
          <w:tcPr>
            <w:tcW w:w="1200" w:type="pct"/>
            <w:tcBorders>
              <w:top w:val="single" w:sz="4" w:space="0" w:color="010000"/>
            </w:tcBorders>
            <w:vAlign w:val="center"/>
          </w:tcPr>
          <w:p>
            <w:pPr>
              <w:jc w:val="right"/>
            </w:pPr>
            <w:r/>
            <w:r>
              <w:rPr>
                <w:rFonts w:hint="eastAsia"/>
                <w:color w:val="000000"/>
                <w:sz w:val="21"/>
              </w:rPr>
              <w:t>43,435.86</w:t>
            </w:r>
          </w:p>
        </w:tc>
        <w:tc>
          <w:tcPr>
            <w:tcW w:w="700" w:type="pct"/>
            <w:tcBorders>
              <w:top w:val="single" w:sz="4" w:space="0" w:color="010000"/>
            </w:tcBorders>
            <w:vAlign w:val="center"/>
          </w:tcPr>
          <w:p>
            <w:pPr>
              <w:jc w:val="center"/>
            </w:pPr>
            <w:r/>
            <w:r>
              <w:rPr>
                <w:rFonts w:hint="eastAsia"/>
                <w:color w:val="000000"/>
                <w:sz w:val="21"/>
              </w:rPr>
              <w:t>否</w:t>
            </w:r>
          </w:p>
        </w:tc>
      </w:tr>
    </w:tbl>
    <w:p>
      <w:pPr>
        <w:pStyle w:val="a6"/>
        <w:jc w:val="center"/>
      </w:pPr>
      <w:r>
        <w:rPr>
          <w:rFonts w:hint="eastAsia"/>
          <w:sz w:val="11"/>
          <w:szCs w:val="11"/>
        </w:rPr>
        <w:t>资料来源：上海证券交易所主板发行上市条件，国泰海通投资银行部整理，发行人审计报告</w:t>
      </w:r>
    </w:p>
    <w:p>
      <w:pPr>
        <w:pStyle w:val="a0"/>
      </w:pPr>
      <w:r>
        <w:rPr>
          <w:rFonts w:hint="eastAsia"/>
        </w:rPr>
        <w:t>按2023年度至2025年度的经审计数据，三套标准均不满足。按公司战略规划的目标数据滚动测算的结果见第三章。</w:t>
      </w:r>
    </w:p>
    <w:p>
      <w:pPr>
        <w:pStyle w:val="a0"/>
      </w:pPr>
      <w:r>
        <w:rPr>
          <w:rFonts w:hint="eastAsia"/>
        </w:rPr>
        <w:t>第一套标准中，净利润的两项要求均达到并有余量：最近三年累计23,855.94万元，超出门槛3,855.94万元；最近一年13,343.75万元，超出门槛3,343.75万元。未达标的是最后一项，该项为二选一，两条均未达到，经营活动现金流量净额累计差9,549.19万元，营业收入累计差79,929.77万元。</w:t>
      </w:r>
    </w:p>
    <w:p>
      <w:pPr>
        <w:pStyle w:val="a0"/>
      </w:pPr>
      <w:r>
        <w:rPr>
          <w:rFonts w:hint="eastAsia"/>
        </w:rPr>
        <w:t>第二套、第三套标准的最近一年营业收入均未达到，分别差16,564.14万元和56,564.14万元。两套标准另设50亿元和100亿元的预计市值门槛，发行人尚未评估，按2025年度净利润13,343.75万元计算，分别对应约37.47倍和74.94倍市盈率。</w:t>
      </w:r>
    </w:p>
    <w:p>
      <w:pPr>
        <w:pStyle w:val="a0"/>
      </w:pPr>
      <w:r>
        <w:rPr>
          <w:rFonts w:hint="eastAsia"/>
        </w:rPr>
        <w:t>经营活动现金流量净额低于净利润，主要原因是发行人的资金以“内部存款”形式存放于集团。该科目在会计上列示为其他应收款，不计入现金及现金等价物，其增加额在现金流量表中计入经营性应收项目的增加。2025年末该科目余额24,763.26万元，2026年6月末38,048.24万元，占资产总计的76.64%。将各期净增加额加回后，2023年度至2025年度经营活动现金流量净额累计约32,090.69万元。</w:t>
      </w:r>
    </w:p>
    <w:p>
      <w:pPr>
        <w:pStyle w:val="2"/>
        <w:spacing w:before="156" w:after="156"/>
      </w:pPr>
      <w:bookmarkStart w:id="1002" w:name="_Toc900002"/>
      <w:r>
        <w:rPr>
          <w:rFonts w:hint="eastAsia"/>
          <w:b/>
        </w:rPr>
        <w:t>按公司战略规划数据的模拟测算</w:t>
      </w:r>
      <w:bookmarkEnd w:id="1002"/>
    </w:p>
    <w:p>
      <w:pPr>
        <w:pStyle w:val="3"/>
        <w:numPr>
          <w:ilvl w:val="0"/>
          <w:numId w:val="0"/>
        </w:numPr>
        <w:spacing w:before="156" w:after="156"/>
      </w:pPr>
      <w:bookmarkStart w:id="1003" w:name="_Toc900003"/>
      <w:r>
        <w:rPr>
          <w:rFonts w:hint="eastAsia"/>
        </w:rPr>
        <w:t>3.1 规划数据及口径说明</w:t>
      </w:r>
      <w:bookmarkEnd w:id="1003"/>
    </w:p>
    <w:p>
      <w:pPr>
        <w:pStyle w:val="a0"/>
      </w:pPr>
      <w:r>
        <w:rPr>
          <w:rFonts w:hint="eastAsia"/>
        </w:rPr>
        <w:t>公司《燕京中发“十五五”战略规划》列示了2026年至2030年的营业收入及利润目标，核心目标为争取2028年上市成功、市值达到80亿元。规划未列示经营活动产生的现金流量净额，本次以发行人2025年经审计的4,723.32万元为基数，按规划列示的收入增速逐年递推模拟。规划数据及模拟结果如下表。</w:t>
      </w:r>
    </w:p>
    <w:p>
      <w:pPr>
        <w:keepNext/>
        <w:jc w:val="center"/>
      </w:pPr>
      <w:r>
        <w:rPr>
          <w:rFonts w:hint="eastAsia"/>
          <w:b/>
          <w:sz w:val="21"/>
        </w:rPr>
        <w:t>表4：公司战略规划数据及经营活动现金流量净额模拟（单位：万元）</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384"/>
        <w:gridCol w:w="1384"/>
        <w:gridCol w:w="1384"/>
        <w:gridCol w:w="1384"/>
        <w:gridCol w:w="1384"/>
        <w:gridCol w:w="1384"/>
      </w:tblGrid>
      <w:tr>
        <w:trPr>
          <w:cantSplit/>
          <w:tblHeader/>
          <w:jc w:val="center"/>
        </w:trPr>
        <w:tc>
          <w:tcPr>
            <w:tcW w:w="1300" w:type="pct"/>
            <w:tcBorders>
              <w:top w:val="single" w:sz="12" w:space="0" w:color="010000"/>
              <w:bottom w:val="single" w:sz="4" w:space="0" w:color="010000"/>
            </w:tcBorders>
            <w:vAlign w:val="center"/>
          </w:tcPr>
          <w:p>
            <w:pPr>
              <w:keepNext/>
              <w:jc w:val="center"/>
            </w:pPr>
            <w:r/>
            <w:r>
              <w:rPr>
                <w:rFonts w:hint="eastAsia"/>
                <w:b/>
                <w:color w:val="000000"/>
                <w:sz w:val="21"/>
              </w:rPr>
              <w:t>项目</w:t>
            </w:r>
          </w:p>
        </w:tc>
        <w:tc>
          <w:tcPr>
            <w:tcW w:w="740" w:type="pct"/>
            <w:tcBorders>
              <w:top w:val="single" w:sz="12" w:space="0" w:color="010000"/>
              <w:bottom w:val="single" w:sz="4" w:space="0" w:color="010000"/>
            </w:tcBorders>
            <w:vAlign w:val="center"/>
          </w:tcPr>
          <w:p>
            <w:pPr>
              <w:keepNext/>
              <w:jc w:val="center"/>
            </w:pPr>
            <w:r/>
            <w:r>
              <w:rPr>
                <w:rFonts w:hint="eastAsia"/>
                <w:b/>
                <w:color w:val="000000"/>
                <w:sz w:val="21"/>
              </w:rPr>
              <w:t>2026年</w:t>
            </w:r>
          </w:p>
        </w:tc>
        <w:tc>
          <w:tcPr>
            <w:tcW w:w="740" w:type="pct"/>
            <w:tcBorders>
              <w:top w:val="single" w:sz="12" w:space="0" w:color="010000"/>
              <w:bottom w:val="single" w:sz="4" w:space="0" w:color="010000"/>
            </w:tcBorders>
            <w:vAlign w:val="center"/>
          </w:tcPr>
          <w:p>
            <w:pPr>
              <w:keepNext/>
              <w:jc w:val="center"/>
            </w:pPr>
            <w:r/>
            <w:r>
              <w:rPr>
                <w:rFonts w:hint="eastAsia"/>
                <w:b/>
                <w:color w:val="000000"/>
                <w:sz w:val="21"/>
              </w:rPr>
              <w:t>2027年</w:t>
            </w:r>
          </w:p>
        </w:tc>
        <w:tc>
          <w:tcPr>
            <w:tcW w:w="740" w:type="pct"/>
            <w:tcBorders>
              <w:top w:val="single" w:sz="12" w:space="0" w:color="010000"/>
              <w:bottom w:val="single" w:sz="4" w:space="0" w:color="010000"/>
            </w:tcBorders>
            <w:vAlign w:val="center"/>
          </w:tcPr>
          <w:p>
            <w:pPr>
              <w:keepNext/>
              <w:jc w:val="center"/>
            </w:pPr>
            <w:r/>
            <w:r>
              <w:rPr>
                <w:rFonts w:hint="eastAsia"/>
                <w:b/>
                <w:color w:val="000000"/>
                <w:sz w:val="21"/>
              </w:rPr>
              <w:t>2028年</w:t>
            </w:r>
          </w:p>
        </w:tc>
        <w:tc>
          <w:tcPr>
            <w:tcW w:w="740" w:type="pct"/>
            <w:tcBorders>
              <w:top w:val="single" w:sz="12" w:space="0" w:color="010000"/>
              <w:bottom w:val="single" w:sz="4" w:space="0" w:color="010000"/>
            </w:tcBorders>
            <w:vAlign w:val="center"/>
          </w:tcPr>
          <w:p>
            <w:pPr>
              <w:keepNext/>
              <w:jc w:val="center"/>
            </w:pPr>
            <w:r/>
            <w:r>
              <w:rPr>
                <w:rFonts w:hint="eastAsia"/>
                <w:b/>
                <w:color w:val="000000"/>
                <w:sz w:val="21"/>
              </w:rPr>
              <w:t>2029年</w:t>
            </w:r>
          </w:p>
        </w:tc>
        <w:tc>
          <w:tcPr>
            <w:tcW w:w="740" w:type="pct"/>
            <w:tcBorders>
              <w:top w:val="single" w:sz="12" w:space="0" w:color="010000"/>
              <w:bottom w:val="single" w:sz="4" w:space="0" w:color="010000"/>
            </w:tcBorders>
            <w:vAlign w:val="center"/>
          </w:tcPr>
          <w:p>
            <w:pPr>
              <w:keepNext/>
              <w:jc w:val="center"/>
            </w:pPr>
            <w:r/>
            <w:r>
              <w:rPr>
                <w:rFonts w:hint="eastAsia"/>
                <w:b/>
                <w:color w:val="000000"/>
                <w:sz w:val="21"/>
              </w:rPr>
              <w:t>2030年</w:t>
            </w:r>
          </w:p>
        </w:tc>
      </w:tr>
      <w:tr>
        <w:trPr>
          <w:cantSplit/>
          <w:jc w:val="center"/>
        </w:trPr>
        <w:tc>
          <w:tcPr>
            <w:tcW w:w="1300" w:type="pct"/>
            <w:tcBorders>
              <w:top w:val="single" w:sz="4" w:space="0" w:color="010000"/>
            </w:tcBorders>
            <w:vAlign w:val="center"/>
          </w:tcPr>
          <w:p>
            <w:pPr>
              <w:jc w:val="left"/>
            </w:pPr>
            <w:r/>
            <w:r>
              <w:rPr>
                <w:rFonts w:hint="eastAsia"/>
                <w:color w:val="000000"/>
                <w:sz w:val="21"/>
              </w:rPr>
              <w:t>营业收入</w:t>
            </w:r>
          </w:p>
        </w:tc>
        <w:tc>
          <w:tcPr>
            <w:tcW w:w="740" w:type="pct"/>
            <w:tcBorders>
              <w:top w:val="single" w:sz="4" w:space="0" w:color="010000"/>
            </w:tcBorders>
            <w:vAlign w:val="center"/>
          </w:tcPr>
          <w:p>
            <w:pPr>
              <w:jc w:val="right"/>
            </w:pPr>
            <w:r/>
            <w:r>
              <w:rPr>
                <w:rFonts w:hint="eastAsia"/>
                <w:color w:val="000000"/>
                <w:sz w:val="21"/>
              </w:rPr>
              <w:t>50,000.00</w:t>
            </w:r>
          </w:p>
        </w:tc>
        <w:tc>
          <w:tcPr>
            <w:tcW w:w="740" w:type="pct"/>
            <w:tcBorders>
              <w:top w:val="single" w:sz="4" w:space="0" w:color="010000"/>
            </w:tcBorders>
            <w:vAlign w:val="center"/>
          </w:tcPr>
          <w:p>
            <w:pPr>
              <w:jc w:val="right"/>
            </w:pPr>
            <w:r/>
            <w:r>
              <w:rPr>
                <w:rFonts w:hint="eastAsia"/>
                <w:color w:val="000000"/>
                <w:sz w:val="21"/>
              </w:rPr>
              <w:t>63,000.00</w:t>
            </w:r>
          </w:p>
        </w:tc>
        <w:tc>
          <w:tcPr>
            <w:tcW w:w="740" w:type="pct"/>
            <w:tcBorders>
              <w:top w:val="single" w:sz="4" w:space="0" w:color="010000"/>
            </w:tcBorders>
            <w:vAlign w:val="center"/>
          </w:tcPr>
          <w:p>
            <w:pPr>
              <w:jc w:val="right"/>
            </w:pPr>
            <w:r/>
            <w:r>
              <w:rPr>
                <w:rFonts w:hint="eastAsia"/>
                <w:color w:val="000000"/>
                <w:sz w:val="21"/>
              </w:rPr>
              <w:t>80,000.00</w:t>
            </w:r>
          </w:p>
        </w:tc>
        <w:tc>
          <w:tcPr>
            <w:tcW w:w="740" w:type="pct"/>
            <w:tcBorders>
              <w:top w:val="single" w:sz="4" w:space="0" w:color="010000"/>
            </w:tcBorders>
            <w:vAlign w:val="center"/>
          </w:tcPr>
          <w:p>
            <w:pPr>
              <w:jc w:val="right"/>
            </w:pPr>
            <w:r/>
            <w:r>
              <w:rPr>
                <w:rFonts w:hint="eastAsia"/>
                <w:color w:val="000000"/>
                <w:sz w:val="21"/>
              </w:rPr>
              <w:t>100,000.00</w:t>
            </w:r>
          </w:p>
        </w:tc>
        <w:tc>
          <w:tcPr>
            <w:tcW w:w="740" w:type="pct"/>
            <w:tcBorders>
              <w:top w:val="single" w:sz="4" w:space="0" w:color="010000"/>
            </w:tcBorders>
            <w:vAlign w:val="center"/>
          </w:tcPr>
          <w:p>
            <w:pPr>
              <w:jc w:val="right"/>
            </w:pPr>
            <w:r/>
            <w:r>
              <w:rPr>
                <w:rFonts w:hint="eastAsia"/>
                <w:color w:val="000000"/>
                <w:sz w:val="21"/>
              </w:rPr>
              <w:t>120,000.00</w:t>
            </w:r>
          </w:p>
        </w:tc>
      </w:tr>
      <w:tr>
        <w:trPr>
          <w:cantSplit/>
          <w:jc w:val="center"/>
        </w:trPr>
        <w:tc>
          <w:tcPr>
            <w:tcW w:w="1300" w:type="pct"/>
            <w:tcBorders>
              <w:top w:val="single" w:sz="4" w:space="0" w:color="010000"/>
            </w:tcBorders>
            <w:vAlign w:val="center"/>
          </w:tcPr>
          <w:p>
            <w:pPr>
              <w:jc w:val="left"/>
            </w:pPr>
            <w:r/>
            <w:r>
              <w:rPr>
                <w:rFonts w:hint="eastAsia"/>
                <w:color w:val="000000"/>
                <w:sz w:val="21"/>
              </w:rPr>
              <w:t xml:space="preserve">　同比增长</w:t>
            </w:r>
          </w:p>
        </w:tc>
        <w:tc>
          <w:tcPr>
            <w:tcW w:w="740" w:type="pct"/>
            <w:tcBorders>
              <w:top w:val="single" w:sz="4" w:space="0" w:color="010000"/>
            </w:tcBorders>
            <w:vAlign w:val="center"/>
          </w:tcPr>
          <w:p>
            <w:pPr>
              <w:jc w:val="right"/>
            </w:pPr>
            <w:r/>
            <w:r>
              <w:rPr>
                <w:rFonts w:hint="eastAsia"/>
                <w:color w:val="000000"/>
                <w:sz w:val="21"/>
              </w:rPr>
              <w:t>18%</w:t>
            </w:r>
          </w:p>
        </w:tc>
        <w:tc>
          <w:tcPr>
            <w:tcW w:w="740" w:type="pct"/>
            <w:tcBorders>
              <w:top w:val="single" w:sz="4" w:space="0" w:color="010000"/>
            </w:tcBorders>
            <w:vAlign w:val="center"/>
          </w:tcPr>
          <w:p>
            <w:pPr>
              <w:jc w:val="right"/>
            </w:pPr>
            <w:r/>
            <w:r>
              <w:rPr>
                <w:rFonts w:hint="eastAsia"/>
                <w:color w:val="000000"/>
                <w:sz w:val="21"/>
              </w:rPr>
              <w:t>26%</w:t>
            </w:r>
          </w:p>
        </w:tc>
        <w:tc>
          <w:tcPr>
            <w:tcW w:w="740" w:type="pct"/>
            <w:tcBorders>
              <w:top w:val="single" w:sz="4" w:space="0" w:color="010000"/>
            </w:tcBorders>
            <w:vAlign w:val="center"/>
          </w:tcPr>
          <w:p>
            <w:pPr>
              <w:jc w:val="right"/>
            </w:pPr>
            <w:r/>
            <w:r>
              <w:rPr>
                <w:rFonts w:hint="eastAsia"/>
                <w:color w:val="000000"/>
                <w:sz w:val="21"/>
              </w:rPr>
              <w:t>27%</w:t>
            </w:r>
          </w:p>
        </w:tc>
        <w:tc>
          <w:tcPr>
            <w:tcW w:w="740" w:type="pct"/>
            <w:tcBorders>
              <w:top w:val="single" w:sz="4" w:space="0" w:color="010000"/>
            </w:tcBorders>
            <w:vAlign w:val="center"/>
          </w:tcPr>
          <w:p>
            <w:pPr>
              <w:jc w:val="right"/>
            </w:pPr>
            <w:r/>
            <w:r>
              <w:rPr>
                <w:rFonts w:hint="eastAsia"/>
                <w:color w:val="000000"/>
                <w:sz w:val="21"/>
              </w:rPr>
              <w:t>25%</w:t>
            </w:r>
          </w:p>
        </w:tc>
        <w:tc>
          <w:tcPr>
            <w:tcW w:w="740" w:type="pct"/>
            <w:tcBorders>
              <w:top w:val="single" w:sz="4" w:space="0" w:color="010000"/>
            </w:tcBorders>
            <w:vAlign w:val="center"/>
          </w:tcPr>
          <w:p>
            <w:pPr>
              <w:jc w:val="right"/>
            </w:pPr>
            <w:r/>
            <w:r>
              <w:rPr>
                <w:rFonts w:hint="eastAsia"/>
                <w:color w:val="000000"/>
                <w:sz w:val="21"/>
              </w:rPr>
              <w:t>20%</w:t>
            </w:r>
          </w:p>
        </w:tc>
      </w:tr>
      <w:tr>
        <w:trPr>
          <w:cantSplit/>
          <w:jc w:val="center"/>
        </w:trPr>
        <w:tc>
          <w:tcPr>
            <w:tcW w:w="1300" w:type="pct"/>
            <w:tcBorders>
              <w:top w:val="single" w:sz="4" w:space="0" w:color="010000"/>
            </w:tcBorders>
            <w:vAlign w:val="center"/>
          </w:tcPr>
          <w:p>
            <w:pPr>
              <w:jc w:val="left"/>
            </w:pPr>
            <w:r/>
            <w:r>
              <w:rPr>
                <w:rFonts w:hint="eastAsia"/>
                <w:color w:val="000000"/>
                <w:sz w:val="21"/>
              </w:rPr>
              <w:t>利润</w:t>
            </w:r>
          </w:p>
        </w:tc>
        <w:tc>
          <w:tcPr>
            <w:tcW w:w="740" w:type="pct"/>
            <w:tcBorders>
              <w:top w:val="single" w:sz="4" w:space="0" w:color="010000"/>
            </w:tcBorders>
            <w:vAlign w:val="center"/>
          </w:tcPr>
          <w:p>
            <w:pPr>
              <w:jc w:val="right"/>
            </w:pPr>
            <w:r/>
            <w:r>
              <w:rPr>
                <w:rFonts w:hint="eastAsia"/>
                <w:color w:val="000000"/>
                <w:sz w:val="21"/>
              </w:rPr>
              <w:t>19,000.00</w:t>
            </w:r>
          </w:p>
        </w:tc>
        <w:tc>
          <w:tcPr>
            <w:tcW w:w="740" w:type="pct"/>
            <w:tcBorders>
              <w:top w:val="single" w:sz="4" w:space="0" w:color="010000"/>
            </w:tcBorders>
            <w:vAlign w:val="center"/>
          </w:tcPr>
          <w:p>
            <w:pPr>
              <w:jc w:val="right"/>
            </w:pPr>
            <w:r/>
            <w:r>
              <w:rPr>
                <w:rFonts w:hint="eastAsia"/>
                <w:color w:val="000000"/>
                <w:sz w:val="21"/>
              </w:rPr>
              <w:t>22,800.00</w:t>
            </w:r>
          </w:p>
        </w:tc>
        <w:tc>
          <w:tcPr>
            <w:tcW w:w="740" w:type="pct"/>
            <w:tcBorders>
              <w:top w:val="single" w:sz="4" w:space="0" w:color="010000"/>
            </w:tcBorders>
            <w:vAlign w:val="center"/>
          </w:tcPr>
          <w:p>
            <w:pPr>
              <w:jc w:val="right"/>
            </w:pPr>
            <w:r/>
            <w:r>
              <w:rPr>
                <w:rFonts w:hint="eastAsia"/>
                <w:color w:val="000000"/>
                <w:sz w:val="21"/>
              </w:rPr>
              <w:t>27,816.00</w:t>
            </w:r>
          </w:p>
        </w:tc>
        <w:tc>
          <w:tcPr>
            <w:tcW w:w="740" w:type="pct"/>
            <w:tcBorders>
              <w:top w:val="single" w:sz="4" w:space="0" w:color="010000"/>
            </w:tcBorders>
            <w:vAlign w:val="center"/>
          </w:tcPr>
          <w:p>
            <w:pPr>
              <w:jc w:val="right"/>
            </w:pPr>
            <w:r/>
            <w:r>
              <w:rPr>
                <w:rFonts w:hint="eastAsia"/>
                <w:color w:val="000000"/>
                <w:sz w:val="21"/>
              </w:rPr>
              <w:t>32,822.80</w:t>
            </w:r>
          </w:p>
        </w:tc>
        <w:tc>
          <w:tcPr>
            <w:tcW w:w="740" w:type="pct"/>
            <w:tcBorders>
              <w:top w:val="single" w:sz="4" w:space="0" w:color="010000"/>
            </w:tcBorders>
            <w:vAlign w:val="center"/>
          </w:tcPr>
          <w:p>
            <w:pPr>
              <w:jc w:val="right"/>
            </w:pPr>
            <w:r/>
            <w:r>
              <w:rPr>
                <w:rFonts w:hint="eastAsia"/>
                <w:color w:val="000000"/>
                <w:sz w:val="21"/>
              </w:rPr>
              <w:t>37,746.20</w:t>
            </w:r>
          </w:p>
        </w:tc>
      </w:tr>
      <w:tr>
        <w:trPr>
          <w:cantSplit/>
          <w:jc w:val="center"/>
        </w:trPr>
        <w:tc>
          <w:tcPr>
            <w:tcW w:w="1300" w:type="pct"/>
            <w:tcBorders>
              <w:top w:val="single" w:sz="4" w:space="0" w:color="010000"/>
            </w:tcBorders>
            <w:vAlign w:val="center"/>
          </w:tcPr>
          <w:p>
            <w:pPr>
              <w:jc w:val="left"/>
            </w:pPr>
            <w:r/>
            <w:r>
              <w:rPr>
                <w:rFonts w:hint="eastAsia"/>
                <w:color w:val="000000"/>
                <w:sz w:val="21"/>
              </w:rPr>
              <w:t xml:space="preserve">　同比增长</w:t>
            </w:r>
          </w:p>
        </w:tc>
        <w:tc>
          <w:tcPr>
            <w:tcW w:w="740" w:type="pct"/>
            <w:tcBorders>
              <w:top w:val="single" w:sz="4" w:space="0" w:color="010000"/>
            </w:tcBorders>
            <w:vAlign w:val="center"/>
          </w:tcPr>
          <w:p>
            <w:pPr>
              <w:jc w:val="right"/>
            </w:pPr>
            <w:r/>
            <w:r>
              <w:rPr>
                <w:rFonts w:hint="eastAsia"/>
                <w:color w:val="000000"/>
                <w:sz w:val="21"/>
              </w:rPr>
              <w:t>5%</w:t>
            </w:r>
          </w:p>
        </w:tc>
        <w:tc>
          <w:tcPr>
            <w:tcW w:w="740" w:type="pct"/>
            <w:tcBorders>
              <w:top w:val="single" w:sz="4" w:space="0" w:color="010000"/>
            </w:tcBorders>
            <w:vAlign w:val="center"/>
          </w:tcPr>
          <w:p>
            <w:pPr>
              <w:jc w:val="right"/>
            </w:pPr>
            <w:r/>
            <w:r>
              <w:rPr>
                <w:rFonts w:hint="eastAsia"/>
                <w:color w:val="000000"/>
                <w:sz w:val="21"/>
              </w:rPr>
              <w:t>20%</w:t>
            </w:r>
          </w:p>
        </w:tc>
        <w:tc>
          <w:tcPr>
            <w:tcW w:w="740" w:type="pct"/>
            <w:tcBorders>
              <w:top w:val="single" w:sz="4" w:space="0" w:color="010000"/>
            </w:tcBorders>
            <w:vAlign w:val="center"/>
          </w:tcPr>
          <w:p>
            <w:pPr>
              <w:jc w:val="right"/>
            </w:pPr>
            <w:r/>
            <w:r>
              <w:rPr>
                <w:rFonts w:hint="eastAsia"/>
                <w:color w:val="000000"/>
                <w:sz w:val="21"/>
              </w:rPr>
              <w:t>22%</w:t>
            </w:r>
          </w:p>
        </w:tc>
        <w:tc>
          <w:tcPr>
            <w:tcW w:w="740" w:type="pct"/>
            <w:tcBorders>
              <w:top w:val="single" w:sz="4" w:space="0" w:color="010000"/>
            </w:tcBorders>
            <w:vAlign w:val="center"/>
          </w:tcPr>
          <w:p>
            <w:pPr>
              <w:jc w:val="right"/>
            </w:pPr>
            <w:r/>
            <w:r>
              <w:rPr>
                <w:rFonts w:hint="eastAsia"/>
                <w:color w:val="000000"/>
                <w:sz w:val="21"/>
              </w:rPr>
              <w:t>18%</w:t>
            </w:r>
          </w:p>
        </w:tc>
        <w:tc>
          <w:tcPr>
            <w:tcW w:w="740" w:type="pct"/>
            <w:tcBorders>
              <w:top w:val="single" w:sz="4" w:space="0" w:color="010000"/>
            </w:tcBorders>
            <w:vAlign w:val="center"/>
          </w:tcPr>
          <w:p>
            <w:pPr>
              <w:jc w:val="right"/>
            </w:pPr>
            <w:r/>
            <w:r>
              <w:rPr>
                <w:rFonts w:hint="eastAsia"/>
                <w:color w:val="000000"/>
                <w:sz w:val="21"/>
              </w:rPr>
              <w:t>15%</w:t>
            </w:r>
          </w:p>
        </w:tc>
      </w:tr>
      <w:tr>
        <w:trPr>
          <w:cantSplit/>
          <w:jc w:val="center"/>
        </w:trPr>
        <w:tc>
          <w:tcPr>
            <w:tcW w:w="1300" w:type="pct"/>
            <w:tcBorders>
              <w:top w:val="single" w:sz="4" w:space="0" w:color="010000"/>
            </w:tcBorders>
            <w:vAlign w:val="center"/>
          </w:tcPr>
          <w:p>
            <w:pPr>
              <w:jc w:val="left"/>
            </w:pPr>
            <w:r/>
            <w:r>
              <w:rPr>
                <w:rFonts w:hint="eastAsia"/>
                <w:color w:val="000000"/>
                <w:sz w:val="21"/>
              </w:rPr>
              <w:t>经营活动现金流量净额（模拟）</w:t>
            </w:r>
          </w:p>
        </w:tc>
        <w:tc>
          <w:tcPr>
            <w:tcW w:w="740" w:type="pct"/>
            <w:tcBorders>
              <w:top w:val="single" w:sz="4" w:space="0" w:color="010000"/>
            </w:tcBorders>
            <w:vAlign w:val="center"/>
          </w:tcPr>
          <w:p>
            <w:pPr>
              <w:jc w:val="right"/>
            </w:pPr>
            <w:r/>
            <w:r>
              <w:rPr>
                <w:rFonts w:hint="eastAsia"/>
                <w:color w:val="000000"/>
                <w:sz w:val="21"/>
              </w:rPr>
              <w:t>5,573.52</w:t>
            </w:r>
          </w:p>
        </w:tc>
        <w:tc>
          <w:tcPr>
            <w:tcW w:w="740" w:type="pct"/>
            <w:tcBorders>
              <w:top w:val="single" w:sz="4" w:space="0" w:color="010000"/>
            </w:tcBorders>
            <w:vAlign w:val="center"/>
          </w:tcPr>
          <w:p>
            <w:pPr>
              <w:jc w:val="right"/>
            </w:pPr>
            <w:r/>
            <w:r>
              <w:rPr>
                <w:rFonts w:hint="eastAsia"/>
                <w:color w:val="000000"/>
                <w:sz w:val="21"/>
              </w:rPr>
              <w:t>7,022.63</w:t>
            </w:r>
          </w:p>
        </w:tc>
        <w:tc>
          <w:tcPr>
            <w:tcW w:w="740" w:type="pct"/>
            <w:tcBorders>
              <w:top w:val="single" w:sz="4" w:space="0" w:color="010000"/>
            </w:tcBorders>
            <w:vAlign w:val="center"/>
          </w:tcPr>
          <w:p>
            <w:pPr>
              <w:jc w:val="right"/>
            </w:pPr>
            <w:r/>
            <w:r>
              <w:rPr>
                <w:rFonts w:hint="eastAsia"/>
                <w:color w:val="000000"/>
                <w:sz w:val="21"/>
              </w:rPr>
              <w:t>8,918.74</w:t>
            </w:r>
          </w:p>
        </w:tc>
        <w:tc>
          <w:tcPr>
            <w:tcW w:w="740" w:type="pct"/>
            <w:tcBorders>
              <w:top w:val="single" w:sz="4" w:space="0" w:color="010000"/>
            </w:tcBorders>
            <w:vAlign w:val="center"/>
          </w:tcPr>
          <w:p>
            <w:pPr>
              <w:jc w:val="right"/>
            </w:pPr>
            <w:r/>
            <w:r>
              <w:rPr>
                <w:rFonts w:hint="eastAsia"/>
                <w:color w:val="000000"/>
                <w:sz w:val="21"/>
              </w:rPr>
              <w:t>11,148.43</w:t>
            </w:r>
          </w:p>
        </w:tc>
        <w:tc>
          <w:tcPr>
            <w:tcW w:w="740" w:type="pct"/>
            <w:tcBorders>
              <w:top w:val="single" w:sz="4" w:space="0" w:color="010000"/>
            </w:tcBorders>
            <w:vAlign w:val="center"/>
          </w:tcPr>
          <w:p>
            <w:pPr>
              <w:jc w:val="right"/>
            </w:pPr>
            <w:r/>
            <w:r>
              <w:rPr>
                <w:rFonts w:hint="eastAsia"/>
                <w:color w:val="000000"/>
                <w:sz w:val="21"/>
              </w:rPr>
              <w:t>13,378.11</w:t>
            </w:r>
          </w:p>
        </w:tc>
      </w:tr>
    </w:tbl>
    <w:p>
      <w:pPr>
        <w:pStyle w:val="a6"/>
        <w:jc w:val="center"/>
      </w:pPr>
      <w:r>
        <w:rPr>
          <w:rFonts w:hint="eastAsia"/>
          <w:sz w:val="11"/>
          <w:szCs w:val="11"/>
        </w:rPr>
        <w:t>资料来源：公司《燕京中发“十五五”战略规划》，现金流量净额为模拟测算，国泰海通投资银行部整理</w:t>
      </w:r>
    </w:p>
    <w:p>
      <w:pPr>
        <w:pStyle w:val="a0"/>
      </w:pPr>
      <w:r>
        <w:rPr>
          <w:rFonts w:hint="eastAsia"/>
        </w:rPr>
        <w:t>规划数据与经审计数据存在两处口径差异。一是规划的2026年营业收入50,000.00万元，较发行人2025年经审计营业收入43,435.86万元增长15.11%，与规划列示的18%不一致。二是规划的2026年利润19,000.00万元，较2025年经审计净利润13,343.75万元增长42.39%，较利润总额15,071.95万元增长26.06%，均与规划列示的5%不一致。两处差异系规划编制时采用的2025年基数与经审计数不同所致。2027年至2030年各年的收入增速与规划列示一致。</w:t>
      </w:r>
    </w:p>
    <w:p>
      <w:pPr>
        <w:pStyle w:val="a0"/>
      </w:pPr>
      <w:r>
        <w:rPr>
          <w:rFonts w:hint="eastAsia"/>
        </w:rPr>
        <w:t>规划列示的“利润”未标明为净利润或者利润总额，下述测算按净利润口径使用。</w:t>
      </w:r>
    </w:p>
    <w:p>
      <w:pPr>
        <w:pStyle w:val="3"/>
        <w:numPr>
          <w:ilvl w:val="0"/>
          <w:numId w:val="0"/>
        </w:numPr>
        <w:spacing w:before="156" w:after="156"/>
      </w:pPr>
      <w:bookmarkStart w:id="1004" w:name="_Toc900004"/>
      <w:r>
        <w:rPr>
          <w:rFonts w:hint="eastAsia"/>
        </w:rPr>
        <w:t>3.2 滚动三年测算</w:t>
      </w:r>
      <w:bookmarkEnd w:id="1004"/>
    </w:p>
    <w:p>
      <w:pPr>
        <w:pStyle w:val="a0"/>
      </w:pPr>
      <w:r>
        <w:rPr>
          <w:rFonts w:hint="eastAsia"/>
        </w:rPr>
        <w:t>主板第一套标准取最近三年数据，报告期不同则结果不同。以2024年度至2028年度的滚动三年口径逐一测算，结果如下表。</w:t>
      </w:r>
    </w:p>
    <w:p>
      <w:pPr>
        <w:keepNext/>
        <w:jc w:val="center"/>
      </w:pPr>
      <w:r>
        <w:rPr>
          <w:rFonts w:hint="eastAsia"/>
          <w:b/>
          <w:sz w:val="21"/>
        </w:rPr>
        <w:t>表5：按规划数据的滚动三年测算（单位：万元）</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384"/>
        <w:gridCol w:w="1384"/>
        <w:gridCol w:w="1384"/>
        <w:gridCol w:w="1384"/>
        <w:gridCol w:w="1384"/>
        <w:gridCol w:w="1384"/>
      </w:tblGrid>
      <w:tr>
        <w:trPr>
          <w:cantSplit/>
          <w:tblHeader/>
          <w:jc w:val="center"/>
        </w:trPr>
        <w:tc>
          <w:tcPr>
            <w:tcW w:w="800" w:type="pct"/>
            <w:tcBorders>
              <w:top w:val="single" w:sz="12" w:space="0" w:color="010000"/>
              <w:bottom w:val="single" w:sz="4" w:space="0" w:color="010000"/>
            </w:tcBorders>
            <w:vAlign w:val="center"/>
          </w:tcPr>
          <w:p>
            <w:pPr>
              <w:keepNext/>
              <w:jc w:val="center"/>
            </w:pPr>
            <w:r/>
            <w:r>
              <w:rPr>
                <w:rFonts w:hint="eastAsia"/>
                <w:b/>
                <w:color w:val="000000"/>
                <w:sz w:val="21"/>
              </w:rPr>
              <w:t>报告期</w:t>
            </w:r>
          </w:p>
        </w:tc>
        <w:tc>
          <w:tcPr>
            <w:tcW w:w="750" w:type="pct"/>
            <w:tcBorders>
              <w:top w:val="single" w:sz="12" w:space="0" w:color="010000"/>
              <w:bottom w:val="single" w:sz="4" w:space="0" w:color="010000"/>
            </w:tcBorders>
            <w:vAlign w:val="center"/>
          </w:tcPr>
          <w:p>
            <w:pPr>
              <w:keepNext/>
              <w:jc w:val="center"/>
            </w:pPr>
            <w:r/>
            <w:r>
              <w:rPr>
                <w:rFonts w:hint="eastAsia"/>
                <w:b/>
                <w:color w:val="000000"/>
                <w:sz w:val="21"/>
              </w:rPr>
              <w:t>净利润累计</w:t>
            </w:r>
          </w:p>
        </w:tc>
        <w:tc>
          <w:tcPr>
            <w:tcW w:w="800" w:type="pct"/>
            <w:tcBorders>
              <w:top w:val="single" w:sz="12" w:space="0" w:color="010000"/>
              <w:bottom w:val="single" w:sz="4" w:space="0" w:color="010000"/>
            </w:tcBorders>
            <w:vAlign w:val="center"/>
          </w:tcPr>
          <w:p>
            <w:pPr>
              <w:keepNext/>
              <w:jc w:val="center"/>
            </w:pPr>
            <w:r/>
            <w:r>
              <w:rPr>
                <w:rFonts w:hint="eastAsia"/>
                <w:b/>
                <w:color w:val="000000"/>
                <w:sz w:val="21"/>
              </w:rPr>
              <w:t>最近一年净利润</w:t>
            </w:r>
          </w:p>
        </w:tc>
        <w:tc>
          <w:tcPr>
            <w:tcW w:w="1100" w:type="pct"/>
            <w:tcBorders>
              <w:top w:val="single" w:sz="12" w:space="0" w:color="010000"/>
              <w:bottom w:val="single" w:sz="4" w:space="0" w:color="010000"/>
            </w:tcBorders>
            <w:vAlign w:val="center"/>
          </w:tcPr>
          <w:p>
            <w:pPr>
              <w:keepNext/>
              <w:jc w:val="center"/>
            </w:pPr>
            <w:r/>
            <w:r>
              <w:rPr>
                <w:rFonts w:hint="eastAsia"/>
                <w:b/>
                <w:color w:val="000000"/>
                <w:sz w:val="21"/>
              </w:rPr>
              <w:t>经营活动现金流量净额累计</w:t>
            </w:r>
          </w:p>
        </w:tc>
        <w:tc>
          <w:tcPr>
            <w:tcW w:w="850" w:type="pct"/>
            <w:tcBorders>
              <w:top w:val="single" w:sz="12" w:space="0" w:color="010000"/>
              <w:bottom w:val="single" w:sz="4" w:space="0" w:color="010000"/>
            </w:tcBorders>
            <w:vAlign w:val="center"/>
          </w:tcPr>
          <w:p>
            <w:pPr>
              <w:keepNext/>
              <w:jc w:val="center"/>
            </w:pPr>
            <w:r/>
            <w:r>
              <w:rPr>
                <w:rFonts w:hint="eastAsia"/>
                <w:b/>
                <w:color w:val="000000"/>
                <w:sz w:val="21"/>
              </w:rPr>
              <w:t>营业收入累计</w:t>
            </w:r>
          </w:p>
        </w:tc>
        <w:tc>
          <w:tcPr>
            <w:tcW w:w="700" w:type="pct"/>
            <w:tcBorders>
              <w:top w:val="single" w:sz="12" w:space="0" w:color="010000"/>
              <w:bottom w:val="single" w:sz="4" w:space="0" w:color="010000"/>
            </w:tcBorders>
            <w:vAlign w:val="center"/>
          </w:tcPr>
          <w:p>
            <w:pPr>
              <w:keepNext/>
              <w:jc w:val="center"/>
            </w:pPr>
            <w:r/>
            <w:r>
              <w:rPr>
                <w:rFonts w:hint="eastAsia"/>
                <w:b/>
                <w:color w:val="000000"/>
                <w:sz w:val="21"/>
              </w:rPr>
              <w:t>是否满足</w:t>
            </w:r>
          </w:p>
        </w:tc>
      </w:tr>
      <w:tr>
        <w:trPr>
          <w:cantSplit/>
          <w:jc w:val="center"/>
        </w:trPr>
        <w:tc>
          <w:tcPr>
            <w:tcW w:w="800" w:type="pct"/>
            <w:tcBorders>
              <w:top w:val="single" w:sz="4" w:space="0" w:color="010000"/>
            </w:tcBorders>
            <w:vAlign w:val="center"/>
          </w:tcPr>
          <w:p>
            <w:pPr>
              <w:jc w:val="center"/>
            </w:pPr>
            <w:r/>
            <w:r>
              <w:rPr>
                <w:rFonts w:hint="eastAsia"/>
                <w:color w:val="000000"/>
                <w:sz w:val="21"/>
              </w:rPr>
              <w:t>门槛值</w:t>
            </w:r>
          </w:p>
        </w:tc>
        <w:tc>
          <w:tcPr>
            <w:tcW w:w="750" w:type="pct"/>
            <w:tcBorders>
              <w:top w:val="single" w:sz="4" w:space="0" w:color="010000"/>
            </w:tcBorders>
            <w:vAlign w:val="center"/>
          </w:tcPr>
          <w:p>
            <w:pPr>
              <w:jc w:val="right"/>
            </w:pPr>
            <w:r/>
            <w:r>
              <w:rPr>
                <w:rFonts w:hint="eastAsia"/>
                <w:color w:val="000000"/>
                <w:sz w:val="21"/>
              </w:rPr>
              <w:t>20,000.00</w:t>
            </w:r>
          </w:p>
        </w:tc>
        <w:tc>
          <w:tcPr>
            <w:tcW w:w="800" w:type="pct"/>
            <w:tcBorders>
              <w:top w:val="single" w:sz="4" w:space="0" w:color="010000"/>
            </w:tcBorders>
            <w:vAlign w:val="center"/>
          </w:tcPr>
          <w:p>
            <w:pPr>
              <w:jc w:val="right"/>
            </w:pPr>
            <w:r/>
            <w:r>
              <w:rPr>
                <w:rFonts w:hint="eastAsia"/>
                <w:color w:val="000000"/>
                <w:sz w:val="21"/>
              </w:rPr>
              <w:t>10,000.00</w:t>
            </w:r>
          </w:p>
        </w:tc>
        <w:tc>
          <w:tcPr>
            <w:tcW w:w="1100" w:type="pct"/>
            <w:tcBorders>
              <w:top w:val="single" w:sz="4" w:space="0" w:color="010000"/>
            </w:tcBorders>
            <w:vAlign w:val="center"/>
          </w:tcPr>
          <w:p>
            <w:pPr>
              <w:jc w:val="right"/>
            </w:pPr>
            <w:r/>
            <w:r>
              <w:rPr>
                <w:rFonts w:hint="eastAsia"/>
                <w:color w:val="000000"/>
                <w:sz w:val="21"/>
              </w:rPr>
              <w:t>20,000.00</w:t>
            </w:r>
          </w:p>
        </w:tc>
        <w:tc>
          <w:tcPr>
            <w:tcW w:w="850" w:type="pct"/>
            <w:tcBorders>
              <w:top w:val="single" w:sz="4" w:space="0" w:color="010000"/>
            </w:tcBorders>
            <w:vAlign w:val="center"/>
          </w:tcPr>
          <w:p>
            <w:pPr>
              <w:jc w:val="right"/>
            </w:pPr>
            <w:r/>
            <w:r>
              <w:rPr>
                <w:rFonts w:hint="eastAsia"/>
                <w:color w:val="000000"/>
                <w:sz w:val="21"/>
              </w:rPr>
              <w:t>150,000.00</w:t>
            </w:r>
          </w:p>
        </w:tc>
        <w:tc>
          <w:tcPr>
            <w:tcW w:w="700" w:type="pct"/>
            <w:tcBorders>
              <w:top w:val="single" w:sz="4" w:space="0" w:color="010000"/>
            </w:tcBorders>
            <w:vAlign w:val="center"/>
          </w:tcPr>
          <w:p>
            <w:pPr>
              <w:jc w:val="center"/>
            </w:pPr>
            <w:r/>
            <w:r>
              <w:rPr>
                <w:rFonts w:hint="eastAsia"/>
                <w:color w:val="000000"/>
                <w:sz w:val="21"/>
              </w:rPr>
              <w:t>—</w:t>
            </w:r>
          </w:p>
        </w:tc>
      </w:tr>
      <w:tr>
        <w:trPr>
          <w:cantSplit/>
          <w:jc w:val="center"/>
        </w:trPr>
        <w:tc>
          <w:tcPr>
            <w:tcW w:w="800" w:type="pct"/>
            <w:tcBorders>
              <w:top w:val="single" w:sz="4" w:space="0" w:color="010000"/>
            </w:tcBorders>
            <w:vAlign w:val="center"/>
          </w:tcPr>
          <w:p>
            <w:pPr>
              <w:jc w:val="center"/>
            </w:pPr>
            <w:r/>
            <w:r>
              <w:rPr>
                <w:rFonts w:hint="eastAsia"/>
                <w:color w:val="000000"/>
                <w:sz w:val="21"/>
              </w:rPr>
              <w:t>2024—2026年</w:t>
            </w:r>
          </w:p>
        </w:tc>
        <w:tc>
          <w:tcPr>
            <w:tcW w:w="750" w:type="pct"/>
            <w:tcBorders>
              <w:top w:val="single" w:sz="4" w:space="0" w:color="010000"/>
            </w:tcBorders>
            <w:vAlign w:val="center"/>
          </w:tcPr>
          <w:p>
            <w:pPr>
              <w:jc w:val="right"/>
            </w:pPr>
            <w:r/>
            <w:r>
              <w:rPr>
                <w:rFonts w:hint="eastAsia"/>
                <w:color w:val="000000"/>
                <w:sz w:val="21"/>
              </w:rPr>
              <w:t>41,056.09</w:t>
            </w:r>
          </w:p>
        </w:tc>
        <w:tc>
          <w:tcPr>
            <w:tcW w:w="800" w:type="pct"/>
            <w:tcBorders>
              <w:top w:val="single" w:sz="4" w:space="0" w:color="010000"/>
            </w:tcBorders>
            <w:vAlign w:val="center"/>
          </w:tcPr>
          <w:p>
            <w:pPr>
              <w:jc w:val="right"/>
            </w:pPr>
            <w:r/>
            <w:r>
              <w:rPr>
                <w:rFonts w:hint="eastAsia"/>
                <w:color w:val="000000"/>
                <w:sz w:val="21"/>
              </w:rPr>
              <w:t>19,000.00</w:t>
            </w:r>
          </w:p>
        </w:tc>
        <w:tc>
          <w:tcPr>
            <w:tcW w:w="1100" w:type="pct"/>
            <w:tcBorders>
              <w:top w:val="single" w:sz="4" w:space="0" w:color="010000"/>
            </w:tcBorders>
            <w:vAlign w:val="center"/>
          </w:tcPr>
          <w:p>
            <w:pPr>
              <w:jc w:val="right"/>
            </w:pPr>
            <w:r/>
            <w:r>
              <w:rPr>
                <w:rFonts w:hint="eastAsia"/>
                <w:color w:val="000000"/>
                <w:sz w:val="21"/>
              </w:rPr>
              <w:t>15,576.20</w:t>
            </w:r>
          </w:p>
        </w:tc>
        <w:tc>
          <w:tcPr>
            <w:tcW w:w="850" w:type="pct"/>
            <w:tcBorders>
              <w:top w:val="single" w:sz="4" w:space="0" w:color="010000"/>
            </w:tcBorders>
            <w:vAlign w:val="center"/>
          </w:tcPr>
          <w:p>
            <w:pPr>
              <w:jc w:val="right"/>
            </w:pPr>
            <w:r/>
            <w:r>
              <w:rPr>
                <w:rFonts w:hint="eastAsia"/>
                <w:color w:val="000000"/>
                <w:sz w:val="21"/>
              </w:rPr>
              <w:t>114,701.50</w:t>
            </w:r>
          </w:p>
        </w:tc>
        <w:tc>
          <w:tcPr>
            <w:tcW w:w="700" w:type="pct"/>
            <w:tcBorders>
              <w:top w:val="single" w:sz="4" w:space="0" w:color="010000"/>
            </w:tcBorders>
            <w:vAlign w:val="center"/>
          </w:tcPr>
          <w:p>
            <w:pPr>
              <w:jc w:val="center"/>
            </w:pPr>
            <w:r/>
            <w:r>
              <w:rPr>
                <w:rFonts w:hint="eastAsia"/>
                <w:color w:val="000000"/>
                <w:sz w:val="21"/>
              </w:rPr>
              <w:t>否</w:t>
            </w:r>
          </w:p>
        </w:tc>
      </w:tr>
      <w:tr>
        <w:trPr>
          <w:cantSplit/>
          <w:jc w:val="center"/>
        </w:trPr>
        <w:tc>
          <w:tcPr>
            <w:tcW w:w="800" w:type="pct"/>
            <w:tcBorders>
              <w:top w:val="single" w:sz="4" w:space="0" w:color="010000"/>
            </w:tcBorders>
            <w:vAlign w:val="center"/>
          </w:tcPr>
          <w:p>
            <w:pPr>
              <w:jc w:val="center"/>
            </w:pPr>
            <w:r/>
            <w:r>
              <w:rPr>
                <w:rFonts w:hint="eastAsia"/>
                <w:color w:val="000000"/>
                <w:sz w:val="21"/>
              </w:rPr>
              <w:t>2025—2027年</w:t>
            </w:r>
          </w:p>
        </w:tc>
        <w:tc>
          <w:tcPr>
            <w:tcW w:w="750" w:type="pct"/>
            <w:tcBorders>
              <w:top w:val="single" w:sz="4" w:space="0" w:color="010000"/>
            </w:tcBorders>
            <w:vAlign w:val="center"/>
          </w:tcPr>
          <w:p>
            <w:pPr>
              <w:jc w:val="right"/>
            </w:pPr>
            <w:r/>
            <w:r>
              <w:rPr>
                <w:rFonts w:hint="eastAsia"/>
                <w:color w:val="000000"/>
                <w:sz w:val="21"/>
              </w:rPr>
              <w:t>55,143.75</w:t>
            </w:r>
          </w:p>
        </w:tc>
        <w:tc>
          <w:tcPr>
            <w:tcW w:w="800" w:type="pct"/>
            <w:tcBorders>
              <w:top w:val="single" w:sz="4" w:space="0" w:color="010000"/>
            </w:tcBorders>
            <w:vAlign w:val="center"/>
          </w:tcPr>
          <w:p>
            <w:pPr>
              <w:jc w:val="right"/>
            </w:pPr>
            <w:r/>
            <w:r>
              <w:rPr>
                <w:rFonts w:hint="eastAsia"/>
                <w:color w:val="000000"/>
                <w:sz w:val="21"/>
              </w:rPr>
              <w:t>22,800.00</w:t>
            </w:r>
          </w:p>
        </w:tc>
        <w:tc>
          <w:tcPr>
            <w:tcW w:w="1100" w:type="pct"/>
            <w:tcBorders>
              <w:top w:val="single" w:sz="4" w:space="0" w:color="010000"/>
            </w:tcBorders>
            <w:vAlign w:val="center"/>
          </w:tcPr>
          <w:p>
            <w:pPr>
              <w:jc w:val="right"/>
            </w:pPr>
            <w:r/>
            <w:r>
              <w:rPr>
                <w:rFonts w:hint="eastAsia"/>
                <w:color w:val="000000"/>
                <w:sz w:val="21"/>
              </w:rPr>
              <w:t>17,319.47</w:t>
            </w:r>
          </w:p>
        </w:tc>
        <w:tc>
          <w:tcPr>
            <w:tcW w:w="850" w:type="pct"/>
            <w:tcBorders>
              <w:top w:val="single" w:sz="4" w:space="0" w:color="010000"/>
            </w:tcBorders>
            <w:vAlign w:val="center"/>
          </w:tcPr>
          <w:p>
            <w:pPr>
              <w:jc w:val="right"/>
            </w:pPr>
            <w:r/>
            <w:r>
              <w:rPr>
                <w:rFonts w:hint="eastAsia"/>
                <w:color w:val="000000"/>
                <w:sz w:val="21"/>
              </w:rPr>
              <w:t>156,435.86</w:t>
            </w:r>
          </w:p>
        </w:tc>
        <w:tc>
          <w:tcPr>
            <w:tcW w:w="700" w:type="pct"/>
            <w:tcBorders>
              <w:top w:val="single" w:sz="4" w:space="0" w:color="010000"/>
            </w:tcBorders>
            <w:vAlign w:val="center"/>
          </w:tcPr>
          <w:p>
            <w:pPr>
              <w:jc w:val="center"/>
            </w:pPr>
            <w:r/>
            <w:r>
              <w:rPr>
                <w:rFonts w:hint="eastAsia"/>
                <w:color w:val="000000"/>
                <w:sz w:val="21"/>
              </w:rPr>
              <w:t>是</w:t>
            </w:r>
          </w:p>
        </w:tc>
      </w:tr>
      <w:tr>
        <w:trPr>
          <w:cantSplit/>
          <w:jc w:val="center"/>
        </w:trPr>
        <w:tc>
          <w:tcPr>
            <w:tcW w:w="800" w:type="pct"/>
            <w:tcBorders>
              <w:top w:val="single" w:sz="4" w:space="0" w:color="010000"/>
            </w:tcBorders>
            <w:vAlign w:val="center"/>
          </w:tcPr>
          <w:p>
            <w:pPr>
              <w:jc w:val="center"/>
            </w:pPr>
            <w:r/>
            <w:r>
              <w:rPr>
                <w:rFonts w:hint="eastAsia"/>
                <w:color w:val="000000"/>
                <w:sz w:val="21"/>
              </w:rPr>
              <w:t>2026—2028年</w:t>
            </w:r>
          </w:p>
        </w:tc>
        <w:tc>
          <w:tcPr>
            <w:tcW w:w="750" w:type="pct"/>
            <w:tcBorders>
              <w:top w:val="single" w:sz="4" w:space="0" w:color="010000"/>
            </w:tcBorders>
            <w:vAlign w:val="center"/>
          </w:tcPr>
          <w:p>
            <w:pPr>
              <w:jc w:val="right"/>
            </w:pPr>
            <w:r/>
            <w:r>
              <w:rPr>
                <w:rFonts w:hint="eastAsia"/>
                <w:color w:val="000000"/>
                <w:sz w:val="21"/>
              </w:rPr>
              <w:t>69,616.00</w:t>
            </w:r>
          </w:p>
        </w:tc>
        <w:tc>
          <w:tcPr>
            <w:tcW w:w="800" w:type="pct"/>
            <w:tcBorders>
              <w:top w:val="single" w:sz="4" w:space="0" w:color="010000"/>
            </w:tcBorders>
            <w:vAlign w:val="center"/>
          </w:tcPr>
          <w:p>
            <w:pPr>
              <w:jc w:val="right"/>
            </w:pPr>
            <w:r/>
            <w:r>
              <w:rPr>
                <w:rFonts w:hint="eastAsia"/>
                <w:color w:val="000000"/>
                <w:sz w:val="21"/>
              </w:rPr>
              <w:t>27,816.00</w:t>
            </w:r>
          </w:p>
        </w:tc>
        <w:tc>
          <w:tcPr>
            <w:tcW w:w="1100" w:type="pct"/>
            <w:tcBorders>
              <w:top w:val="single" w:sz="4" w:space="0" w:color="010000"/>
            </w:tcBorders>
            <w:vAlign w:val="center"/>
          </w:tcPr>
          <w:p>
            <w:pPr>
              <w:jc w:val="right"/>
            </w:pPr>
            <w:r/>
            <w:r>
              <w:rPr>
                <w:rFonts w:hint="eastAsia"/>
                <w:color w:val="000000"/>
                <w:sz w:val="21"/>
              </w:rPr>
              <w:t>21,514.89</w:t>
            </w:r>
          </w:p>
        </w:tc>
        <w:tc>
          <w:tcPr>
            <w:tcW w:w="850" w:type="pct"/>
            <w:tcBorders>
              <w:top w:val="single" w:sz="4" w:space="0" w:color="010000"/>
            </w:tcBorders>
            <w:vAlign w:val="center"/>
          </w:tcPr>
          <w:p>
            <w:pPr>
              <w:jc w:val="right"/>
            </w:pPr>
            <w:r/>
            <w:r>
              <w:rPr>
                <w:rFonts w:hint="eastAsia"/>
                <w:color w:val="000000"/>
                <w:sz w:val="21"/>
              </w:rPr>
              <w:t>193,000.00</w:t>
            </w:r>
          </w:p>
        </w:tc>
        <w:tc>
          <w:tcPr>
            <w:tcW w:w="700" w:type="pct"/>
            <w:tcBorders>
              <w:top w:val="single" w:sz="4" w:space="0" w:color="010000"/>
            </w:tcBorders>
            <w:vAlign w:val="center"/>
          </w:tcPr>
          <w:p>
            <w:pPr>
              <w:jc w:val="center"/>
            </w:pPr>
            <w:r/>
            <w:r>
              <w:rPr>
                <w:rFonts w:hint="eastAsia"/>
                <w:color w:val="000000"/>
                <w:sz w:val="21"/>
              </w:rPr>
              <w:t>是</w:t>
            </w:r>
          </w:p>
        </w:tc>
      </w:tr>
      <w:tr>
        <w:trPr>
          <w:cantSplit/>
          <w:jc w:val="center"/>
        </w:trPr>
        <w:tc>
          <w:tcPr>
            <w:tcW w:w="800" w:type="pct"/>
            <w:tcBorders>
              <w:top w:val="single" w:sz="4" w:space="0" w:color="010000"/>
            </w:tcBorders>
            <w:vAlign w:val="center"/>
          </w:tcPr>
          <w:p>
            <w:pPr>
              <w:jc w:val="center"/>
            </w:pPr>
            <w:r/>
            <w:r>
              <w:rPr>
                <w:rFonts w:hint="eastAsia"/>
                <w:color w:val="000000"/>
                <w:sz w:val="21"/>
              </w:rPr>
              <w:t>2027—2029年</w:t>
            </w:r>
          </w:p>
        </w:tc>
        <w:tc>
          <w:tcPr>
            <w:tcW w:w="750" w:type="pct"/>
            <w:tcBorders>
              <w:top w:val="single" w:sz="4" w:space="0" w:color="010000"/>
            </w:tcBorders>
            <w:vAlign w:val="center"/>
          </w:tcPr>
          <w:p>
            <w:pPr>
              <w:jc w:val="right"/>
            </w:pPr>
            <w:r/>
            <w:r>
              <w:rPr>
                <w:rFonts w:hint="eastAsia"/>
                <w:color w:val="000000"/>
                <w:sz w:val="21"/>
              </w:rPr>
              <w:t>83,438.80</w:t>
            </w:r>
          </w:p>
        </w:tc>
        <w:tc>
          <w:tcPr>
            <w:tcW w:w="800" w:type="pct"/>
            <w:tcBorders>
              <w:top w:val="single" w:sz="4" w:space="0" w:color="010000"/>
            </w:tcBorders>
            <w:vAlign w:val="center"/>
          </w:tcPr>
          <w:p>
            <w:pPr>
              <w:jc w:val="right"/>
            </w:pPr>
            <w:r/>
            <w:r>
              <w:rPr>
                <w:rFonts w:hint="eastAsia"/>
                <w:color w:val="000000"/>
                <w:sz w:val="21"/>
              </w:rPr>
              <w:t>32,822.80</w:t>
            </w:r>
          </w:p>
        </w:tc>
        <w:tc>
          <w:tcPr>
            <w:tcW w:w="1100" w:type="pct"/>
            <w:tcBorders>
              <w:top w:val="single" w:sz="4" w:space="0" w:color="010000"/>
            </w:tcBorders>
            <w:vAlign w:val="center"/>
          </w:tcPr>
          <w:p>
            <w:pPr>
              <w:jc w:val="right"/>
            </w:pPr>
            <w:r/>
            <w:r>
              <w:rPr>
                <w:rFonts w:hint="eastAsia"/>
                <w:color w:val="000000"/>
                <w:sz w:val="21"/>
              </w:rPr>
              <w:t>27,089.80</w:t>
            </w:r>
          </w:p>
        </w:tc>
        <w:tc>
          <w:tcPr>
            <w:tcW w:w="850" w:type="pct"/>
            <w:tcBorders>
              <w:top w:val="single" w:sz="4" w:space="0" w:color="010000"/>
            </w:tcBorders>
            <w:vAlign w:val="center"/>
          </w:tcPr>
          <w:p>
            <w:pPr>
              <w:jc w:val="right"/>
            </w:pPr>
            <w:r/>
            <w:r>
              <w:rPr>
                <w:rFonts w:hint="eastAsia"/>
                <w:color w:val="000000"/>
                <w:sz w:val="21"/>
              </w:rPr>
              <w:t>243,000.00</w:t>
            </w:r>
          </w:p>
        </w:tc>
        <w:tc>
          <w:tcPr>
            <w:tcW w:w="700" w:type="pct"/>
            <w:tcBorders>
              <w:top w:val="single" w:sz="4" w:space="0" w:color="010000"/>
            </w:tcBorders>
            <w:vAlign w:val="center"/>
          </w:tcPr>
          <w:p>
            <w:pPr>
              <w:jc w:val="center"/>
            </w:pPr>
            <w:r/>
            <w:r>
              <w:rPr>
                <w:rFonts w:hint="eastAsia"/>
                <w:color w:val="000000"/>
                <w:sz w:val="21"/>
              </w:rPr>
              <w:t>是</w:t>
            </w:r>
          </w:p>
        </w:tc>
      </w:tr>
    </w:tbl>
    <w:p>
      <w:pPr>
        <w:pStyle w:val="a6"/>
        <w:jc w:val="center"/>
      </w:pPr>
      <w:r>
        <w:rPr>
          <w:rFonts w:hint="eastAsia"/>
          <w:sz w:val="11"/>
          <w:szCs w:val="11"/>
        </w:rPr>
        <w:t>资料来源：发行人审计报告、公司《燕京中发“十五五”战略规划》，国泰海通投资银行部整理</w:t>
      </w:r>
    </w:p>
    <w:p>
      <w:pPr>
        <w:pStyle w:val="a0"/>
      </w:pPr>
      <w:r>
        <w:rPr>
          <w:rFonts w:hint="eastAsia"/>
        </w:rPr>
        <w:t>按2024年度至2026年度测算，净利润的两项要求达到；营业收入累计114,701.50万元，差35,298.50万元，经营活动现金流量净额累计15,576.20万元，差4,423.80万元，二选一的两条支路均未达到，第一套标准不满足。</w:t>
      </w:r>
    </w:p>
    <w:p>
      <w:pPr>
        <w:pStyle w:val="a0"/>
      </w:pPr>
      <w:r>
        <w:rPr>
          <w:rFonts w:hint="eastAsia"/>
        </w:rPr>
        <w:t>按2025年度至2027年度测算，营业收入累计156,435.86万元，达到15亿元门槛，第一套标准的全部要求满足。该报告期下经营活动现金流量净额累计17,319.47万元，仍差2,680.53万元，但该项与营业收入为二选一关系，不影响结论。</w:t>
      </w:r>
    </w:p>
    <w:p>
      <w:pPr>
        <w:pStyle w:val="a0"/>
      </w:pPr>
      <w:r>
        <w:rPr>
          <w:rFonts w:hint="eastAsia"/>
        </w:rPr>
        <w:t>按2026年度至2028年度及其后的报告期测算，营业收入与经营活动现金流量净额两条支路同时达到。</w:t>
      </w:r>
    </w:p>
    <w:p>
      <w:pPr>
        <w:pStyle w:val="a0"/>
      </w:pPr>
      <w:r>
        <w:rPr>
          <w:rFonts w:hint="eastAsia"/>
        </w:rPr>
        <w:t>第二套标准方面，最近一年营业收入自2027年度起达到6亿元门槛，最近三年经营活动现金流量净额累计自2027年度至2029年度的报告期起达到2.5亿元门槛。该套标准另设50亿元预计市值门槛。</w:t>
      </w:r>
    </w:p>
    <w:p>
      <w:pPr>
        <w:pStyle w:val="a0"/>
      </w:pPr>
      <w:r>
        <w:rPr>
          <w:rFonts w:hint="eastAsia"/>
        </w:rPr>
        <w:t>上述测算使用的2026年及以后数据为公司战略规划的目标数据，非经审计数据。主板上市条件规定，净利润、营业收入、经营活动产生的现金流量净额均须为经审计的数值。</w:t>
      </w:r>
    </w:p>
    <w:p>
      <w:pPr>
        <w:pStyle w:val="2"/>
        <w:spacing w:before="156" w:after="156"/>
      </w:pPr>
      <w:bookmarkStart w:id="1005" w:name="_Toc900005"/>
      <w:r>
        <w:rPr>
          <w:rFonts w:hint="eastAsia"/>
          <w:b/>
        </w:rPr>
        <w:t>主板重组上市的路径</w:t>
      </w:r>
      <w:bookmarkEnd w:id="1005"/>
    </w:p>
    <w:p>
      <w:pPr>
        <w:pStyle w:val="3"/>
        <w:numPr>
          <w:ilvl w:val="0"/>
          <w:numId w:val="0"/>
        </w:numPr>
        <w:spacing w:before="156" w:after="156"/>
      </w:pPr>
      <w:bookmarkStart w:id="1006" w:name="_Toc900006"/>
      <w:r>
        <w:rPr>
          <w:rFonts w:hint="eastAsia"/>
        </w:rPr>
        <w:t>4.1 重组上市的认定</w:t>
      </w:r>
      <w:bookmarkEnd w:id="1006"/>
    </w:p>
    <w:p>
      <w:pPr>
        <w:pStyle w:val="a0"/>
      </w:pPr>
      <w:r>
        <w:rPr>
          <w:rFonts w:hint="eastAsia"/>
        </w:rPr>
        <w:t>重组上市即市场通称的借壳上市。《上市公司重大资产重组管理办法》第十三条规定，上市公司自控制权发生变更之日起三十六个月内，向收购人及其关联人购买资产，导致上市公司发生根本变化情形之一的，构成重组上市。</w:t>
      </w:r>
    </w:p>
    <w:p>
      <w:pPr>
        <w:pStyle w:val="a0"/>
      </w:pPr>
      <w:r>
        <w:rPr>
          <w:rFonts w:hint="eastAsia"/>
        </w:rPr>
        <w:t>根本变化情形共六项。前四项为量化标准，即购买的资产总额、购买资产在最近一个会计年度所产生的营业收入、购买的资产净额，以及为购买资产发行的股份，四项中任一项达到上市公司相应指标的100%以上。第五项为可能导致上市公司主营业务发生根本变化。第六项为中国证监会认定的其他情形。</w:t>
      </w:r>
    </w:p>
    <w:p>
      <w:pPr>
        <w:pStyle w:val="3"/>
        <w:numPr>
          <w:ilvl w:val="0"/>
          <w:numId w:val="0"/>
        </w:numPr>
        <w:spacing w:before="156" w:after="156"/>
      </w:pPr>
      <w:bookmarkStart w:id="1007" w:name="_Toc900007"/>
      <w:r>
        <w:rPr>
          <w:rFonts w:hint="eastAsia"/>
        </w:rPr>
        <w:t>4.2 标的资产的财务条件</w:t>
      </w:r>
      <w:bookmarkEnd w:id="1007"/>
    </w:p>
    <w:p>
      <w:pPr>
        <w:pStyle w:val="a0"/>
      </w:pPr>
      <w:r>
        <w:rPr>
          <w:rFonts w:hint="eastAsia"/>
        </w:rPr>
        <w:t>《上海证券交易所上市公司重大资产重组审核规则》（2025年5月修订）第十条规定，主板上市公司实施重组上市的，标的资产应当符合以下条件：最近三年连续盈利，且最近三年净利润累计不低于2亿元，最近一年净利润不低于1亿元，最近三年经营活动产生的现金流量净额累计不低于2亿元或者营业收入累计不低于15亿元。净利润以扣除非经常性损益前后的孰低者为准，上述三项指标均指经审计的数值。</w:t>
      </w:r>
    </w:p>
    <w:p>
      <w:pPr>
        <w:pStyle w:val="a0"/>
      </w:pPr>
      <w:r>
        <w:rPr>
          <w:rFonts w:hint="eastAsia"/>
        </w:rPr>
        <w:t>该条件与主板上市第一套标准一致。同条还规定，标的资产对应的经营实体应当是符合《首次公开发行股票注册管理办法》规定的相应发行条件、相关板块定位的股份有限公司或者有限责任公司。即重组上市的标的资产，其财务条件、发行条件和板块定位要求与首次公开发行相同。</w:t>
      </w:r>
    </w:p>
    <w:p>
      <w:pPr>
        <w:keepNext/>
        <w:jc w:val="center"/>
      </w:pPr>
      <w:r>
        <w:rPr>
          <w:rFonts w:hint="eastAsia"/>
          <w:b/>
          <w:sz w:val="21"/>
        </w:rPr>
        <w:t>表6：发行人与主板重组上市标的资产财务条件的比对（单位：万元）</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1900" w:type="pct"/>
            <w:tcBorders>
              <w:top w:val="single" w:sz="12" w:space="0" w:color="010000"/>
              <w:bottom w:val="single" w:sz="4" w:space="0" w:color="010000"/>
            </w:tcBorders>
            <w:vAlign w:val="center"/>
          </w:tcPr>
          <w:p>
            <w:pPr>
              <w:keepNext/>
              <w:jc w:val="center"/>
            </w:pPr>
            <w:r/>
            <w:r>
              <w:rPr>
                <w:rFonts w:hint="eastAsia"/>
                <w:b/>
                <w:color w:val="000000"/>
                <w:sz w:val="21"/>
              </w:rPr>
              <w:t>条件</w:t>
            </w:r>
          </w:p>
        </w:tc>
        <w:tc>
          <w:tcPr>
            <w:tcW w:w="750" w:type="pct"/>
            <w:tcBorders>
              <w:top w:val="single" w:sz="12" w:space="0" w:color="010000"/>
              <w:bottom w:val="single" w:sz="4" w:space="0" w:color="010000"/>
            </w:tcBorders>
            <w:vAlign w:val="center"/>
          </w:tcPr>
          <w:p>
            <w:pPr>
              <w:keepNext/>
              <w:jc w:val="center"/>
            </w:pPr>
            <w:r/>
            <w:r>
              <w:rPr>
                <w:rFonts w:hint="eastAsia"/>
                <w:b/>
                <w:color w:val="000000"/>
                <w:sz w:val="21"/>
              </w:rPr>
              <w:t>门槛值</w:t>
            </w:r>
          </w:p>
        </w:tc>
        <w:tc>
          <w:tcPr>
            <w:tcW w:w="1350" w:type="pct"/>
            <w:tcBorders>
              <w:top w:val="single" w:sz="12" w:space="0" w:color="010000"/>
              <w:bottom w:val="single" w:sz="4" w:space="0" w:color="010000"/>
            </w:tcBorders>
            <w:vAlign w:val="center"/>
          </w:tcPr>
          <w:p>
            <w:pPr>
              <w:keepNext/>
              <w:jc w:val="center"/>
            </w:pPr>
            <w:r/>
            <w:r>
              <w:rPr>
                <w:rFonts w:hint="eastAsia"/>
                <w:b/>
                <w:color w:val="000000"/>
                <w:sz w:val="21"/>
              </w:rPr>
              <w:t>发行人</w:t>
            </w:r>
          </w:p>
        </w:tc>
        <w:tc>
          <w:tcPr>
            <w:tcW w:w="1000" w:type="pct"/>
            <w:tcBorders>
              <w:top w:val="single" w:sz="12" w:space="0" w:color="010000"/>
              <w:bottom w:val="single" w:sz="4" w:space="0" w:color="010000"/>
            </w:tcBorders>
            <w:vAlign w:val="center"/>
          </w:tcPr>
          <w:p>
            <w:pPr>
              <w:keepNext/>
              <w:jc w:val="center"/>
            </w:pPr>
            <w:r/>
            <w:r>
              <w:rPr>
                <w:rFonts w:hint="eastAsia"/>
                <w:b/>
                <w:color w:val="000000"/>
                <w:sz w:val="21"/>
              </w:rPr>
              <w:t>是否满足</w:t>
            </w:r>
          </w:p>
        </w:tc>
      </w:tr>
      <w:tr>
        <w:trPr>
          <w:cantSplit/>
          <w:jc w:val="center"/>
        </w:trPr>
        <w:tc>
          <w:tcPr>
            <w:tcW w:w="1900" w:type="pct"/>
            <w:tcBorders>
              <w:top w:val="single" w:sz="4" w:space="0" w:color="010000"/>
            </w:tcBorders>
            <w:vAlign w:val="center"/>
          </w:tcPr>
          <w:p>
            <w:pPr>
              <w:jc w:val="left"/>
            </w:pPr>
            <w:r/>
            <w:r>
              <w:rPr>
                <w:rFonts w:hint="eastAsia"/>
                <w:color w:val="000000"/>
                <w:sz w:val="21"/>
              </w:rPr>
              <w:t>最近三年连续盈利</w:t>
            </w:r>
          </w:p>
        </w:tc>
        <w:tc>
          <w:tcPr>
            <w:tcW w:w="750" w:type="pct"/>
            <w:tcBorders>
              <w:top w:val="single" w:sz="4" w:space="0" w:color="010000"/>
            </w:tcBorders>
            <w:vAlign w:val="center"/>
          </w:tcPr>
          <w:p>
            <w:pPr>
              <w:jc w:val="right"/>
            </w:pPr>
            <w:r/>
            <w:r>
              <w:rPr>
                <w:rFonts w:hint="eastAsia"/>
                <w:color w:val="000000"/>
                <w:sz w:val="21"/>
              </w:rPr>
              <w:t>—</w:t>
            </w:r>
          </w:p>
        </w:tc>
        <w:tc>
          <w:tcPr>
            <w:tcW w:w="1350" w:type="pct"/>
            <w:tcBorders>
              <w:top w:val="single" w:sz="4" w:space="0" w:color="010000"/>
            </w:tcBorders>
            <w:vAlign w:val="center"/>
          </w:tcPr>
          <w:p>
            <w:pPr>
              <w:jc w:val="right"/>
            </w:pPr>
            <w:r/>
            <w:r>
              <w:rPr>
                <w:rFonts w:hint="eastAsia"/>
                <w:color w:val="000000"/>
                <w:sz w:val="21"/>
              </w:rPr>
              <w:t>1,799.85／8,712.34／13,343.75</w:t>
            </w:r>
          </w:p>
        </w:tc>
        <w:tc>
          <w:tcPr>
            <w:tcW w:w="1000" w:type="pct"/>
            <w:tcBorders>
              <w:top w:val="single" w:sz="4" w:space="0" w:color="010000"/>
            </w:tcBorders>
            <w:vAlign w:val="center"/>
          </w:tcPr>
          <w:p>
            <w:pPr>
              <w:jc w:val="center"/>
            </w:pPr>
            <w:r/>
            <w:r>
              <w:rPr>
                <w:rFonts w:hint="eastAsia"/>
                <w:color w:val="000000"/>
                <w:sz w:val="21"/>
              </w:rPr>
              <w:t>是</w:t>
            </w:r>
          </w:p>
        </w:tc>
      </w:tr>
      <w:tr>
        <w:trPr>
          <w:cantSplit/>
          <w:jc w:val="center"/>
        </w:trPr>
        <w:tc>
          <w:tcPr>
            <w:tcW w:w="1900" w:type="pct"/>
            <w:tcBorders>
              <w:top w:val="single" w:sz="4" w:space="0" w:color="010000"/>
            </w:tcBorders>
            <w:vAlign w:val="center"/>
          </w:tcPr>
          <w:p>
            <w:pPr>
              <w:jc w:val="left"/>
            </w:pPr>
            <w:r/>
            <w:r>
              <w:rPr>
                <w:rFonts w:hint="eastAsia"/>
                <w:color w:val="000000"/>
                <w:sz w:val="21"/>
              </w:rPr>
              <w:t>最近三年净利润累计</w:t>
            </w:r>
          </w:p>
        </w:tc>
        <w:tc>
          <w:tcPr>
            <w:tcW w:w="750" w:type="pct"/>
            <w:tcBorders>
              <w:top w:val="single" w:sz="4" w:space="0" w:color="010000"/>
            </w:tcBorders>
            <w:vAlign w:val="center"/>
          </w:tcPr>
          <w:p>
            <w:pPr>
              <w:jc w:val="right"/>
            </w:pPr>
            <w:r/>
            <w:r>
              <w:rPr>
                <w:rFonts w:hint="eastAsia"/>
                <w:color w:val="000000"/>
                <w:sz w:val="21"/>
              </w:rPr>
              <w:t>20,000.00</w:t>
            </w:r>
          </w:p>
        </w:tc>
        <w:tc>
          <w:tcPr>
            <w:tcW w:w="1350" w:type="pct"/>
            <w:tcBorders>
              <w:top w:val="single" w:sz="4" w:space="0" w:color="010000"/>
            </w:tcBorders>
            <w:vAlign w:val="center"/>
          </w:tcPr>
          <w:p>
            <w:pPr>
              <w:jc w:val="right"/>
            </w:pPr>
            <w:r/>
            <w:r>
              <w:rPr>
                <w:rFonts w:hint="eastAsia"/>
                <w:color w:val="000000"/>
                <w:sz w:val="21"/>
              </w:rPr>
              <w:t>23,855.94</w:t>
            </w:r>
          </w:p>
        </w:tc>
        <w:tc>
          <w:tcPr>
            <w:tcW w:w="1000" w:type="pct"/>
            <w:tcBorders>
              <w:top w:val="single" w:sz="4" w:space="0" w:color="010000"/>
            </w:tcBorders>
            <w:vAlign w:val="center"/>
          </w:tcPr>
          <w:p>
            <w:pPr>
              <w:jc w:val="center"/>
            </w:pPr>
            <w:r/>
            <w:r>
              <w:rPr>
                <w:rFonts w:hint="eastAsia"/>
                <w:color w:val="000000"/>
                <w:sz w:val="21"/>
              </w:rPr>
              <w:t>是</w:t>
            </w:r>
          </w:p>
        </w:tc>
      </w:tr>
      <w:tr>
        <w:trPr>
          <w:cantSplit/>
          <w:jc w:val="center"/>
        </w:trPr>
        <w:tc>
          <w:tcPr>
            <w:tcW w:w="1900" w:type="pct"/>
            <w:tcBorders>
              <w:top w:val="single" w:sz="4" w:space="0" w:color="010000"/>
            </w:tcBorders>
            <w:vAlign w:val="center"/>
          </w:tcPr>
          <w:p>
            <w:pPr>
              <w:jc w:val="left"/>
            </w:pPr>
            <w:r/>
            <w:r>
              <w:rPr>
                <w:rFonts w:hint="eastAsia"/>
                <w:color w:val="000000"/>
                <w:sz w:val="21"/>
              </w:rPr>
              <w:t>最近一年净利润</w:t>
            </w:r>
          </w:p>
        </w:tc>
        <w:tc>
          <w:tcPr>
            <w:tcW w:w="750" w:type="pct"/>
            <w:tcBorders>
              <w:top w:val="single" w:sz="4" w:space="0" w:color="010000"/>
            </w:tcBorders>
            <w:vAlign w:val="center"/>
          </w:tcPr>
          <w:p>
            <w:pPr>
              <w:jc w:val="right"/>
            </w:pPr>
            <w:r/>
            <w:r>
              <w:rPr>
                <w:rFonts w:hint="eastAsia"/>
                <w:color w:val="000000"/>
                <w:sz w:val="21"/>
              </w:rPr>
              <w:t>10,000.00</w:t>
            </w:r>
          </w:p>
        </w:tc>
        <w:tc>
          <w:tcPr>
            <w:tcW w:w="1350" w:type="pct"/>
            <w:tcBorders>
              <w:top w:val="single" w:sz="4" w:space="0" w:color="010000"/>
            </w:tcBorders>
            <w:vAlign w:val="center"/>
          </w:tcPr>
          <w:p>
            <w:pPr>
              <w:jc w:val="right"/>
            </w:pPr>
            <w:r/>
            <w:r>
              <w:rPr>
                <w:rFonts w:hint="eastAsia"/>
                <w:color w:val="000000"/>
                <w:sz w:val="21"/>
              </w:rPr>
              <w:t>13,343.75</w:t>
            </w:r>
          </w:p>
        </w:tc>
        <w:tc>
          <w:tcPr>
            <w:tcW w:w="1000" w:type="pct"/>
            <w:tcBorders>
              <w:top w:val="single" w:sz="4" w:space="0" w:color="010000"/>
            </w:tcBorders>
            <w:vAlign w:val="center"/>
          </w:tcPr>
          <w:p>
            <w:pPr>
              <w:jc w:val="center"/>
            </w:pPr>
            <w:r/>
            <w:r>
              <w:rPr>
                <w:rFonts w:hint="eastAsia"/>
                <w:color w:val="000000"/>
                <w:sz w:val="21"/>
              </w:rPr>
              <w:t>是</w:t>
            </w:r>
          </w:p>
        </w:tc>
      </w:tr>
      <w:tr>
        <w:trPr>
          <w:cantSplit/>
          <w:jc w:val="center"/>
        </w:trPr>
        <w:tc>
          <w:tcPr>
            <w:tcW w:w="1900" w:type="pct"/>
            <w:tcBorders>
              <w:top w:val="single" w:sz="4" w:space="0" w:color="010000"/>
            </w:tcBorders>
            <w:vAlign w:val="center"/>
          </w:tcPr>
          <w:p>
            <w:pPr>
              <w:jc w:val="left"/>
            </w:pPr>
            <w:r/>
            <w:r>
              <w:rPr>
                <w:rFonts w:hint="eastAsia"/>
                <w:color w:val="000000"/>
                <w:sz w:val="21"/>
              </w:rPr>
              <w:t>最近三年经营活动现金流量净额累计</w:t>
            </w:r>
          </w:p>
        </w:tc>
        <w:tc>
          <w:tcPr>
            <w:tcW w:w="750" w:type="pct"/>
            <w:tcBorders>
              <w:top w:val="single" w:sz="4" w:space="0" w:color="010000"/>
            </w:tcBorders>
            <w:vAlign w:val="center"/>
          </w:tcPr>
          <w:p>
            <w:pPr>
              <w:jc w:val="right"/>
            </w:pPr>
            <w:r/>
            <w:r>
              <w:rPr>
                <w:rFonts w:hint="eastAsia"/>
                <w:color w:val="000000"/>
                <w:sz w:val="21"/>
              </w:rPr>
              <w:t>20,000.00</w:t>
            </w:r>
          </w:p>
        </w:tc>
        <w:tc>
          <w:tcPr>
            <w:tcW w:w="1350" w:type="pct"/>
            <w:tcBorders>
              <w:top w:val="single" w:sz="4" w:space="0" w:color="010000"/>
            </w:tcBorders>
            <w:vAlign w:val="center"/>
          </w:tcPr>
          <w:p>
            <w:pPr>
              <w:jc w:val="right"/>
            </w:pPr>
            <w:r/>
            <w:r>
              <w:rPr>
                <w:rFonts w:hint="eastAsia"/>
                <w:color w:val="000000"/>
                <w:sz w:val="21"/>
              </w:rPr>
              <w:t>10,450.81</w:t>
            </w:r>
          </w:p>
        </w:tc>
        <w:tc>
          <w:tcPr>
            <w:tcW w:w="1000" w:type="pct"/>
            <w:tcBorders>
              <w:top w:val="single" w:sz="4" w:space="0" w:color="010000"/>
            </w:tcBorders>
            <w:vAlign w:val="center"/>
          </w:tcPr>
          <w:p>
            <w:pPr>
              <w:jc w:val="center"/>
            </w:pPr>
            <w:r/>
            <w:r>
              <w:rPr>
                <w:rFonts w:hint="eastAsia"/>
                <w:color w:val="000000"/>
                <w:sz w:val="21"/>
              </w:rPr>
              <w:t>否</w:t>
            </w:r>
          </w:p>
        </w:tc>
      </w:tr>
      <w:tr>
        <w:trPr>
          <w:cantSplit/>
          <w:jc w:val="center"/>
        </w:trPr>
        <w:tc>
          <w:tcPr>
            <w:tcW w:w="1900" w:type="pct"/>
            <w:tcBorders>
              <w:top w:val="single" w:sz="4" w:space="0" w:color="010000"/>
            </w:tcBorders>
            <w:vAlign w:val="center"/>
          </w:tcPr>
          <w:p>
            <w:pPr>
              <w:jc w:val="left"/>
            </w:pPr>
            <w:r/>
            <w:r>
              <w:rPr>
                <w:rFonts w:hint="eastAsia"/>
                <w:color w:val="000000"/>
                <w:sz w:val="21"/>
              </w:rPr>
              <w:t>或：最近三年营业收入累计</w:t>
            </w:r>
          </w:p>
        </w:tc>
        <w:tc>
          <w:tcPr>
            <w:tcW w:w="750" w:type="pct"/>
            <w:tcBorders>
              <w:top w:val="single" w:sz="4" w:space="0" w:color="010000"/>
            </w:tcBorders>
            <w:vAlign w:val="center"/>
          </w:tcPr>
          <w:p>
            <w:pPr>
              <w:jc w:val="right"/>
            </w:pPr>
            <w:r/>
            <w:r>
              <w:rPr>
                <w:rFonts w:hint="eastAsia"/>
                <w:color w:val="000000"/>
                <w:sz w:val="21"/>
              </w:rPr>
              <w:t>150,000.00</w:t>
            </w:r>
          </w:p>
        </w:tc>
        <w:tc>
          <w:tcPr>
            <w:tcW w:w="1350" w:type="pct"/>
            <w:tcBorders>
              <w:top w:val="single" w:sz="4" w:space="0" w:color="010000"/>
            </w:tcBorders>
            <w:vAlign w:val="center"/>
          </w:tcPr>
          <w:p>
            <w:pPr>
              <w:jc w:val="right"/>
            </w:pPr>
            <w:r/>
            <w:r>
              <w:rPr>
                <w:rFonts w:hint="eastAsia"/>
                <w:color w:val="000000"/>
                <w:sz w:val="21"/>
              </w:rPr>
              <w:t>70,070.23</w:t>
            </w:r>
          </w:p>
        </w:tc>
        <w:tc>
          <w:tcPr>
            <w:tcW w:w="1000" w:type="pct"/>
            <w:tcBorders>
              <w:top w:val="single" w:sz="4" w:space="0" w:color="010000"/>
            </w:tcBorders>
            <w:vAlign w:val="center"/>
          </w:tcPr>
          <w:p>
            <w:pPr>
              <w:jc w:val="center"/>
            </w:pPr>
            <w:r/>
            <w:r>
              <w:rPr>
                <w:rFonts w:hint="eastAsia"/>
                <w:color w:val="000000"/>
                <w:sz w:val="21"/>
              </w:rPr>
              <w:t>否</w:t>
            </w:r>
          </w:p>
        </w:tc>
      </w:tr>
    </w:tbl>
    <w:p>
      <w:pPr>
        <w:pStyle w:val="a6"/>
        <w:jc w:val="center"/>
      </w:pPr>
      <w:r>
        <w:rPr>
          <w:rFonts w:hint="eastAsia"/>
          <w:sz w:val="11"/>
          <w:szCs w:val="11"/>
        </w:rPr>
        <w:t>资料来源：《上海证券交易所上市公司重大资产重组审核规则》（2025年5月修订）第十条、发行人审计报告，国泰海通投资银行部整理</w:t>
      </w:r>
    </w:p>
    <w:p>
      <w:pPr>
        <w:pStyle w:val="a0"/>
      </w:pPr>
      <w:r>
        <w:rPr>
          <w:rFonts w:hint="eastAsia"/>
        </w:rPr>
        <w:t>该条件与主板第一套标准一致，比对结果亦相同。按2023年度至2025年度的经审计数据，未达标项为最近三年经营活动现金流量净额累计及营业收入累计，标的资产的财务条件不满足；按第三章的规划数据测算，自2025年度至2027年度的报告期起满足。</w:t>
      </w:r>
    </w:p>
    <w:p>
      <w:pPr>
        <w:pStyle w:val="3"/>
        <w:numPr>
          <w:ilvl w:val="0"/>
          <w:numId w:val="0"/>
        </w:numPr>
        <w:spacing w:before="156" w:after="156"/>
      </w:pPr>
      <w:bookmarkStart w:id="1008" w:name="_Toc900008"/>
      <w:r>
        <w:rPr>
          <w:rFonts w:hint="eastAsia"/>
        </w:rPr>
        <w:t>4.3 交易结构方面的因素</w:t>
      </w:r>
      <w:bookmarkEnd w:id="1008"/>
    </w:p>
    <w:p>
      <w:pPr>
        <w:pStyle w:val="a0"/>
      </w:pPr>
      <w:r>
        <w:rPr>
          <w:rFonts w:hint="eastAsia"/>
        </w:rPr>
        <w:t>重组上市以上市公司控制权发生变更为前提，并由取得控制权的一方注入资产。发行人的股东为燕京啤酒、燕京集团及食品发酵研究院，最终控制方为北控集团。适用该路径需北控集团体系先行取得一家A股上市公司的控制权，涉及以国有资金购买上市公司股份，须履行国资审批程序。</w:t>
      </w:r>
    </w:p>
    <w:p>
      <w:pPr>
        <w:pStyle w:val="a0"/>
      </w:pPr>
      <w:r>
        <w:rPr>
          <w:rFonts w:hint="eastAsia"/>
        </w:rPr>
        <w:t>发行人的控股股东燕京啤酒为深圳证券交易所主板上市公司，证券代码000729，发行人处于该上市公司体系之内。将发行人资产注入燕京啤酒的，燕京啤酒的控制权不发生变更，不构成重组上市，属同一控制下的资产整合。</w:t>
      </w:r>
    </w:p>
    <w:p>
      <w:pPr>
        <w:pStyle w:val="2"/>
        <w:spacing w:before="156" w:after="156"/>
      </w:pPr>
      <w:bookmarkStart w:id="1009" w:name="_Toc900009"/>
      <w:r>
        <w:rPr>
          <w:rFonts w:hint="eastAsia"/>
          <w:b/>
        </w:rPr>
        <w:t>其他板块财务指标对照</w:t>
      </w:r>
      <w:bookmarkEnd w:id="1009"/>
    </w:p>
    <w:p>
      <w:pPr>
        <w:pStyle w:val="a0"/>
      </w:pPr>
      <w:r>
        <w:rPr>
          <w:rFonts w:hint="eastAsia"/>
        </w:rPr>
        <w:t>以同一套财务数据对照创业板和北京证券交易所的上市财务指标，结果如下表。</w:t>
      </w:r>
    </w:p>
    <w:p>
      <w:pPr>
        <w:keepNext/>
        <w:jc w:val="center"/>
      </w:pPr>
      <w:r>
        <w:rPr>
          <w:rFonts w:hint="eastAsia"/>
          <w:b/>
          <w:sz w:val="21"/>
        </w:rPr>
        <w:t>表7：发行人与创业板、北交所财务指标的对照</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450" w:type="pct"/>
            <w:tcBorders>
              <w:top w:val="single" w:sz="12" w:space="0" w:color="010000"/>
              <w:bottom w:val="single" w:sz="4" w:space="0" w:color="010000"/>
            </w:tcBorders>
            <w:vAlign w:val="center"/>
          </w:tcPr>
          <w:p>
            <w:pPr>
              <w:keepNext/>
              <w:jc w:val="center"/>
            </w:pPr>
            <w:r/>
            <w:r>
              <w:rPr>
                <w:rFonts w:hint="eastAsia"/>
                <w:b/>
                <w:color w:val="000000"/>
                <w:sz w:val="21"/>
              </w:rPr>
              <w:t>板块</w:t>
            </w:r>
          </w:p>
        </w:tc>
        <w:tc>
          <w:tcPr>
            <w:tcW w:w="450" w:type="pct"/>
            <w:tcBorders>
              <w:top w:val="single" w:sz="12" w:space="0" w:color="010000"/>
              <w:bottom w:val="single" w:sz="4" w:space="0" w:color="010000"/>
            </w:tcBorders>
            <w:vAlign w:val="center"/>
          </w:tcPr>
          <w:p>
            <w:pPr>
              <w:keepNext/>
              <w:jc w:val="center"/>
            </w:pPr>
            <w:r/>
            <w:r>
              <w:rPr>
                <w:rFonts w:hint="eastAsia"/>
                <w:b/>
                <w:color w:val="000000"/>
                <w:sz w:val="21"/>
              </w:rPr>
              <w:t>标准</w:t>
            </w:r>
          </w:p>
        </w:tc>
        <w:tc>
          <w:tcPr>
            <w:tcW w:w="2000" w:type="pct"/>
            <w:tcBorders>
              <w:top w:val="single" w:sz="12" w:space="0" w:color="010000"/>
              <w:bottom w:val="single" w:sz="4" w:space="0" w:color="010000"/>
            </w:tcBorders>
            <w:vAlign w:val="center"/>
          </w:tcPr>
          <w:p>
            <w:pPr>
              <w:keepNext/>
              <w:jc w:val="center"/>
            </w:pPr>
            <w:r/>
            <w:r>
              <w:rPr>
                <w:rFonts w:hint="eastAsia"/>
                <w:b/>
                <w:color w:val="000000"/>
                <w:sz w:val="21"/>
              </w:rPr>
              <w:t>主要财务指标要求</w:t>
            </w:r>
          </w:p>
        </w:tc>
        <w:tc>
          <w:tcPr>
            <w:tcW w:w="1300" w:type="pct"/>
            <w:tcBorders>
              <w:top w:val="single" w:sz="12" w:space="0" w:color="010000"/>
              <w:bottom w:val="single" w:sz="4" w:space="0" w:color="010000"/>
            </w:tcBorders>
            <w:vAlign w:val="center"/>
          </w:tcPr>
          <w:p>
            <w:pPr>
              <w:keepNext/>
              <w:jc w:val="center"/>
            </w:pPr>
            <w:r/>
            <w:r>
              <w:rPr>
                <w:rFonts w:hint="eastAsia"/>
                <w:b/>
                <w:color w:val="000000"/>
                <w:sz w:val="21"/>
              </w:rPr>
              <w:t>发行人情况</w:t>
            </w:r>
          </w:p>
        </w:tc>
        <w:tc>
          <w:tcPr>
            <w:tcW w:w="800" w:type="pct"/>
            <w:tcBorders>
              <w:top w:val="single" w:sz="12" w:space="0" w:color="010000"/>
              <w:bottom w:val="single" w:sz="4" w:space="0" w:color="010000"/>
            </w:tcBorders>
            <w:vAlign w:val="center"/>
          </w:tcPr>
          <w:p>
            <w:pPr>
              <w:keepNext/>
              <w:jc w:val="center"/>
            </w:pPr>
            <w:r/>
            <w:r>
              <w:rPr>
                <w:rFonts w:hint="eastAsia"/>
                <w:b/>
                <w:color w:val="000000"/>
                <w:sz w:val="21"/>
              </w:rPr>
              <w:t>是否满足</w:t>
            </w:r>
          </w:p>
        </w:tc>
      </w:tr>
      <w:tr>
        <w:trPr>
          <w:cantSplit/>
          <w:jc w:val="center"/>
        </w:trPr>
        <w:tc>
          <w:tcPr>
            <w:tcW w:w="450" w:type="pct"/>
            <w:tcBorders>
              <w:top w:val="single" w:sz="4" w:space="0" w:color="010000"/>
            </w:tcBorders>
            <w:vAlign w:val="center"/>
          </w:tcPr>
          <w:p>
            <w:pPr>
              <w:jc w:val="center"/>
            </w:pPr>
            <w:r/>
            <w:r>
              <w:rPr>
                <w:rFonts w:hint="eastAsia"/>
                <w:color w:val="000000"/>
                <w:sz w:val="21"/>
              </w:rPr>
              <w:t>创业板</w:t>
            </w:r>
          </w:p>
        </w:tc>
        <w:tc>
          <w:tcPr>
            <w:tcW w:w="450" w:type="pct"/>
            <w:tcBorders>
              <w:top w:val="single" w:sz="4" w:space="0" w:color="010000"/>
            </w:tcBorders>
            <w:vAlign w:val="center"/>
          </w:tcPr>
          <w:p>
            <w:pPr>
              <w:jc w:val="center"/>
            </w:pPr>
            <w:r/>
            <w:r>
              <w:rPr>
                <w:rFonts w:hint="eastAsia"/>
                <w:color w:val="000000"/>
                <w:sz w:val="21"/>
              </w:rPr>
              <w:t>第一套</w:t>
            </w:r>
          </w:p>
        </w:tc>
        <w:tc>
          <w:tcPr>
            <w:tcW w:w="2000" w:type="pct"/>
            <w:tcBorders>
              <w:top w:val="single" w:sz="4" w:space="0" w:color="010000"/>
            </w:tcBorders>
            <w:vAlign w:val="center"/>
          </w:tcPr>
          <w:p>
            <w:pPr>
              <w:jc w:val="left"/>
            </w:pPr>
            <w:r/>
            <w:r>
              <w:rPr>
                <w:rFonts w:hint="eastAsia"/>
                <w:color w:val="000000"/>
                <w:sz w:val="21"/>
              </w:rPr>
              <w:t>最近两年净利润均为正且累计不低于1亿元，最近一年净利润不低于6,000万元</w:t>
            </w:r>
          </w:p>
        </w:tc>
        <w:tc>
          <w:tcPr>
            <w:tcW w:w="1300" w:type="pct"/>
            <w:tcBorders>
              <w:top w:val="single" w:sz="4" w:space="0" w:color="010000"/>
            </w:tcBorders>
            <w:vAlign w:val="center"/>
          </w:tcPr>
          <w:p>
            <w:pPr>
              <w:jc w:val="left"/>
            </w:pPr>
            <w:r/>
            <w:r>
              <w:rPr>
                <w:rFonts w:hint="eastAsia"/>
                <w:color w:val="000000"/>
                <w:sz w:val="21"/>
              </w:rPr>
              <w:t>两年净利润累计22,056.09万元，最近一年13,343.75万元</w:t>
            </w:r>
          </w:p>
        </w:tc>
        <w:tc>
          <w:tcPr>
            <w:tcW w:w="800" w:type="pct"/>
            <w:tcBorders>
              <w:top w:val="single" w:sz="4" w:space="0" w:color="010000"/>
            </w:tcBorders>
            <w:vAlign w:val="center"/>
          </w:tcPr>
          <w:p>
            <w:pPr>
              <w:jc w:val="center"/>
            </w:pPr>
            <w:r/>
            <w:r>
              <w:rPr>
                <w:rFonts w:hint="eastAsia"/>
                <w:color w:val="000000"/>
                <w:sz w:val="21"/>
              </w:rPr>
              <w:t>是</w:t>
            </w:r>
          </w:p>
        </w:tc>
      </w:tr>
      <w:tr>
        <w:trPr>
          <w:cantSplit/>
          <w:jc w:val="center"/>
        </w:trPr>
        <w:tc>
          <w:tcPr>
            <w:tcW w:w="450" w:type="pct"/>
            <w:tcBorders>
              <w:top w:val="single" w:sz="4" w:space="0" w:color="010000"/>
            </w:tcBorders>
            <w:vAlign w:val="center"/>
          </w:tcPr>
          <w:p>
            <w:pPr>
              <w:jc w:val="center"/>
            </w:pPr>
            <w:r/>
            <w:r>
              <w:rPr>
                <w:rFonts w:hint="eastAsia"/>
                <w:color w:val="000000"/>
                <w:sz w:val="21"/>
              </w:rPr>
              <w:t>创业板</w:t>
            </w:r>
          </w:p>
        </w:tc>
        <w:tc>
          <w:tcPr>
            <w:tcW w:w="450" w:type="pct"/>
            <w:tcBorders>
              <w:top w:val="single" w:sz="4" w:space="0" w:color="010000"/>
            </w:tcBorders>
            <w:vAlign w:val="center"/>
          </w:tcPr>
          <w:p>
            <w:pPr>
              <w:jc w:val="center"/>
            </w:pPr>
            <w:r/>
            <w:r>
              <w:rPr>
                <w:rFonts w:hint="eastAsia"/>
                <w:color w:val="000000"/>
                <w:sz w:val="21"/>
              </w:rPr>
              <w:t>第二套</w:t>
            </w:r>
          </w:p>
        </w:tc>
        <w:tc>
          <w:tcPr>
            <w:tcW w:w="2000" w:type="pct"/>
            <w:tcBorders>
              <w:top w:val="single" w:sz="4" w:space="0" w:color="010000"/>
            </w:tcBorders>
            <w:vAlign w:val="center"/>
          </w:tcPr>
          <w:p>
            <w:pPr>
              <w:jc w:val="left"/>
            </w:pPr>
            <w:r/>
            <w:r>
              <w:rPr>
                <w:rFonts w:hint="eastAsia"/>
                <w:color w:val="000000"/>
                <w:sz w:val="21"/>
              </w:rPr>
              <w:t>预计市值不低于15亿元，最近一年营业收入不低于4亿元，最近三年经营活动现金流量净额累计不低于1亿元</w:t>
            </w:r>
          </w:p>
        </w:tc>
        <w:tc>
          <w:tcPr>
            <w:tcW w:w="1300" w:type="pct"/>
            <w:tcBorders>
              <w:top w:val="single" w:sz="4" w:space="0" w:color="010000"/>
            </w:tcBorders>
            <w:vAlign w:val="center"/>
          </w:tcPr>
          <w:p>
            <w:pPr>
              <w:jc w:val="left"/>
            </w:pPr>
            <w:r/>
            <w:r>
              <w:rPr>
                <w:rFonts w:hint="eastAsia"/>
                <w:color w:val="000000"/>
                <w:sz w:val="21"/>
              </w:rPr>
              <w:t>最近一年营业收入43,435.86万元，现金流量净额累计10,450.81万元</w:t>
            </w:r>
          </w:p>
        </w:tc>
        <w:tc>
          <w:tcPr>
            <w:tcW w:w="800" w:type="pct"/>
            <w:tcBorders>
              <w:top w:val="single" w:sz="4" w:space="0" w:color="010000"/>
            </w:tcBorders>
            <w:vAlign w:val="center"/>
          </w:tcPr>
          <w:p>
            <w:pPr>
              <w:jc w:val="center"/>
            </w:pPr>
            <w:r/>
            <w:r>
              <w:rPr>
                <w:rFonts w:hint="eastAsia"/>
                <w:color w:val="000000"/>
                <w:sz w:val="21"/>
              </w:rPr>
              <w:t>除市值外满足</w:t>
            </w:r>
          </w:p>
        </w:tc>
      </w:tr>
      <w:tr>
        <w:trPr>
          <w:cantSplit/>
          <w:jc w:val="center"/>
        </w:trPr>
        <w:tc>
          <w:tcPr>
            <w:tcW w:w="450" w:type="pct"/>
            <w:tcBorders>
              <w:top w:val="single" w:sz="4" w:space="0" w:color="010000"/>
            </w:tcBorders>
            <w:vAlign w:val="center"/>
          </w:tcPr>
          <w:p>
            <w:pPr>
              <w:jc w:val="center"/>
            </w:pPr>
            <w:r/>
            <w:r>
              <w:rPr>
                <w:rFonts w:hint="eastAsia"/>
                <w:color w:val="000000"/>
                <w:sz w:val="21"/>
              </w:rPr>
              <w:t>北交所</w:t>
            </w:r>
          </w:p>
        </w:tc>
        <w:tc>
          <w:tcPr>
            <w:tcW w:w="450" w:type="pct"/>
            <w:tcBorders>
              <w:top w:val="single" w:sz="4" w:space="0" w:color="010000"/>
            </w:tcBorders>
            <w:vAlign w:val="center"/>
          </w:tcPr>
          <w:p>
            <w:pPr>
              <w:jc w:val="center"/>
            </w:pPr>
            <w:r/>
            <w:r>
              <w:rPr>
                <w:rFonts w:hint="eastAsia"/>
                <w:color w:val="000000"/>
                <w:sz w:val="21"/>
              </w:rPr>
              <w:t>第一套</w:t>
            </w:r>
          </w:p>
        </w:tc>
        <w:tc>
          <w:tcPr>
            <w:tcW w:w="2000" w:type="pct"/>
            <w:tcBorders>
              <w:top w:val="single" w:sz="4" w:space="0" w:color="010000"/>
            </w:tcBorders>
            <w:vAlign w:val="center"/>
          </w:tcPr>
          <w:p>
            <w:pPr>
              <w:jc w:val="left"/>
            </w:pPr>
            <w:r/>
            <w:r>
              <w:rPr>
                <w:rFonts w:hint="eastAsia"/>
                <w:color w:val="000000"/>
                <w:sz w:val="21"/>
              </w:rPr>
              <w:t>预计市值不低于2亿元，最近两年净利润均不低于1,500万元且加权平均净资产收益率平均不低于8%</w:t>
            </w:r>
          </w:p>
        </w:tc>
        <w:tc>
          <w:tcPr>
            <w:tcW w:w="1300" w:type="pct"/>
            <w:tcBorders>
              <w:top w:val="single" w:sz="4" w:space="0" w:color="010000"/>
            </w:tcBorders>
            <w:vAlign w:val="center"/>
          </w:tcPr>
          <w:p>
            <w:pPr>
              <w:jc w:val="left"/>
            </w:pPr>
            <w:r/>
            <w:r>
              <w:rPr>
                <w:rFonts w:hint="eastAsia"/>
                <w:color w:val="000000"/>
                <w:sz w:val="21"/>
              </w:rPr>
              <w:t>两年净利润8,712.34万元、13,343.75万元，净资产收益率约77.85%、66.82%</w:t>
            </w:r>
          </w:p>
        </w:tc>
        <w:tc>
          <w:tcPr>
            <w:tcW w:w="800" w:type="pct"/>
            <w:tcBorders>
              <w:top w:val="single" w:sz="4" w:space="0" w:color="010000"/>
            </w:tcBorders>
            <w:vAlign w:val="center"/>
          </w:tcPr>
          <w:p>
            <w:pPr>
              <w:jc w:val="center"/>
            </w:pPr>
            <w:r/>
            <w:r>
              <w:rPr>
                <w:rFonts w:hint="eastAsia"/>
                <w:color w:val="000000"/>
                <w:sz w:val="21"/>
              </w:rPr>
              <w:t>是</w:t>
            </w:r>
          </w:p>
        </w:tc>
      </w:tr>
      <w:tr>
        <w:trPr>
          <w:cantSplit/>
          <w:jc w:val="center"/>
        </w:trPr>
        <w:tc>
          <w:tcPr>
            <w:tcW w:w="450" w:type="pct"/>
            <w:tcBorders>
              <w:top w:val="single" w:sz="4" w:space="0" w:color="010000"/>
            </w:tcBorders>
            <w:vAlign w:val="center"/>
          </w:tcPr>
          <w:p>
            <w:pPr>
              <w:jc w:val="center"/>
            </w:pPr>
            <w:r/>
            <w:r>
              <w:rPr>
                <w:rFonts w:hint="eastAsia"/>
                <w:color w:val="000000"/>
                <w:sz w:val="21"/>
              </w:rPr>
              <w:t>北交所</w:t>
            </w:r>
          </w:p>
        </w:tc>
        <w:tc>
          <w:tcPr>
            <w:tcW w:w="450" w:type="pct"/>
            <w:tcBorders>
              <w:top w:val="single" w:sz="4" w:space="0" w:color="010000"/>
            </w:tcBorders>
            <w:vAlign w:val="center"/>
          </w:tcPr>
          <w:p>
            <w:pPr>
              <w:jc w:val="center"/>
            </w:pPr>
            <w:r/>
            <w:r>
              <w:rPr>
                <w:rFonts w:hint="eastAsia"/>
                <w:color w:val="000000"/>
                <w:sz w:val="21"/>
              </w:rPr>
              <w:t>第二套</w:t>
            </w:r>
          </w:p>
        </w:tc>
        <w:tc>
          <w:tcPr>
            <w:tcW w:w="2000" w:type="pct"/>
            <w:tcBorders>
              <w:top w:val="single" w:sz="4" w:space="0" w:color="010000"/>
            </w:tcBorders>
            <w:vAlign w:val="center"/>
          </w:tcPr>
          <w:p>
            <w:pPr>
              <w:jc w:val="left"/>
            </w:pPr>
            <w:r/>
            <w:r>
              <w:rPr>
                <w:rFonts w:hint="eastAsia"/>
                <w:color w:val="000000"/>
                <w:sz w:val="21"/>
              </w:rPr>
              <w:t>预计市值不低于4亿元，最近两年营业收入平均不低于1亿元且最近一年增长率不低于30%，最近一年经营活动现金流量净额为正</w:t>
            </w:r>
          </w:p>
        </w:tc>
        <w:tc>
          <w:tcPr>
            <w:tcW w:w="1300" w:type="pct"/>
            <w:tcBorders>
              <w:top w:val="single" w:sz="4" w:space="0" w:color="010000"/>
            </w:tcBorders>
            <w:vAlign w:val="center"/>
          </w:tcPr>
          <w:p>
            <w:pPr>
              <w:jc w:val="left"/>
            </w:pPr>
            <w:r/>
            <w:r>
              <w:rPr>
                <w:rFonts w:hint="eastAsia"/>
                <w:color w:val="000000"/>
                <w:sz w:val="21"/>
              </w:rPr>
              <w:t>两年营业收入平均32,350.75万元，增长率104.25%，现金流量净额4,723.32万元</w:t>
            </w:r>
          </w:p>
        </w:tc>
        <w:tc>
          <w:tcPr>
            <w:tcW w:w="800" w:type="pct"/>
            <w:tcBorders>
              <w:top w:val="single" w:sz="4" w:space="0" w:color="010000"/>
            </w:tcBorders>
            <w:vAlign w:val="center"/>
          </w:tcPr>
          <w:p>
            <w:pPr>
              <w:jc w:val="center"/>
            </w:pPr>
            <w:r/>
            <w:r>
              <w:rPr>
                <w:rFonts w:hint="eastAsia"/>
                <w:color w:val="000000"/>
                <w:sz w:val="21"/>
              </w:rPr>
              <w:t>是</w:t>
            </w:r>
          </w:p>
        </w:tc>
      </w:tr>
    </w:tbl>
    <w:p>
      <w:pPr>
        <w:pStyle w:val="a6"/>
        <w:jc w:val="center"/>
      </w:pPr>
      <w:r>
        <w:rPr>
          <w:rFonts w:hint="eastAsia"/>
          <w:sz w:val="11"/>
          <w:szCs w:val="11"/>
        </w:rPr>
        <w:t>资料来源：深圳证券交易所创业板、北京证券交易所上市条件及发行人审计报告，国泰海通投资银行部整理。净资产收益率按期初、期末净资产平均数简化测算</w:t>
      </w:r>
    </w:p>
    <w:p>
      <w:pPr>
        <w:pStyle w:val="a0"/>
      </w:pPr>
      <w:r>
        <w:rPr>
          <w:rFonts w:hint="eastAsia"/>
        </w:rPr>
        <w:t>发行人满足创业板第一套标准，满足北交所第一套、第二套标准。两个板块另设板块定位、研发投入或者挂牌年限等条件，不属于本次财务指标测算的范围。</w:t>
      </w:r>
    </w:p>
    <w:sectPr w:rsidR="004A0C46">
      <w:pgSz w:w="11906" w:h="16838"/>
      <w:pgMar w:top="1440" w:right="1800" w:bottom="1440" w:left="180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06E93" w14:textId="77777777" w:rsidR="00587D39" w:rsidRDefault="00587D39">
      <w:r>
        <w:separator/>
      </w:r>
    </w:p>
  </w:endnote>
  <w:endnote w:type="continuationSeparator" w:id="0">
    <w:p w14:paraId="4850330F" w14:textId="77777777" w:rsidR="00587D39" w:rsidRDefault="0058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4E0A" w14:textId="459487C3" w:rsidR="004A0C46" w:rsidRDefault="004A0C46" w:rsidP="000E155A">
    <w:pPr>
      <w:pStyle w:val="a8"/>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811145"/>
      <w:docPartObj>
        <w:docPartGallery w:val="Page Numbers (Bottom of Page)"/>
        <w:docPartUnique/>
      </w:docPartObj>
    </w:sdtPr>
    <w:sdtEndPr>
      <w:rPr>
        <w:rFonts w:ascii="Times New Roman" w:eastAsia="宋体" w:hAnsi="Times New Roman"/>
        <w:sz w:val="21"/>
        <w:szCs w:val="21"/>
      </w:rPr>
    </w:sdtEndPr>
    <w:sdtContent>
      <w:p w14:paraId="72B0EFA0" w14:textId="77777777" w:rsidR="000E155A" w:rsidRPr="000E155A" w:rsidRDefault="000E155A" w:rsidP="000E155A">
        <w:pPr>
          <w:pStyle w:val="a8"/>
          <w:jc w:val="center"/>
          <w:rPr>
            <w:rFonts w:ascii="Times New Roman" w:eastAsia="宋体" w:hAnsi="Times New Roman" w:hint="eastAsia"/>
            <w:sz w:val="21"/>
            <w:szCs w:val="21"/>
          </w:rPr>
        </w:pPr>
        <w:r w:rsidRPr="000E155A">
          <w:rPr>
            <w:rFonts w:ascii="Times New Roman" w:eastAsia="宋体" w:hAnsi="Times New Roman"/>
            <w:sz w:val="21"/>
            <w:szCs w:val="21"/>
          </w:rPr>
          <w:fldChar w:fldCharType="begin"/>
        </w:r>
        <w:r w:rsidRPr="000E155A">
          <w:rPr>
            <w:rFonts w:ascii="Times New Roman" w:eastAsia="宋体" w:hAnsi="Times New Roman"/>
            <w:sz w:val="21"/>
            <w:szCs w:val="21"/>
          </w:rPr>
          <w:instrText>PAGE   \* MERGEFORMAT</w:instrText>
        </w:r>
        <w:r w:rsidRPr="000E155A">
          <w:rPr>
            <w:rFonts w:ascii="Times New Roman" w:eastAsia="宋体" w:hAnsi="Times New Roman"/>
            <w:sz w:val="21"/>
            <w:szCs w:val="21"/>
          </w:rPr>
          <w:fldChar w:fldCharType="separate"/>
        </w:r>
        <w:r w:rsidRPr="000E155A">
          <w:rPr>
            <w:rFonts w:ascii="Times New Roman" w:eastAsia="宋体" w:hAnsi="Times New Roman"/>
            <w:sz w:val="21"/>
            <w:szCs w:val="21"/>
            <w:lang w:val="zh-CN"/>
          </w:rPr>
          <w:t>2</w:t>
        </w:r>
        <w:r w:rsidRPr="000E155A">
          <w:rPr>
            <w:rFonts w:ascii="Times New Roman" w:eastAsia="宋体" w:hAnsi="Times New Roman"/>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E1C9" w14:textId="77777777" w:rsidR="00587D39" w:rsidRDefault="00587D39">
      <w:r>
        <w:separator/>
      </w:r>
    </w:p>
  </w:footnote>
  <w:footnote w:type="continuationSeparator" w:id="0">
    <w:p w14:paraId="50F506F9" w14:textId="77777777" w:rsidR="00587D39" w:rsidRDefault="00587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9DB93"/>
    <w:multiLevelType w:val="singleLevel"/>
    <w:tmpl w:val="05D40FFA"/>
    <w:lvl w:ilvl="0">
      <w:start w:val="1"/>
      <w:numFmt w:val="chineseCounting"/>
      <w:suff w:val="nothing"/>
      <w:lvlText w:val="%1、"/>
      <w:lvlJc w:val="left"/>
      <w:rPr>
        <w:rFonts w:hint="eastAsia"/>
      </w:rPr>
    </w:lvl>
  </w:abstractNum>
  <w:abstractNum w:abstractNumId="1" w15:restartNumberingAfterBreak="0">
    <w:nsid w:val="211E2CC6"/>
    <w:multiLevelType w:val="multilevel"/>
    <w:tmpl w:val="54FE1F4C"/>
    <w:lvl w:ilvl="0">
      <w:start w:val="1"/>
      <w:numFmt w:val="chineseCounting"/>
      <w:lvlRestart w:val="0"/>
      <w:pStyle w:val="1"/>
      <w:suff w:val="space"/>
      <w:lvlText w:val="第%1节"/>
      <w:lvlJc w:val="left"/>
      <w:pPr>
        <w:ind w:left="0" w:firstLine="0"/>
      </w:pPr>
      <w:rPr>
        <w:rFonts w:ascii="黑体" w:eastAsia="黑体" w:hAnsi="黑体" w:hint="eastAsia"/>
        <w:b w:val="0"/>
        <w:i w:val="0"/>
        <w:sz w:val="32"/>
      </w:rPr>
    </w:lvl>
    <w:lvl w:ilvl="1">
      <w:start w:val="1"/>
      <w:numFmt w:val="chineseCounting"/>
      <w:pStyle w:val="2"/>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noProof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em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CFD45B3"/>
    <w:multiLevelType w:val="multilevel"/>
    <w:tmpl w:val="4718CA14"/>
    <w:lvl w:ilvl="0">
      <w:start w:val="1"/>
      <w:numFmt w:val="chineseCounting"/>
      <w:lvlRestart w:val="0"/>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ascii="黑体" w:eastAsia="黑体" w:hAnsi="黑体" w:hint="eastAsia"/>
        <w:b w:val="0"/>
        <w:sz w:val="28"/>
      </w:rPr>
    </w:lvl>
    <w:lvl w:ilvl="2">
      <w:start w:val="1"/>
      <w:numFmt w:val="chineseCounting"/>
      <w:suff w:val="nothing"/>
      <w:lvlText w:val="（%3）"/>
      <w:lvlJc w:val="left"/>
      <w:pPr>
        <w:ind w:left="0" w:firstLine="0"/>
      </w:pPr>
      <w:rPr>
        <w:rFonts w:ascii="Times New Roman" w:hAnsi="Times New Roman" w:cs="Times New Roman"/>
        <w:b w:val="0"/>
        <w:sz w:val="24"/>
      </w:rPr>
    </w:lvl>
    <w:lvl w:ilvl="3">
      <w:start w:val="1"/>
      <w:numFmt w:val="decimal"/>
      <w:suff w:val="nothing"/>
      <w:lvlText w:val="%4、"/>
      <w:lvlJc w:val="left"/>
      <w:pPr>
        <w:ind w:left="0" w:firstLine="0"/>
      </w:pPr>
      <w:rPr>
        <w:rFonts w:ascii="Times New Roman" w:hAnsi="Times New Roman" w:cs="Times New Roman"/>
        <w:b/>
        <w:sz w:val="24"/>
      </w:rPr>
    </w:lvl>
    <w:lvl w:ilvl="4">
      <w:start w:val="1"/>
      <w:numFmt w:val="decimal"/>
      <w:suff w:val="nothing"/>
      <w:lvlText w:val="（%5）"/>
      <w:lvlJc w:val="left"/>
      <w:pPr>
        <w:ind w:left="0" w:firstLine="0"/>
      </w:pPr>
      <w:rPr>
        <w:rFonts w:ascii="Times New Roman" w:hAnsi="Times New Roman" w:cs="Times New Roman"/>
        <w:b w:val="0"/>
        <w:sz w:val="24"/>
      </w:rPr>
    </w:lvl>
    <w:lvl w:ilvl="5">
      <w:start w:val="1"/>
      <w:numFmt w:val="decimal"/>
      <w:suff w:val="nothing"/>
      <w:lvlText w:val="%6）"/>
      <w:lvlJc w:val="left"/>
      <w:pPr>
        <w:ind w:left="0" w:firstLine="0"/>
      </w:pPr>
      <w:rPr>
        <w:rFonts w:ascii="Times New Roman" w:hAnsi="Times New Roman" w:cs="Times New Roman"/>
        <w:b w:val="0"/>
        <w:sz w:val="24"/>
      </w:rPr>
    </w:lvl>
    <w:lvl w:ilvl="6">
      <w:start w:val="1"/>
      <w:numFmt w:val="decimalEnclosedCircle"/>
      <w:suff w:val="nothing"/>
      <w:lvlText w:val="%7"/>
      <w:lvlJc w:val="left"/>
      <w:pPr>
        <w:ind w:left="0" w:firstLine="0"/>
      </w:pPr>
      <w:rPr>
        <w:rFonts w:ascii="Times New Roman" w:hAnsi="Times New Roman" w:cs="Times New Roman"/>
        <w:b w:val="0"/>
        <w:sz w:val="24"/>
      </w:r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09019390">
    <w:abstractNumId w:val="0"/>
  </w:num>
  <w:num w:numId="2" w16cid:durableId="748382803">
    <w:abstractNumId w:val="1"/>
  </w:num>
  <w:num w:numId="3" w16cid:durableId="1148666522">
    <w:abstractNumId w:val="1"/>
  </w:num>
  <w:num w:numId="4" w16cid:durableId="1149790210">
    <w:abstractNumId w:val="1"/>
  </w:num>
  <w:num w:numId="5" w16cid:durableId="1733045307">
    <w:abstractNumId w:val="1"/>
  </w:num>
  <w:num w:numId="6" w16cid:durableId="138157883">
    <w:abstractNumId w:val="1"/>
  </w:num>
  <w:num w:numId="7" w16cid:durableId="1450584076">
    <w:abstractNumId w:val="1"/>
  </w:num>
  <w:num w:numId="8" w16cid:durableId="4719513">
    <w:abstractNumId w:val="1"/>
  </w:num>
  <w:num w:numId="9" w16cid:durableId="408430222">
    <w:abstractNumId w:val="2"/>
  </w:num>
  <w:num w:numId="10" w16cid:durableId="1237394881">
    <w:abstractNumId w:val="1"/>
  </w:num>
  <w:num w:numId="11" w16cid:durableId="653611128">
    <w:abstractNumId w:val="1"/>
  </w:num>
  <w:num w:numId="12" w16cid:durableId="1363748588">
    <w:abstractNumId w:val="1"/>
  </w:num>
  <w:num w:numId="13" w16cid:durableId="1630043532">
    <w:abstractNumId w:val="1"/>
  </w:num>
  <w:num w:numId="14" w16cid:durableId="972950653">
    <w:abstractNumId w:val="1"/>
  </w:num>
  <w:num w:numId="15" w16cid:durableId="1214850664">
    <w:abstractNumId w:val="1"/>
  </w:num>
  <w:num w:numId="16" w16cid:durableId="370418407">
    <w:abstractNumId w:val="1"/>
  </w:num>
  <w:num w:numId="17" w16cid:durableId="597367823">
    <w:abstractNumId w:val="1"/>
  </w:num>
  <w:num w:numId="18" w16cid:durableId="1243833782">
    <w:abstractNumId w:val="1"/>
  </w:num>
  <w:num w:numId="19" w16cid:durableId="1207722889">
    <w:abstractNumId w:val="1"/>
  </w:num>
  <w:num w:numId="20" w16cid:durableId="1554660264">
    <w:abstractNumId w:val="1"/>
  </w:num>
  <w:num w:numId="21" w16cid:durableId="1780833768">
    <w:abstractNumId w:val="1"/>
  </w:num>
  <w:num w:numId="22" w16cid:durableId="1908758277">
    <w:abstractNumId w:val="1"/>
  </w:num>
  <w:num w:numId="23" w16cid:durableId="1026911488">
    <w:abstractNumId w:val="1"/>
  </w:num>
  <w:num w:numId="24" w16cid:durableId="661542715">
    <w:abstractNumId w:val="1"/>
  </w:num>
  <w:num w:numId="25" w16cid:durableId="485240193">
    <w:abstractNumId w:val="1"/>
  </w:num>
  <w:num w:numId="26" w16cid:durableId="1799104121">
    <w:abstractNumId w:val="1"/>
  </w:num>
  <w:num w:numId="27" w16cid:durableId="1695225271">
    <w:abstractNumId w:val="1"/>
  </w:num>
  <w:num w:numId="28" w16cid:durableId="171526905">
    <w:abstractNumId w:val="1"/>
  </w:num>
  <w:num w:numId="29" w16cid:durableId="1766533285">
    <w:abstractNumId w:val="1"/>
  </w:num>
  <w:num w:numId="30" w16cid:durableId="816261382">
    <w:abstractNumId w:val="1"/>
  </w:num>
  <w:num w:numId="31" w16cid:durableId="438379917">
    <w:abstractNumId w:val="1"/>
  </w:num>
  <w:num w:numId="32" w16cid:durableId="19406082">
    <w:abstractNumId w:val="1"/>
  </w:num>
  <w:num w:numId="33" w16cid:durableId="248007036">
    <w:abstractNumId w:val="1"/>
  </w:num>
  <w:num w:numId="34" w16cid:durableId="1127120554">
    <w:abstractNumId w:val="1"/>
  </w:num>
  <w:num w:numId="35" w16cid:durableId="996304787">
    <w:abstractNumId w:val="1"/>
  </w:num>
  <w:num w:numId="36" w16cid:durableId="501506145">
    <w:abstractNumId w:val="1"/>
  </w:num>
  <w:num w:numId="37" w16cid:durableId="545683955">
    <w:abstractNumId w:val="1"/>
  </w:num>
  <w:num w:numId="38" w16cid:durableId="1273778634">
    <w:abstractNumId w:val="1"/>
  </w:num>
  <w:num w:numId="39" w16cid:durableId="845708765">
    <w:abstractNumId w:val="1"/>
  </w:num>
  <w:num w:numId="40" w16cid:durableId="426122848">
    <w:abstractNumId w:val="1"/>
  </w:num>
  <w:num w:numId="41" w16cid:durableId="856576277">
    <w:abstractNumId w:val="1"/>
  </w:num>
  <w:num w:numId="42" w16cid:durableId="207192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updateFields w:val="true"/>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ACFBC7B2"/>
    <w:rsid w:val="00085726"/>
    <w:rsid w:val="000E155A"/>
    <w:rsid w:val="000F283C"/>
    <w:rsid w:val="0011270F"/>
    <w:rsid w:val="001349C6"/>
    <w:rsid w:val="001950A1"/>
    <w:rsid w:val="0039617E"/>
    <w:rsid w:val="004378BA"/>
    <w:rsid w:val="004A0C46"/>
    <w:rsid w:val="004F7178"/>
    <w:rsid w:val="00555E6A"/>
    <w:rsid w:val="00587D39"/>
    <w:rsid w:val="00592284"/>
    <w:rsid w:val="005E7246"/>
    <w:rsid w:val="00662F6D"/>
    <w:rsid w:val="00670B1C"/>
    <w:rsid w:val="00795354"/>
    <w:rsid w:val="007E5EB5"/>
    <w:rsid w:val="00A34D1B"/>
    <w:rsid w:val="00AE02CD"/>
    <w:rsid w:val="00E419C7"/>
    <w:rsid w:val="00EC0E9A"/>
    <w:rsid w:val="00F27C6B"/>
    <w:rsid w:val="00FF56FE"/>
    <w:rsid w:val="29F9C83D"/>
    <w:rsid w:val="33F53DC0"/>
    <w:rsid w:val="353FEB1E"/>
    <w:rsid w:val="3DF3A5E0"/>
    <w:rsid w:val="3FCF0B00"/>
    <w:rsid w:val="3FF54F6B"/>
    <w:rsid w:val="3FFCB0C0"/>
    <w:rsid w:val="5717597D"/>
    <w:rsid w:val="5CBF3D48"/>
    <w:rsid w:val="5F7BA9D3"/>
    <w:rsid w:val="64DFFEC1"/>
    <w:rsid w:val="69B5CEB2"/>
    <w:rsid w:val="69FF8DFA"/>
    <w:rsid w:val="6EFB830B"/>
    <w:rsid w:val="77CDD5AC"/>
    <w:rsid w:val="7BFB9EEF"/>
    <w:rsid w:val="7C772AB6"/>
    <w:rsid w:val="7EF8F3DE"/>
    <w:rsid w:val="7F3BEA07"/>
    <w:rsid w:val="7FDD237B"/>
    <w:rsid w:val="ACFBC7B2"/>
    <w:rsid w:val="BAD50396"/>
    <w:rsid w:val="BDBEA619"/>
    <w:rsid w:val="BFB6F836"/>
    <w:rsid w:val="BFFBB6BF"/>
    <w:rsid w:val="DCFF672D"/>
    <w:rsid w:val="DF9FA881"/>
    <w:rsid w:val="DFFC800C"/>
    <w:rsid w:val="EC255AAB"/>
    <w:rsid w:val="EDB96F0D"/>
    <w:rsid w:val="EFFF2415"/>
    <w:rsid w:val="FB9D90C9"/>
    <w:rsid w:val="FCBD6A06"/>
    <w:rsid w:val="FDD2248A"/>
    <w:rsid w:val="FEE5C490"/>
    <w:rsid w:val="FF6EC6C0"/>
    <w:rsid w:val="FFA594DA"/>
    <w:rsid w:val="FFAEF88F"/>
    <w:rsid w:val="FFCB1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C6BCC"/>
  <w15:docId w15:val="{9B25C5D5-99CB-4FAB-AF7E-478891F1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2" w:unhideWhenUsed="1" w:qFormat="1"/>
    <w:lsdException w:name="heading 8" w:semiHidden="1" w:unhideWhenUsed="1" w:qFormat="1"/>
    <w:lsdException w:name="heading 9" w:semiHidden="1" w:unhideWhenUsed="1" w:qFormat="1"/>
    <w:lsdException w:name="toc 1" w:uiPriority="39"/>
    <w:lsdException w:name="toc 2" w:uiPriority="39"/>
    <w:lsdException w:name="Normal Indent" w:qFormat="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2F6D"/>
    <w:pPr>
      <w:widowControl w:val="0"/>
      <w:jc w:val="both"/>
    </w:pPr>
    <w:rPr>
      <w:kern w:val="2"/>
    </w:rPr>
  </w:style>
  <w:style w:type="paragraph" w:styleId="1">
    <w:name w:val="heading 1"/>
    <w:next w:val="a0"/>
    <w:link w:val="10"/>
    <w:autoRedefine/>
    <w:uiPriority w:val="1"/>
    <w:qFormat/>
    <w:rsid w:val="000E155A"/>
    <w:pPr>
      <w:keepNext/>
      <w:keepLines/>
      <w:pageBreakBefore/>
      <w:numPr>
        <w:numId w:val="16"/>
      </w:numPr>
      <w:spacing w:beforeLines="50" w:before="50" w:afterLines="50" w:after="50" w:line="360" w:lineRule="auto"/>
      <w:jc w:val="center"/>
      <w:outlineLvl w:val="0"/>
    </w:pPr>
    <w:rPr>
      <w:rFonts w:eastAsia="黑体"/>
      <w:bCs/>
      <w:sz w:val="32"/>
      <w:szCs w:val="44"/>
    </w:rPr>
  </w:style>
  <w:style w:type="paragraph" w:styleId="2">
    <w:name w:val="heading 2"/>
    <w:next w:val="a0"/>
    <w:link w:val="20"/>
    <w:autoRedefine/>
    <w:uiPriority w:val="1"/>
    <w:qFormat/>
    <w:rsid w:val="000E155A"/>
    <w:pPr>
      <w:keepNext/>
      <w:keepLines/>
      <w:numPr>
        <w:ilvl w:val="1"/>
        <w:numId w:val="16"/>
      </w:numPr>
      <w:spacing w:beforeLines="50" w:before="50" w:afterLines="50" w:line="360" w:lineRule="auto"/>
      <w:jc w:val="both"/>
      <w:outlineLvl w:val="1"/>
    </w:pPr>
    <w:rPr>
      <w:rFonts w:eastAsia="黑体"/>
      <w:bCs/>
      <w:kern w:val="2"/>
      <w:sz w:val="28"/>
      <w:szCs w:val="32"/>
    </w:rPr>
  </w:style>
  <w:style w:type="paragraph" w:styleId="3">
    <w:name w:val="heading 3"/>
    <w:next w:val="a0"/>
    <w:link w:val="30"/>
    <w:autoRedefine/>
    <w:uiPriority w:val="1"/>
    <w:qFormat/>
    <w:rsid w:val="000F283C"/>
    <w:pPr>
      <w:keepNext/>
      <w:keepLines/>
      <w:numPr>
        <w:ilvl w:val="2"/>
        <w:numId w:val="16"/>
      </w:numPr>
      <w:spacing w:beforeLines="50" w:before="50" w:afterLines="50" w:line="360" w:lineRule="auto"/>
      <w:jc w:val="both"/>
      <w:outlineLvl w:val="2"/>
    </w:pPr>
    <w:rPr>
      <w:rFonts w:eastAsia="黑体"/>
      <w:bCs/>
      <w:color w:val="000000"/>
      <w:sz w:val="24"/>
      <w:szCs w:val="24"/>
      <w:lang w:eastAsia="ar-SA"/>
    </w:rPr>
  </w:style>
  <w:style w:type="paragraph" w:styleId="4">
    <w:name w:val="heading 4"/>
    <w:next w:val="a0"/>
    <w:link w:val="40"/>
    <w:autoRedefine/>
    <w:uiPriority w:val="1"/>
    <w:qFormat/>
    <w:rsid w:val="000E155A"/>
    <w:pPr>
      <w:keepNext/>
      <w:keepLines/>
      <w:numPr>
        <w:ilvl w:val="3"/>
        <w:numId w:val="16"/>
      </w:numPr>
      <w:spacing w:beforeLines="50" w:before="50" w:afterLines="50" w:after="50" w:line="360" w:lineRule="auto"/>
      <w:jc w:val="both"/>
      <w:outlineLvl w:val="3"/>
    </w:pPr>
    <w:rPr>
      <w:b/>
      <w:bCs/>
      <w:kern w:val="2"/>
      <w:szCs w:val="28"/>
    </w:rPr>
  </w:style>
  <w:style w:type="paragraph" w:styleId="5">
    <w:name w:val="heading 5"/>
    <w:next w:val="a0"/>
    <w:link w:val="50"/>
    <w:autoRedefine/>
    <w:uiPriority w:val="1"/>
    <w:qFormat/>
    <w:rsid w:val="000E155A"/>
    <w:pPr>
      <w:keepNext/>
      <w:keepLines/>
      <w:numPr>
        <w:ilvl w:val="4"/>
        <w:numId w:val="16"/>
      </w:numPr>
      <w:spacing w:beforeLines="50" w:before="50" w:afterLines="50" w:after="50" w:line="360" w:lineRule="auto"/>
      <w:outlineLvl w:val="4"/>
    </w:pPr>
    <w:rPr>
      <w:bCs/>
      <w:kern w:val="2"/>
      <w:szCs w:val="28"/>
    </w:rPr>
  </w:style>
  <w:style w:type="paragraph" w:styleId="6">
    <w:name w:val="heading 6"/>
    <w:next w:val="a0"/>
    <w:link w:val="60"/>
    <w:autoRedefine/>
    <w:uiPriority w:val="1"/>
    <w:qFormat/>
    <w:rsid w:val="000E155A"/>
    <w:pPr>
      <w:numPr>
        <w:ilvl w:val="5"/>
        <w:numId w:val="16"/>
      </w:numPr>
      <w:spacing w:beforeLines="50" w:before="50" w:afterLines="50" w:after="50" w:line="360" w:lineRule="auto"/>
      <w:jc w:val="both"/>
      <w:outlineLvl w:val="5"/>
    </w:pPr>
    <w:rPr>
      <w:bCs/>
      <w:kern w:val="2"/>
      <w:szCs w:val="24"/>
    </w:rPr>
  </w:style>
  <w:style w:type="paragraph" w:styleId="7">
    <w:name w:val="heading 7"/>
    <w:next w:val="a0"/>
    <w:link w:val="70"/>
    <w:autoRedefine/>
    <w:uiPriority w:val="2"/>
    <w:unhideWhenUsed/>
    <w:qFormat/>
    <w:rsid w:val="000E155A"/>
    <w:pPr>
      <w:keepNext/>
      <w:keepLines/>
      <w:numPr>
        <w:ilvl w:val="6"/>
        <w:numId w:val="16"/>
      </w:numPr>
      <w:spacing w:beforeLines="50" w:before="50" w:afterLines="50" w:after="50" w:line="360" w:lineRule="auto"/>
      <w:outlineLvl w:val="6"/>
    </w:pPr>
    <w:rPr>
      <w:bCs/>
      <w:kern w:val="2"/>
      <w:szCs w:val="24"/>
    </w:rPr>
  </w:style>
  <w:style w:type="character" w:default="1" w:styleId="a1">
    <w:name w:val="Default Paragraph Font"/>
    <w:uiPriority w:val="1"/>
    <w:semiHidden/>
    <w:unhideWhenUsed/>
  </w:style>
  <w:style w:type="table" w:default="1" w:styleId="a2">
    <w:name w:val="Normal Table"/>
    <w:uiPriority w:val="99"/>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1"/>
    <w:rsid w:val="000E155A"/>
    <w:rPr>
      <w:rFonts w:eastAsia="黑体"/>
      <w:bCs/>
      <w:sz w:val="32"/>
      <w:szCs w:val="44"/>
    </w:rPr>
  </w:style>
  <w:style w:type="paragraph" w:styleId="TOC">
    <w:name w:val="TOC Heading"/>
    <w:basedOn w:val="1"/>
    <w:next w:val="a"/>
    <w:uiPriority w:val="39"/>
    <w:unhideWhenUsed/>
    <w:qFormat/>
    <w:rsid w:val="000E155A"/>
    <w:pPr>
      <w:pageBreakBefore w:val="0"/>
      <w:numPr>
        <w:numId w:val="0"/>
      </w:numPr>
      <w:snapToGrid w:val="0"/>
      <w:spacing w:beforeLines="0" w:before="240" w:afterLines="0" w:after="0" w:line="259" w:lineRule="auto"/>
      <w:outlineLvl w:val="9"/>
    </w:pPr>
    <w:rPr>
      <w:bCs w:val="0"/>
      <w:szCs w:val="32"/>
    </w:rPr>
  </w:style>
  <w:style w:type="paragraph" w:styleId="TOC1">
    <w:name w:val="toc 1"/>
    <w:basedOn w:val="a"/>
    <w:next w:val="a"/>
    <w:autoRedefine/>
    <w:uiPriority w:val="39"/>
    <w:unhideWhenUsed/>
    <w:rsid w:val="00AE02CD"/>
    <w:pPr>
      <w:tabs>
        <w:tab w:val="right" w:leader="dot" w:pos="8299"/>
      </w:tabs>
    </w:pPr>
    <w:rPr>
      <w:rFonts w:cs="宋体"/>
      <w:b/>
      <w:bCs/>
      <w:noProof/>
    </w:rPr>
  </w:style>
  <w:style w:type="paragraph" w:styleId="TOC2">
    <w:name w:val="toc 2"/>
    <w:basedOn w:val="a"/>
    <w:next w:val="a"/>
    <w:autoRedefine/>
    <w:uiPriority w:val="39"/>
    <w:unhideWhenUsed/>
    <w:rsid w:val="000E155A"/>
    <w:pPr>
      <w:ind w:leftChars="200" w:left="420"/>
    </w:pPr>
    <w:rPr>
      <w:rFonts w:eastAsia="黑体"/>
    </w:rPr>
  </w:style>
  <w:style w:type="character" w:styleId="a5">
    <w:name w:val="Hyperlink"/>
    <w:basedOn w:val="a1"/>
    <w:uiPriority w:val="99"/>
    <w:unhideWhenUsed/>
    <w:rsid w:val="00085726"/>
    <w:rPr>
      <w:color w:val="0026E5" w:themeColor="hyperlink"/>
      <w:u w:val="single"/>
    </w:rPr>
  </w:style>
  <w:style w:type="paragraph" w:customStyle="1" w:styleId="11">
    <w:name w:val="样式1"/>
    <w:basedOn w:val="a"/>
    <w:qFormat/>
    <w:rsid w:val="000E155A"/>
    <w:pPr>
      <w:widowControl/>
      <w:spacing w:before="156" w:after="156" w:line="360" w:lineRule="auto"/>
      <w:ind w:firstLine="480"/>
    </w:pPr>
    <w:rPr>
      <w:rFonts w:ascii="宋体" w:hAnsi="宋体" w:cs="宋体"/>
      <w:szCs w:val="21"/>
    </w:rPr>
  </w:style>
  <w:style w:type="paragraph" w:styleId="a0">
    <w:name w:val="Normal Indent"/>
    <w:autoRedefine/>
    <w:qFormat/>
    <w:rsid w:val="000F283C"/>
    <w:pPr>
      <w:spacing w:beforeLines="50" w:before="50" w:line="360" w:lineRule="auto"/>
      <w:ind w:firstLineChars="200" w:firstLine="200"/>
      <w:jc w:val="both"/>
    </w:pPr>
    <w:rPr>
      <w:rFonts w:eastAsia="Times New Roman"/>
      <w:kern w:val="2"/>
      <w:sz w:val="24"/>
      <w:szCs w:val="23"/>
    </w:rPr>
  </w:style>
  <w:style w:type="character" w:customStyle="1" w:styleId="20">
    <w:name w:val="标题 2 字符"/>
    <w:basedOn w:val="a1"/>
    <w:link w:val="2"/>
    <w:uiPriority w:val="1"/>
    <w:rsid w:val="000E155A"/>
    <w:rPr>
      <w:rFonts w:eastAsia="黑体"/>
      <w:bCs/>
      <w:kern w:val="2"/>
      <w:sz w:val="28"/>
      <w:szCs w:val="32"/>
    </w:rPr>
  </w:style>
  <w:style w:type="character" w:customStyle="1" w:styleId="30">
    <w:name w:val="标题 3 字符"/>
    <w:basedOn w:val="a1"/>
    <w:link w:val="3"/>
    <w:uiPriority w:val="1"/>
    <w:rsid w:val="000F283C"/>
    <w:rPr>
      <w:rFonts w:eastAsia="黑体"/>
      <w:bCs/>
      <w:color w:val="000000"/>
      <w:sz w:val="24"/>
      <w:szCs w:val="24"/>
      <w:lang w:eastAsia="ar-SA"/>
    </w:rPr>
  </w:style>
  <w:style w:type="character" w:customStyle="1" w:styleId="40">
    <w:name w:val="标题 4 字符"/>
    <w:basedOn w:val="a1"/>
    <w:link w:val="4"/>
    <w:uiPriority w:val="1"/>
    <w:rsid w:val="000E155A"/>
    <w:rPr>
      <w:b/>
      <w:bCs/>
      <w:kern w:val="2"/>
      <w:szCs w:val="28"/>
    </w:rPr>
  </w:style>
  <w:style w:type="character" w:customStyle="1" w:styleId="50">
    <w:name w:val="标题 5 字符"/>
    <w:basedOn w:val="a1"/>
    <w:link w:val="5"/>
    <w:uiPriority w:val="1"/>
    <w:rsid w:val="000E155A"/>
    <w:rPr>
      <w:bCs/>
      <w:kern w:val="2"/>
      <w:szCs w:val="28"/>
    </w:rPr>
  </w:style>
  <w:style w:type="character" w:customStyle="1" w:styleId="60">
    <w:name w:val="标题 6 字符"/>
    <w:basedOn w:val="a1"/>
    <w:link w:val="6"/>
    <w:uiPriority w:val="1"/>
    <w:rsid w:val="000E155A"/>
    <w:rPr>
      <w:bCs/>
      <w:kern w:val="2"/>
      <w:szCs w:val="24"/>
    </w:rPr>
  </w:style>
  <w:style w:type="character" w:customStyle="1" w:styleId="70">
    <w:name w:val="标题 7 字符"/>
    <w:basedOn w:val="a1"/>
    <w:link w:val="7"/>
    <w:uiPriority w:val="2"/>
    <w:rsid w:val="000E155A"/>
    <w:rPr>
      <w:bCs/>
      <w:kern w:val="2"/>
      <w:szCs w:val="24"/>
    </w:rPr>
  </w:style>
  <w:style w:type="paragraph" w:customStyle="1" w:styleId="a6">
    <w:name w:val="表格后说明"/>
    <w:next w:val="a0"/>
    <w:autoRedefine/>
    <w:uiPriority w:val="3"/>
    <w:qFormat/>
    <w:rsid w:val="00F27C6B"/>
    <w:pPr>
      <w:jc w:val="both"/>
    </w:pPr>
    <w:rPr>
      <w:kern w:val="2"/>
      <w:sz w:val="21"/>
      <w:szCs w:val="28"/>
    </w:rPr>
  </w:style>
  <w:style w:type="paragraph" w:customStyle="1" w:styleId="a7">
    <w:name w:val="表格前单位"/>
    <w:next w:val="a0"/>
    <w:autoRedefine/>
    <w:uiPriority w:val="2"/>
    <w:qFormat/>
    <w:rsid w:val="000E155A"/>
    <w:pPr>
      <w:keepNext/>
      <w:jc w:val="right"/>
    </w:pPr>
    <w:rPr>
      <w:kern w:val="2"/>
      <w:szCs w:val="24"/>
    </w:rPr>
  </w:style>
  <w:style w:type="paragraph" w:styleId="a8">
    <w:name w:val="footer"/>
    <w:basedOn w:val="a"/>
    <w:link w:val="a9"/>
    <w:uiPriority w:val="99"/>
    <w:unhideWhenUsed/>
    <w:rsid w:val="000E155A"/>
    <w:pPr>
      <w:widowControl/>
      <w:tabs>
        <w:tab w:val="center" w:pos="4680"/>
        <w:tab w:val="right" w:pos="9360"/>
      </w:tabs>
      <w:jc w:val="left"/>
    </w:pPr>
    <w:rPr>
      <w:rFonts w:asciiTheme="minorHAnsi" w:eastAsiaTheme="minorEastAsia" w:hAnsiTheme="minorHAnsi"/>
      <w:kern w:val="0"/>
      <w:sz w:val="22"/>
      <w:szCs w:val="22"/>
    </w:rPr>
  </w:style>
  <w:style w:type="character" w:customStyle="1" w:styleId="a9">
    <w:name w:val="页脚 字符"/>
    <w:basedOn w:val="a1"/>
    <w:link w:val="a8"/>
    <w:uiPriority w:val="99"/>
    <w:rsid w:val="000E155A"/>
    <w:rPr>
      <w:rFonts w:asciiTheme="minorHAnsi" w:eastAsiaTheme="minorEastAsia" w:hAnsiTheme="minorHAnsi"/>
      <w:sz w:val="22"/>
      <w:szCs w:val="22"/>
    </w:rPr>
  </w:style>
  <w:style w:type="paragraph" w:styleId="aa">
    <w:name w:val="header"/>
    <w:basedOn w:val="a"/>
    <w:link w:val="ab"/>
    <w:rsid w:val="000E155A"/>
    <w:pPr>
      <w:tabs>
        <w:tab w:val="center" w:pos="4153"/>
        <w:tab w:val="right" w:pos="8306"/>
      </w:tabs>
      <w:snapToGrid w:val="0"/>
      <w:jc w:val="center"/>
    </w:pPr>
    <w:rPr>
      <w:sz w:val="18"/>
      <w:szCs w:val="18"/>
    </w:rPr>
  </w:style>
  <w:style w:type="character" w:customStyle="1" w:styleId="ab">
    <w:name w:val="页眉 字符"/>
    <w:basedOn w:val="a1"/>
    <w:link w:val="aa"/>
    <w:rsid w:val="000E155A"/>
    <w:rPr>
      <w:kern w:val="2"/>
      <w:sz w:val="18"/>
      <w:szCs w:val="18"/>
    </w:rPr>
  </w:style>
  <w:style w:type="paragraph" w:styleId="ac">
    <w:name w:val="Body Text Indent"/>
    <w:basedOn w:val="a"/>
    <w:link w:val="ad"/>
    <w:rsid w:val="000F283C"/>
    <w:pPr>
      <w:spacing w:after="120"/>
      <w:ind w:leftChars="200" w:left="420"/>
    </w:pPr>
  </w:style>
  <w:style w:type="character" w:customStyle="1" w:styleId="ad">
    <w:name w:val="正文文本缩进 字符"/>
    <w:basedOn w:val="a1"/>
    <w:link w:val="ac"/>
    <w:rsid w:val="000F283C"/>
    <w:rPr>
      <w:kern w:val="2"/>
    </w:rPr>
  </w:style>
  <w:style w:type="paragraph" w:styleId="12">
    <w:name w:val="index 1"/>
    <w:basedOn w:val="a"/>
    <w:next w:val="a"/>
    <w:autoRedefine/>
    <w:rsid w:val="000F283C"/>
  </w:style>
  <w:style w:type="paragraph" w:styleId="ae">
    <w:name w:val="index heading"/>
    <w:basedOn w:val="a"/>
    <w:next w:val="12"/>
    <w:rsid w:val="000F283C"/>
    <w:rPr>
      <w:rFonts w:asciiTheme="majorHAnsi" w:eastAsiaTheme="majorEastAsia" w:hAnsiTheme="majorHAnsi" w:cstheme="majorBidi"/>
      <w:b/>
      <w:bCs/>
    </w:rPr>
  </w:style>
  <w:style w:type="character" w:styleId="af">
    <w:name w:val="Strong"/>
    <w:basedOn w:val="a1"/>
    <w:qFormat/>
    <w:rsid w:val="00670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B6E4C-15A4-441E-96C7-705407B4C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21</Pages>
  <Words>2508</Words>
  <Characters>14298</Characters>
  <Application>Microsoft Office Word</Application>
  <DocSecurity>0</DocSecurity>
  <Lines>119</Lines>
  <Paragraphs>33</Paragraphs>
  <ScaleCrop>false</ScaleCrop>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dc:creator>
  <cp:lastModifiedBy>jack chan</cp:lastModifiedBy>
  <cp:revision>19</cp:revision>
  <dcterms:created xsi:type="dcterms:W3CDTF">2026-08-07T18:08:00Z</dcterms:created>
  <dcterms:modified xsi:type="dcterms:W3CDTF">2026-08-07T03:23:00Z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764EF9BCEDFD4B753EE5746A73860050_43</vt:lpwstr>
  </property>
</Properties>
</file>