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39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券商谱系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5"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_Toc900045 \h </w:instrText>
            </w:r>
            <w:r>
              <w:rPr>
                <w:webHidden/>
                <w:noProof/>
                <w:sz w:val="24"/>
                <w:szCs w:val="24"/>
              </w:rPr>
              <w:fldChar w:fldCharType="separate"/>
            </w:r>
            <w:r>
              <w:rPr>
                <w:webHidden/>
                <w:noProof/>
                <w:sz w:val="24"/>
                <w:szCs w:val="24"/>
              </w:rPr>
              <w:t>43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9"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_Toc900049 \h </w:instrText>
            </w:r>
            <w:r>
              <w:rPr>
                <w:rFonts w:eastAsia="宋体"/>
                <w:webHidden/>
                <w:noProof/>
                <w:sz w:val="24"/>
                <w:szCs w:val="24"/>
              </w:rPr>
              <w:fldChar w:fldCharType="separate"/>
            </w:r>
            <w:r>
              <w:rPr>
                <w:rFonts w:eastAsia="宋体"/>
                <w:webHidden/>
                <w:noProof/>
                <w:sz w:val="24"/>
                <w:szCs w:val="24"/>
              </w:rPr>
              <w:t>46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0"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_Toc900050 \h </w:instrText>
            </w:r>
            <w:r>
              <w:rPr>
                <w:webHidden/>
                <w:noProof/>
                <w:sz w:val="24"/>
                <w:szCs w:val="24"/>
              </w:rPr>
              <w:fldChar w:fldCharType="separate"/>
            </w:r>
            <w:r>
              <w:rPr>
                <w:webHidden/>
                <w:noProof/>
                <w:sz w:val="24"/>
                <w:szCs w:val="24"/>
              </w:rPr>
              <w:t>47</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港交所，2023年12月29日</w:t>
            </w:r>
          </w:p>
        </w:tc>
        <w:tc>
          <w:tcPr>
            <w:tcW w:w="887" w:type="pct"/>
            <w:tcBorders>
              <w:top w:val="single" w:sz="4" w:space="0" w:color="010000"/>
            </w:tcBorders>
            <w:vAlign w:val="center"/>
          </w:tcPr>
          <w:p>
            <w:pPr>
              <w:jc w:val="left"/>
            </w:pPr>
            <w:r/>
            <w:r>
              <w:rPr>
                <w:rFonts w:hint="eastAsia"/>
                <w:color w:val="000000"/>
                <w:sz w:val="21"/>
              </w:rPr>
              <w:t>国泰君安国际（独家保荐）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港交所，2024年12月23日</w:t>
            </w:r>
          </w:p>
        </w:tc>
        <w:tc>
          <w:tcPr>
            <w:tcW w:w="887" w:type="pct"/>
            <w:tcBorders>
              <w:top w:val="single" w:sz="4" w:space="0" w:color="010000"/>
            </w:tcBorders>
            <w:vAlign w:val="center"/>
          </w:tcPr>
          <w:p>
            <w:pPr>
              <w:jc w:val="left"/>
            </w:pPr>
            <w:r/>
            <w:r>
              <w:rPr>
                <w:rFonts w:hint="eastAsia"/>
                <w:color w:val="000000"/>
                <w:sz w:val="21"/>
              </w:rPr>
              <w:t>国泰君安国际、农银国际（联席保荐）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招银国际融资（独家保荐）</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上市首日涨3.16%，市值超91亿港元；引入橡树资本、明山资本、嘉实、鼎晖、易方达等10家基石投资者。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表覆盖2020年以来发生首发上市、境外上市或发行定价等资本化事件、且与人形机器人产业链直接相关的企业；产业链中更早上市、本轮无新增资本化事件的公司另见表10。存在多地上市的，已在代码与上市地栏中一并列示；港股项目的保荐人以港交所招股章程封面载明的Sponsor为准，独家保荐与联席保荐已分别注明。</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在审）、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保荐或辅导机构无公开披露渠道。</w:t>
      </w:r>
    </w:p>
    <w:p>
      <w:pPr>
        <w:pStyle w:val="a0"/>
      </w:pPr>
      <w:r>
        <w:rPr>
          <w:rFonts w:hint="eastAsia"/>
        </w:rPr>
        <w:t>对第三类企业，可通过股东穿透识别其券商系投资方作为参考——券商私募子公司或其管理的基金进入股东名册，通常意味着该券商与企业已有业务接触，未来承接保荐业务的可能性相对更高。但需要明确：券商系股东身份不等于保荐关系，二者不能相互推定，下表中已分列两栏。</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92"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758" w:type="pct"/>
            <w:tcBorders>
              <w:top w:val="single" w:sz="12" w:space="0" w:color="010000"/>
              <w:bottom w:val="single" w:sz="4" w:space="0" w:color="010000"/>
            </w:tcBorders>
            <w:vAlign w:val="center"/>
          </w:tcPr>
          <w:p>
            <w:pPr>
              <w:keepNext/>
              <w:jc w:val="center"/>
            </w:pPr>
            <w:r/>
            <w:r>
              <w:rPr>
                <w:rFonts w:hint="eastAsia"/>
                <w:b/>
                <w:color w:val="000000"/>
                <w:sz w:val="21"/>
              </w:rPr>
              <w:t>保荐/辅导机构</w:t>
            </w:r>
          </w:p>
        </w:tc>
        <w:tc>
          <w:tcPr>
            <w:tcW w:w="1326" w:type="pct"/>
            <w:tcBorders>
              <w:top w:val="single" w:sz="12" w:space="0" w:color="010000"/>
              <w:bottom w:val="single" w:sz="4" w:space="0" w:color="010000"/>
            </w:tcBorders>
            <w:vAlign w:val="center"/>
          </w:tcPr>
          <w:p>
            <w:pPr>
              <w:keepNext/>
              <w:jc w:val="center"/>
            </w:pPr>
            <w:r/>
            <w:r>
              <w:rPr>
                <w:rFonts w:hint="eastAsia"/>
                <w:b/>
                <w:color w:val="000000"/>
                <w:sz w:val="21"/>
              </w:rPr>
              <w:t>券商系股东或投资方（供参考，非保荐关系）</w:t>
            </w:r>
          </w:p>
        </w:tc>
        <w:tc>
          <w:tcPr>
            <w:tcW w:w="1439"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492" w:type="pct"/>
            <w:tcBorders>
              <w:top w:val="single" w:sz="4" w:space="0" w:color="010000"/>
            </w:tcBorders>
            <w:vAlign w:val="center"/>
          </w:tcPr>
          <w:p>
            <w:pPr>
              <w:jc w:val="left"/>
            </w:pPr>
            <w:r/>
            <w:r>
              <w:rPr>
                <w:rFonts w:hint="eastAsia"/>
                <w:color w:val="000000"/>
                <w:sz w:val="21"/>
              </w:rPr>
              <w:t>纽氏达特</w:t>
            </w:r>
          </w:p>
        </w:tc>
        <w:tc>
          <w:tcPr>
            <w:tcW w:w="985" w:type="pct"/>
            <w:tcBorders>
              <w:top w:val="single" w:sz="4" w:space="0" w:color="010000"/>
            </w:tcBorders>
            <w:vAlign w:val="center"/>
          </w:tcPr>
          <w:p>
            <w:pPr>
              <w:jc w:val="left"/>
            </w:pPr>
            <w:r/>
            <w:r>
              <w:rPr>
                <w:rFonts w:hint="eastAsia"/>
                <w:color w:val="000000"/>
                <w:sz w:val="21"/>
              </w:rPr>
              <w:t>已完成辅导备案（2025年12月3日）</w:t>
            </w:r>
          </w:p>
        </w:tc>
        <w:tc>
          <w:tcPr>
            <w:tcW w:w="758" w:type="pct"/>
            <w:tcBorders>
              <w:top w:val="single" w:sz="4" w:space="0" w:color="010000"/>
            </w:tcBorders>
            <w:vAlign w:val="center"/>
          </w:tcPr>
          <w:p>
            <w:pPr>
              <w:jc w:val="left"/>
            </w:pPr>
            <w:r/>
            <w:r>
              <w:rPr>
                <w:rFonts w:hint="eastAsia"/>
                <w:color w:val="000000"/>
                <w:sz w:val="21"/>
              </w:rPr>
              <w:t>东方证券（辅导机构）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492" w:type="pct"/>
            <w:tcBorders>
              <w:top w:val="single" w:sz="4" w:space="0" w:color="010000"/>
            </w:tcBorders>
            <w:vAlign w:val="center"/>
          </w:tcPr>
          <w:p>
            <w:pPr>
              <w:jc w:val="left"/>
            </w:pPr>
            <w:r/>
            <w:r>
              <w:rPr>
                <w:rFonts w:hint="eastAsia"/>
                <w:color w:val="000000"/>
                <w:sz w:val="21"/>
              </w:rPr>
              <w:t>天链机器人</w:t>
            </w:r>
          </w:p>
        </w:tc>
        <w:tc>
          <w:tcPr>
            <w:tcW w:w="985" w:type="pct"/>
            <w:tcBorders>
              <w:top w:val="single" w:sz="4" w:space="0" w:color="010000"/>
            </w:tcBorders>
            <w:vAlign w:val="center"/>
          </w:tcPr>
          <w:p>
            <w:pPr>
              <w:jc w:val="left"/>
            </w:pPr>
            <w:r/>
            <w:r>
              <w:rPr>
                <w:rFonts w:hint="eastAsia"/>
                <w:color w:val="000000"/>
                <w:sz w:val="21"/>
              </w:rPr>
              <w:t>科创板辅导中（第四期）</w:t>
            </w:r>
          </w:p>
        </w:tc>
        <w:tc>
          <w:tcPr>
            <w:tcW w:w="758" w:type="pct"/>
            <w:tcBorders>
              <w:top w:val="single" w:sz="4" w:space="0" w:color="010000"/>
            </w:tcBorders>
            <w:vAlign w:val="center"/>
          </w:tcPr>
          <w:p>
            <w:pPr>
              <w:jc w:val="left"/>
            </w:pPr>
            <w:r/>
            <w:r>
              <w:rPr>
                <w:rFonts w:hint="eastAsia"/>
                <w:color w:val="000000"/>
                <w:sz w:val="21"/>
              </w:rPr>
              <w:t>华安证券（辅导机构）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492" w:type="pct"/>
            <w:tcBorders>
              <w:top w:val="single" w:sz="4" w:space="0" w:color="010000"/>
            </w:tcBorders>
            <w:vAlign w:val="center"/>
          </w:tcPr>
          <w:p>
            <w:pPr>
              <w:jc w:val="left"/>
            </w:pPr>
            <w:r/>
            <w:r>
              <w:rPr>
                <w:rFonts w:hint="eastAsia"/>
                <w:color w:val="000000"/>
                <w:sz w:val="21"/>
              </w:rPr>
              <w:t>众擎机器人</w:t>
            </w:r>
          </w:p>
        </w:tc>
        <w:tc>
          <w:tcPr>
            <w:tcW w:w="985"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758" w:type="pct"/>
            <w:tcBorders>
              <w:top w:val="single" w:sz="4" w:space="0" w:color="010000"/>
            </w:tcBorders>
            <w:vAlign w:val="center"/>
          </w:tcPr>
          <w:p>
            <w:pPr>
              <w:jc w:val="left"/>
            </w:pPr>
            <w:r/>
            <w:r>
              <w:rPr>
                <w:rFonts w:hint="eastAsia"/>
                <w:color w:val="000000"/>
                <w:sz w:val="21"/>
              </w:rPr>
              <w:t>中金公司、中信证券（保荐机构）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PM01等中小尺寸双足人形机器人，售价8.8万元。B轮融资2亿美元，由河南投资集团旗下汇融基金与立讯精密联合领投，估值突破100亿元；与多伦科技签署2,000台三年期框架协议。</w:t>
            </w:r>
          </w:p>
        </w:tc>
      </w:tr>
      <w:tr>
        <w:trPr>
          <w:cantSplit/>
          <w:jc w:val="center"/>
        </w:trPr>
        <w:tc>
          <w:tcPr>
            <w:tcW w:w="492" w:type="pct"/>
            <w:tcBorders>
              <w:top w:val="single" w:sz="4" w:space="0" w:color="010000"/>
            </w:tcBorders>
            <w:vAlign w:val="center"/>
          </w:tcPr>
          <w:p>
            <w:pPr>
              <w:jc w:val="left"/>
            </w:pPr>
            <w:r/>
            <w:r>
              <w:rPr>
                <w:rFonts w:hint="eastAsia"/>
                <w:color w:val="000000"/>
                <w:sz w:val="21"/>
              </w:rPr>
              <w:t>傅利叶智能</w:t>
            </w:r>
          </w:p>
        </w:tc>
        <w:tc>
          <w:tcPr>
            <w:tcW w:w="985" w:type="pct"/>
            <w:tcBorders>
              <w:top w:val="single" w:sz="4" w:space="0" w:color="010000"/>
            </w:tcBorders>
            <w:vAlign w:val="center"/>
          </w:tcPr>
          <w:p>
            <w:pPr>
              <w:jc w:val="left"/>
            </w:pPr>
            <w:r/>
            <w:r>
              <w:rPr>
                <w:rFonts w:hint="eastAsia"/>
                <w:color w:val="000000"/>
                <w:sz w:val="21"/>
              </w:rPr>
              <w:t>2025年7月完成股改，已启动科创板上市辅导准备与申报</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w:t>
            </w:r>
          </w:p>
        </w:tc>
        <w:tc>
          <w:tcPr>
            <w:tcW w:w="1439"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492" w:type="pct"/>
            <w:tcBorders>
              <w:top w:val="single" w:sz="4" w:space="0" w:color="010000"/>
            </w:tcBorders>
            <w:vAlign w:val="center"/>
          </w:tcPr>
          <w:p>
            <w:pPr>
              <w:jc w:val="left"/>
            </w:pPr>
            <w:r/>
            <w:r>
              <w:rPr>
                <w:rFonts w:hint="eastAsia"/>
                <w:color w:val="000000"/>
                <w:sz w:val="21"/>
              </w:rPr>
              <w:t>银河通用</w:t>
            </w:r>
          </w:p>
        </w:tc>
        <w:tc>
          <w:tcPr>
            <w:tcW w:w="985" w:type="pct"/>
            <w:tcBorders>
              <w:top w:val="single" w:sz="4" w:space="0" w:color="010000"/>
            </w:tcBorders>
            <w:vAlign w:val="center"/>
          </w:tcPr>
          <w:p>
            <w:pPr>
              <w:jc w:val="left"/>
            </w:pPr>
            <w:r/>
            <w:r>
              <w:rPr>
                <w:rFonts w:hint="eastAsia"/>
                <w:color w:val="000000"/>
                <w:sz w:val="21"/>
              </w:rPr>
              <w:t>已完成股改，2026年3月完成新一轮融资并被业内视为Pre-IPO轮，计划2026年下半年递交港股申请</w:t>
            </w:r>
          </w:p>
        </w:tc>
        <w:tc>
          <w:tcPr>
            <w:tcW w:w="758"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1326" w:type="pct"/>
            <w:tcBorders>
              <w:top w:val="single" w:sz="4" w:space="0" w:color="010000"/>
            </w:tcBorders>
            <w:vAlign w:val="center"/>
          </w:tcPr>
          <w:p>
            <w:pPr>
              <w:jc w:val="left"/>
            </w:pPr>
            <w:r/>
            <w:r>
              <w:rPr>
                <w:rFonts w:hint="eastAsia"/>
                <w:color w:val="000000"/>
                <w:sz w:val="21"/>
              </w:rPr>
              <w:t>恒旭资本第四期旗舰基金（海通开元为该基金LP）间接持有</w:t>
            </w:r>
          </w:p>
        </w:tc>
        <w:tc>
          <w:tcPr>
            <w:tcW w:w="1439" w:type="pct"/>
            <w:tcBorders>
              <w:top w:val="single" w:sz="4" w:space="0" w:color="010000"/>
            </w:tcBorders>
            <w:vAlign w:val="center"/>
          </w:tcPr>
          <w:p>
            <w:pPr>
              <w:jc w:val="left"/>
            </w:pPr>
            <w:r/>
            <w:r>
              <w:rPr>
                <w:rFonts w:hint="eastAsia"/>
                <w:color w:val="000000"/>
                <w:sz w:val="21"/>
              </w:rPr>
              <w:t>轮式双臂人形机器人及具身智能大模型。2026年3月融资25亿元（国家大基金参与），累计融资额居国内具身智能领域首位，投后估值超200亿元。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星海图</w:t>
            </w:r>
          </w:p>
        </w:tc>
        <w:tc>
          <w:tcPr>
            <w:tcW w:w="985"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B+轮投资方含中金资本旗下基金；另有华登科技、蓝思科技、金融街资本、金浦投资、北京科创等</w:t>
            </w:r>
          </w:p>
        </w:tc>
        <w:tc>
          <w:tcPr>
            <w:tcW w:w="1439" w:type="pct"/>
            <w:tcBorders>
              <w:top w:val="single" w:sz="4" w:space="0" w:color="010000"/>
            </w:tcBorders>
            <w:vAlign w:val="center"/>
          </w:tcPr>
          <w:p>
            <w:pPr>
              <w:jc w:val="left"/>
            </w:pPr>
            <w:r/>
            <w:r>
              <w:rPr>
                <w:rFonts w:hint="eastAsia"/>
                <w:color w:val="000000"/>
                <w:sz w:val="21"/>
              </w:rPr>
              <w:t>具身智能整机及模型，成立于2023年9月；A轮由蚂蚁集团独家领投，高瓴创投、IDG资本、百度风投等参与；估值突破200亿元。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星动纪元</w:t>
            </w:r>
          </w:p>
        </w:tc>
        <w:tc>
          <w:tcPr>
            <w:tcW w:w="985" w:type="pct"/>
            <w:tcBorders>
              <w:top w:val="single" w:sz="4" w:space="0" w:color="010000"/>
            </w:tcBorders>
            <w:vAlign w:val="center"/>
          </w:tcPr>
          <w:p>
            <w:pPr>
              <w:jc w:val="left"/>
            </w:pPr>
            <w:r/>
            <w:r>
              <w:rPr>
                <w:rFonts w:hint="eastAsia"/>
                <w:color w:val="000000"/>
                <w:sz w:val="21"/>
              </w:rPr>
              <w:t>Pre-IPO轮融资25亿元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未见券商系股东的公开披露；主要投资方为联想创投、清流资本、源码资本、阿里巴巴、金鼎资本等</w:t>
            </w:r>
          </w:p>
        </w:tc>
        <w:tc>
          <w:tcPr>
            <w:tcW w:w="1439"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松延动力</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投资方含中金战新创业投资（鹤山）合伙企业、北京机器人产业发展投资基金</w:t>
            </w:r>
          </w:p>
        </w:tc>
        <w:tc>
          <w:tcPr>
            <w:tcW w:w="1439"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智平方</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投资方含中金资本、中信建投、国泰海通，以及招商局资本、洪泰资本、金沙江联合资本、博华资本、航信资本等</w:t>
            </w:r>
          </w:p>
        </w:tc>
        <w:tc>
          <w:tcPr>
            <w:tcW w:w="1439" w:type="pct"/>
            <w:tcBorders>
              <w:top w:val="single" w:sz="4" w:space="0" w:color="010000"/>
            </w:tcBorders>
            <w:vAlign w:val="center"/>
          </w:tcPr>
          <w:p>
            <w:pPr>
              <w:jc w:val="left"/>
            </w:pPr>
            <w:r/>
            <w:r>
              <w:rPr>
                <w:rFonts w:hint="eastAsia"/>
                <w:color w:val="000000"/>
                <w:sz w:val="21"/>
              </w:rPr>
              <w:t>AGI原生通用智能机器人。2026年2月完成超10亿元B轮，估值超100亿元；6月完成新一轮融资，估值超200亿元，为大湾区最大具身智能独角兽。</w:t>
            </w:r>
          </w:p>
        </w:tc>
      </w:tr>
      <w:tr>
        <w:trPr>
          <w:cantSplit/>
          <w:jc w:val="center"/>
        </w:trPr>
        <w:tc>
          <w:tcPr>
            <w:tcW w:w="492" w:type="pct"/>
            <w:tcBorders>
              <w:top w:val="single" w:sz="4" w:space="0" w:color="010000"/>
            </w:tcBorders>
            <w:vAlign w:val="center"/>
          </w:tcPr>
          <w:p>
            <w:pPr>
              <w:jc w:val="left"/>
            </w:pPr>
            <w:r/>
            <w:r>
              <w:rPr>
                <w:rFonts w:hint="eastAsia"/>
                <w:color w:val="000000"/>
                <w:sz w:val="21"/>
              </w:rPr>
              <w:t>首形科技</w:t>
            </w:r>
          </w:p>
        </w:tc>
        <w:tc>
          <w:tcPr>
            <w:tcW w:w="985"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A2轮跟投方含中信证券国际资本、国泰君安创新投；由中信金石与吉利资本联合领投</w:t>
            </w:r>
          </w:p>
        </w:tc>
        <w:tc>
          <w:tcPr>
            <w:tcW w:w="1439" w:type="pct"/>
            <w:tcBorders>
              <w:top w:val="single" w:sz="4" w:space="0" w:color="010000"/>
            </w:tcBorders>
            <w:vAlign w:val="center"/>
          </w:tcPr>
          <w:p>
            <w:pPr>
              <w:jc w:val="left"/>
            </w:pPr>
            <w:r/>
            <w:r>
              <w:rPr>
                <w:rFonts w:hint="eastAsia"/>
                <w:color w:val="000000"/>
                <w:sz w:val="21"/>
              </w:rPr>
              <w:t>超仿生类人机器人与仿生情感交互（以高仿真"脸"为核心）。</w:t>
            </w:r>
          </w:p>
        </w:tc>
      </w:tr>
      <w:tr>
        <w:trPr>
          <w:cantSplit/>
          <w:jc w:val="center"/>
        </w:trPr>
        <w:tc>
          <w:tcPr>
            <w:tcW w:w="492" w:type="pct"/>
            <w:tcBorders>
              <w:top w:val="single" w:sz="4" w:space="0" w:color="010000"/>
            </w:tcBorders>
            <w:vAlign w:val="center"/>
          </w:tcPr>
          <w:p>
            <w:pPr>
              <w:jc w:val="left"/>
            </w:pPr>
            <w:r/>
            <w:r>
              <w:rPr>
                <w:rFonts w:hint="eastAsia"/>
                <w:color w:val="000000"/>
                <w:sz w:val="21"/>
              </w:rPr>
              <w:t>魔法原子</w:t>
            </w:r>
          </w:p>
        </w:tc>
        <w:tc>
          <w:tcPr>
            <w:tcW w:w="985" w:type="pct"/>
            <w:tcBorders>
              <w:top w:val="single" w:sz="4" w:space="0" w:color="010000"/>
            </w:tcBorders>
            <w:vAlign w:val="center"/>
          </w:tcPr>
          <w:p>
            <w:pPr>
              <w:jc w:val="left"/>
            </w:pPr>
            <w:r/>
            <w:r>
              <w:rPr>
                <w:rFonts w:hint="eastAsia"/>
                <w:color w:val="000000"/>
                <w:sz w:val="21"/>
              </w:rPr>
              <w:t>推进上市进程</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未见券商系股东的公开披露；由魔法工场（无锡）科技有限公司全资持股</w:t>
            </w:r>
          </w:p>
        </w:tc>
        <w:tc>
          <w:tcPr>
            <w:tcW w:w="1439"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港交所披露文件；公开融资报道及企业工商信息。"券商系股东或投资方"一栏系通过股东穿透与融资报道整理，仅反映券商与企业已有股权层面的接触，不代表已建立保荐或辅导关系，两者不可相互推定；标注"尚未公开披露"的企业均为仅完成股份制改造、尚未在证监局办理辅导备案且未向交易所递表，法定程序尚未启动。</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需要说明本章的收录范围：表9收录2020年以来发生首发上市、境外上市或发行定价等资本化事件的产业链企业；表10按环节补充列示产业链中已上市但本轮无新增资本化事件的公司；表11至表14分别覆盖在审递表、辅导股改、借道上市公司平台及IPO终止的企业。存在A+H等多地上市的，已在代码与上市地栏中一并列示。</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券商谱系</w:t>
      </w:r>
      <w:bookmarkEnd w:id="1039"/>
    </w:p>
    <w:p>
      <w:pPr>
        <w:keepNext/>
        <w:jc w:val="center"/>
      </w:pPr>
      <w:r>
        <w:rPr>
          <w:rFonts w:hint="eastAsia"/>
          <w:b/>
          <w:sz w:val="21"/>
        </w:rPr>
        <w:t>表13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jc w:val="center"/>
      </w:pPr>
      <w:r>
        <w:rPr>
          <w:rFonts w:hint="eastAsia"/>
          <w:sz w:val="11"/>
          <w:szCs w:val="11"/>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keepNext/>
        <w:jc w:val="center"/>
      </w:pPr>
      <w:r>
        <w:drawing>
          <wp:inline xmlns:a="http://schemas.openxmlformats.org/drawingml/2006/main" xmlns:pic="http://schemas.openxmlformats.org/drawingml/2006/picture">
            <wp:extent cx="5074920" cy="2105551"/>
            <wp:docPr id="9" name="Picture 9"/>
            <wp:cNvGraphicFramePr>
              <a:graphicFrameLocks noChangeAspect="1"/>
            </wp:cNvGraphicFramePr>
            <a:graphic>
              <a:graphicData uri="http://schemas.openxmlformats.org/drawingml/2006/picture">
                <pic:pic>
                  <pic:nvPicPr>
                    <pic:cNvPr id="0" name="fig8.png"/>
                    <pic:cNvPicPr/>
                  </pic:nvPicPr>
                  <pic:blipFill>
                    <a:blip r:embed="rId24"/>
                    <a:stretch>
                      <a:fillRect/>
                    </a:stretch>
                  </pic:blipFill>
                  <pic:spPr>
                    <a:xfrm>
                      <a:off x="0" y="0"/>
                      <a:ext cx="5074920" cy="2105551"/>
                    </a:xfrm>
                    <a:prstGeom prst="rect"/>
                  </pic:spPr>
                </pic:pic>
              </a:graphicData>
            </a:graphic>
          </wp:inline>
        </w:drawing>
      </w:r>
    </w:p>
    <w:p>
      <w:pPr>
        <w:jc w:val="center"/>
      </w:pPr>
      <w:r>
        <w:rPr>
          <w:rFonts w:hint="eastAsia"/>
          <w:b/>
          <w:sz w:val="21"/>
        </w:rPr>
        <w:t>图9  国泰海通系与人形机器人产业链公司的关联分布</w:t>
      </w:r>
    </w:p>
    <w:p>
      <w:pPr>
        <w:pStyle w:val="a6"/>
        <w:jc w:val="center"/>
      </w:pPr>
      <w:r>
        <w:rPr>
          <w:rFonts w:hint="eastAsia"/>
          <w:sz w:val="11"/>
          <w:szCs w:val="11"/>
        </w:rPr>
        <w:t>数据来源：本报告基于表13至表16统计。"已保荐上市"含国泰君安、海通证券及国泰君安国际、海通国际作为保荐人或联席保荐人的项目；"产业基金覆盖"为只数而非家数。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40" w:name="_Toc900040"/>
      <w:r>
        <w:rPr>
          <w:rFonts w:hint="eastAsia"/>
        </w:rPr>
        <w:t>7.2 已保荐上市的产业链公司</w:t>
      </w:r>
      <w:bookmarkEnd w:id="1040"/>
    </w:p>
    <w:p>
      <w:pPr>
        <w:keepNext/>
        <w:jc w:val="center"/>
      </w:pPr>
      <w:r>
        <w:rPr>
          <w:rFonts w:hint="eastAsia"/>
          <w:b/>
          <w:sz w:val="21"/>
        </w:rPr>
        <w:t>表14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港交所，2023年12月29日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港交所，2024年12月23日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国泰君安国际（与农银国际）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1" w:name="_Toc900041"/>
      <w:r>
        <w:rPr>
          <w:rFonts w:hint="eastAsia"/>
        </w:rPr>
        <w:t>7.3 正在保荐、在审或辅导中的公司</w:t>
      </w:r>
      <w:bookmarkEnd w:id="1041"/>
    </w:p>
    <w:p>
      <w:pPr>
        <w:keepNext/>
        <w:jc w:val="center"/>
      </w:pPr>
      <w:r>
        <w:rPr>
          <w:rFonts w:hint="eastAsia"/>
          <w:b/>
          <w:sz w:val="21"/>
        </w:rPr>
        <w:t>表15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已通过聆讯并完成上市备案，集资规模约16.4亿港元</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斯坦德机器人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2026年6月23日递表</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国泰海通（与中信证券）</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2" w:name="_Toc900042"/>
      <w:r>
        <w:rPr>
          <w:rFonts w:hint="eastAsia"/>
        </w:rPr>
        <w:t>7.4 曾保荐但已终止的公司</w:t>
      </w:r>
      <w:bookmarkEnd w:id="1042"/>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3" w:name="_Toc900043"/>
      <w:r>
        <w:rPr>
          <w:rFonts w:hint="eastAsia"/>
        </w:rPr>
        <w:t>7.5 股权投资与产业基金</w:t>
      </w:r>
      <w:bookmarkEnd w:id="1043"/>
    </w:p>
    <w:p>
      <w:pPr>
        <w:keepNext/>
        <w:jc w:val="center"/>
      </w:pPr>
      <w:r>
        <w:rPr>
          <w:rFonts w:hint="eastAsia"/>
          <w:b/>
          <w:sz w:val="21"/>
        </w:rPr>
        <w:t>表16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表17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4" w:name="_Toc900044"/>
      <w:r>
        <w:rPr>
          <w:rFonts w:hint="eastAsia"/>
        </w:rPr>
        <w:t>7.6 关联全景与小结</w:t>
      </w:r>
      <w:bookmarkEnd w:id="1044"/>
    </w:p>
    <w:p>
      <w:pPr>
        <w:pStyle w:val="a0"/>
      </w:pPr>
      <w:r>
        <w:rPr>
          <w:rFonts w:hint="eastAsia"/>
        </w:rPr>
        <w:t>国泰海通系在本产业链已保荐上市8家、正在保荐或辅导7家（含新增的斯坦德机器人）、曾保荐但终止1家、股权投资参股7家，并通过7只产业基金形成覆盖。保荐项目覆盖上游核心零部件（绿的谐波、步科股份、新睿电子、三瑞智能、晋拓股份）与中游本体及感知（优必选、越疆科技、乐动机器人、珞石机器人、卡诺普、卧安机器人、斯坦德机器人），其中优必选与卡诺普为独家保荐，投资侧集中于整机与具身智能（智元、智平方、宇树、银河通用、首形科技、飒智智能）。</w:t>
      </w:r>
    </w:p>
    <w:p>
      <w:pPr>
        <w:pStyle w:val="a0"/>
      </w:pPr>
      <w:r>
        <w:rPr>
          <w:rFonts w:hint="eastAsia"/>
        </w:rPr>
        <w:t>但谐波减速器环节仅有绿的谐波一家且为2020年的IPO项目，编码器与一体化关节模组环节则未见保荐、辅导或投资案例。无锡巨蟹所处的环节，恰是国泰海通现有项目储备中相对薄弱的部分；该环节已有绿的谐波、来福谐波作为估值参照，纽氏达特、新剑传动、智同科技等同类企业亦已进入辅导阶段。需要注意的是，已由国泰海通保荐上市的三瑞智能与新睿电子，其产品均包含电机、编码器等与无锡巨蟹重合的部件，推进类似项目时需提前厘清潜在竞争关系。</w:t>
      </w:r>
    </w:p>
    <w:p/>
    <w:p/>
    <w:p>
      <w:pPr>
        <w:pStyle w:val="2"/>
        <w:spacing w:before="156" w:after="156"/>
      </w:pPr>
      <w:bookmarkStart w:id="1045" w:name="_Toc900045"/>
      <w:r>
        <w:rPr>
          <w:rFonts w:hint="eastAsia"/>
          <w:b/>
        </w:rPr>
        <w:t>无锡巨蟹的产业链定位与拜访关注要点</w:t>
      </w:r>
      <w:bookmarkEnd w:id="1045"/>
    </w:p>
    <w:p>
      <w:pPr>
        <w:pStyle w:val="3"/>
        <w:numPr>
          <w:ilvl w:val="0"/>
          <w:numId w:val="0"/>
        </w:numPr>
        <w:spacing w:before="156" w:after="156"/>
      </w:pPr>
      <w:bookmarkStart w:id="1046" w:name="_Toc900046"/>
      <w:r>
        <w:rPr>
          <w:rFonts w:hint="eastAsia"/>
        </w:rPr>
        <w:t>8.1 公司概况与产品体系</w:t>
      </w:r>
      <w:bookmarkEnd w:id="1046"/>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7" w:name="_Toc900047"/>
      <w:r>
        <w:rPr>
          <w:rFonts w:hint="eastAsia"/>
        </w:rPr>
        <w:t>8.2 产业链定位与可比公司</w:t>
      </w:r>
      <w:bookmarkEnd w:id="1047"/>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8" w:name="_Toc900048"/>
      <w:r>
        <w:rPr>
          <w:rFonts w:hint="eastAsia"/>
        </w:rPr>
        <w:t>8.3 拜访关注要点</w:t>
      </w:r>
      <w:bookmarkEnd w:id="1048"/>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表18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9" w:name="_Toc900049"/>
      <w:r>
        <w:rPr>
          <w:rFonts w:hint="eastAsia"/>
        </w:rPr>
        <w:t>8.4 初步判断</w:t>
      </w:r>
      <w:bookmarkEnd w:id="1049"/>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50" w:name="_Toc900050"/>
      <w:r>
        <w:rPr>
          <w:rFonts w:hint="eastAsia"/>
          <w:b/>
        </w:rPr>
        <w:t>主要数据来源与口径说明</w:t>
      </w:r>
      <w:bookmarkEnd w:id="1050"/>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