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2024年5月10日成立，注册资本10,000.00万元，已全额实缴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兰善锋（2025年12月由孟庆民变更）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根据燕京啤酒2025年年度报告，其对中发邢台直接持股67.00%、通过发行人间接持股26.40%，合计持有权益份额93.40%；其母公司报表中对中发邢台的长期股权投资账面余额6,700.00万元，与实缴出资额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资产结构方面，中发邢台2025年12月31日在建工程账面余额6,021.77万元、占其资产总额的44.65%，固定资产账面价值794.63万元，无形资产及使用权资产账面价值均为零，即其账面既未反映土地使用权，亦未确认因承租土地及厂房产生的使用权资产；其生产经营所使用的土地及厂房权属登记在燕京啤酒（邢台）有限公司名下，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2025年度及2026年1-6月未确认应享有的净损益份额，按33.00%测算应补计投资收益合计928.99万元，属前期差错，具体金额需经会计师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872.38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46.09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7,422.18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10,212.48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30,950.09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24,641.23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15,297.47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11.75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2024年度、2025年度数据取自其审计报告，2026年1-6月数据取自其财务报表、未经审计。上表以利润总额为口径，系因《证券期货法律适用意见第3号》关于同一控制下业务重组的比例测算以资产总额、营业收入或利润总额为指标。</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中发邢台2024年5月设立，2025年为投产后首个完整年度，收入即达10,043.02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生产要素与控股股东体系交织。中发邢台自身不持有土地使用权，其在建工程及生产经营所使用的土地、厂房权属登记在燕京啤酒的全资子公司燕京啤酒（邢台）有限公司名下；同时中发邢台账面未确认使用权资产，双方之间的土地及厂房使用关系是否已签署书面协议、租金定价是否公允，尚待核查。上述情形使同业竞争与资产权属、独立性事项相互关联，需统筹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关联资金往来金额较大。中发邢台其他应收款账面余额由2025年12月31日的3,952.53万元增至2026年6月30日的16,640.95万元，占其资产总额的比例由29.31%升至61.12%，主要为内部资金往来。该等往来是否构成控股股东及其关联方对发行人体系资金的占用，需逐笔核查并在重组实施前清理完毕。</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收购燕京啤酒持有的中发邢台67.00%股权，使中发邢台成为发行人的全资子公司并纳入合并报表范围。就对价支付方式，提出以发行人股权支付与以现金支付两个方案。两个方案的交易标的一致，均为燕京啤酒持有的中发邢台67.00%股权；交易价格均应以经国资监管部门备案的评估结果为依据确定，截至本报告出具日尚未启动评估程序，故本节仅列示方案框架，具体作价、股权比例及税费金额待评估完成后另行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①方案一：以发行人股权支付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燕京啤酒以其持有的中发邢台67.00%股权作价出资，对发行人进行非货币资产增资。交易的法律形式为股权出资，实质为发行人以定向增发自身股权作为对价收购中发邢台控股权，不涉及现金流出。交易完成后中发邢台由发行人持股100.00%并纳入合并报表范围；发行人注册资本相应增加，燕京啤酒持股比例上升，燕京集团及食品发酵研究院因未参与本次出资而被动稀释，控股股东及实际控制人不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对价100.00%以发行人自身股权支付，具备适用财税〔2009〕59号文特殊性税务处理的基础。该文规定股权收购适用特殊性税务处理须同时满足合理商业目的、收购比例不低于50%、重组后连续12个月内不改变原实质性经营活动、股权支付金额不低于85%、原主要股东取得的股权12个月内不转让五项条件，本次交易初步判断均可满足。适用的，转让方暂不确认股权转让所得，当期企业所得税为零、纳税义务递延，并须按国家税务总局公告2015年第48号履行备案；未获适用的，按一般性税务处理，税负与方案二一致。交易标的为股权，不涉及土地、房屋权属转移，不征增值税、土地增值税及契税，另需缴纳股权转让书据印花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占用发行人经营资金，且可实现企业所得税递延；主要局限是燕京集团及食品发酵研究院的持股比例被动稀释，两者均需在发行人股东会上放弃优先认缴出资权，燕京集团作为国有股东还需另行履行内部决策及国资审批程序，方案能否落地取决于该两名股东的态度。此外，非货币资产出资的作价直接决定新增股权数量，评估结果对股权比例的影响较为显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②方案二：以现金支付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由发行人以现金作为对价，向燕京啤酒购买其持有的中发邢台67.00%股权。发行人的注册资本及股权结构不发生变化，交易完成后中发邢台同样成为发行人的全资子公司并纳入合并报表范围。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对价全部为现金，股权支付金额为零，不满足财税〔2009〕59号文关于股权支付金额不低于85%的条件，应当适用一般性税务处理。转让方按转让对价与其计税基础的差额确认股权转让所得，该部分股权的计税基础为其实缴出资额6,700.00万元；燕京啤酒为居民企业，适用《中华人民共和国企业所得税法》规定的法定税率25%。需说明的是，20%系自然人股东转让股权按财产转让所得缴纳个人所得税的税率，本次转让方为法人，不适用该税率；燕京啤酒亦不符合小型微利企业优惠条件。其余税种与方案一相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改变发行人现有股权结构，无需中小股东放弃优先认缴出资权，决策链条相对简单；主要局限是发行人需实际支付现金对价，其自身仍处于产能建设期，需关注该笔支出对营运资金及在建项目投入的影响，且转让方需即期缴纳企业所得税，整体税务成本高于方案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方案一：以发行人股权支付</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方案二：以现金支付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法律形式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燕京啤酒以股权作价出资，对发行人非货币资产增资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发行人以现金向燕京啤酒购买股权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发行人现金流出</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需按经备案的评估作价支付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发行人股权结构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注册资本增加，燕京啤酒持股上升，其余股东被动稀释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维持80.00%、17.50%、2.50%不变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符合特殊性税务处理条件的可递延；未获适用的与方案二一致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适用一般性税务处理，按转让所得的25%缴纳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其他税种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不征增值税、土地增值税及契税，涉及印花税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同左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中小股东</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需放弃优先认缴出资权并各自履行决策程序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不受影响</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国资程序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属企业增资，原则上进场公开进行，符合条件的可非公开协议</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属产权转让，原则上进场公开交易，符合条件的可非公开协议</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实施周期</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需增加股东会决议、章程修正及注册资本变更登记，周期较长</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环节相对简单，周期较短</w:t>
            </w:r>
          </w:p>
        </w:tc>
      </w:tr>
    </w:tbl>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两个方案在税务成本与资金占用上以方案一为优，在决策难度与股权稳定性上以方案二为优。最终选择建议在取得评估结果、并就中小股东是否同意放弃优先认缴出资权取得书面意见后确定。需提示的是，同业竞争能否在申报前完成规范，对本次发行上市的影响大于两个方案之间的税负差异；若中小股东的决策周期不可控，应及时转向方案二以保障实施时点。</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④本次重组对发行人本次发行上市的影响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的业务重组。根据《证券期货法律适用意见第3号》，被重组方重组前一个会计年度末的资产总额、重组前一个会计年度的营业收入或利润总额，达到或超过发行人相应项目20%但未超过50%的，申报财务报表至少应包含重组完成后的最近一期资产负债表；达到或超过50%但未超过100%的，保荐机构及发行人律师应就重组的合规性、重组后的规范运行以及业务的完整性与独立性进行专项核查并发表明确意见，并需提供被重组方相同报告期的审计报告；达到或超过100%的，发行人须在重组完成后运行一个完整会计年度方可申请发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以2025年度经审计数据测算如下：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500"/>
        <w:gridCol w:w="1700"/>
        <w:gridCol w:w="1700"/>
        <w:gridCol w:w="1700"/>
        <w:gridCol w:w="1900"/>
        <w:gridCol w:w="1925"/>
      </w:tblGrid>
      <w:tr>
        <w:trPr>
          <w:trHeight w:val="397" w:hRule="atLeast"/>
          <w:jc w:val="center"/>
        </w:trPr>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测算指标</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中发邢台</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邢台啤酒</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两者合计</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w:t>
            </w:r>
          </w:p>
        </w:tc>
        <w:tc>
          <w:tcPr>
            <w:tcW w:w="19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合计占比</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22,779.91</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36,266.20</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192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90.70</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30,015.20</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40,058.22</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192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92.22</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3,250.70</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6,203.10</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192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41.16</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注：邢台啤酒指燕京啤酒（邢台）有限公司，数据取自其2025年度审计报告（中兴华审字（2026）第00004756号，标准无保留意见），系本节4、土地收购项下的拟收购标的。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仅收购中发邢台股权的，资产总额、营业收入及利润总额占发行人相应指标的比例分别为33.73%、23.12%和19.59%，最高值33.73%，适用达到20%但未超过50%的档次，仅要求申报财务报表包含重组完成后的最近一期资产负债表，不影响申报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本节4、土地收购一并采用收购燕京啤酒（邢台）有限公司股权的方案，两项重组通常需合并计算，届时三项指标分别为90.70%、92.22%和41.16%，最高值为营业收入占比92.22%，落入达到50%但未超过100%的档次，且已接近100%的临界值。若重组推迟实施、测算基准相应变更为2026年度数据，存在超过100%的可能，将直接推迟申报时点。据此，土地事项的方案选择及实施时点对本次发行上市具有决定性影响，建议优先明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一并说明，本节4、土地收购项下的方案二系受让土地使用权及地上建筑物，属于购买单项资产而非收购业务主体，一般不构成前述业务重组，不触发上述比例测算。此外，中发邢台2026年6月30日资产总额占发行人同期的比例已升至54.85%，主要系内部资金往来所致，剔除后约为21.33%，建议在重组实施前先行清理，避免比例被动跨档。</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股票代码000729，深圳证券交易所主板上市）为本次交易的转让方。交易前后发行人及中发邢台均在其合并报表范围内，其合并报表范围不发生变更，该交易在其合并报表层面属于与少数股东之间的权益性交易，不确认处置损益。根据《北京燕京啤酒股份有限公司章程》（2025年11月经2025年第一次临时股东会批准）第4.11条关于关联关系的定义，本次交易的交易对方及交易标的均系燕京啤酒自身的控股子公司，不落入该定义，故不构成其关联交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议层级，按该章程第6.3条第17项规定的董事会审议标准（六项指标10%）及第4.12条第11项、第13项规定的股东会审议标准（50%系列标准及一年内买卖重大资产超过总资产30%）测算，本次交易涉及的资产总额、资产净额、营业收入、净利润及成交金额占燕京啤酒最近一期经审计相应指标的比例均在1%以下，未达上述量化标准。但该章程第6.14条规定，公司出售资产、对外投资等重大事项必须先经董事会决议、不应授权经营管理层，故建议仍提请其董事会审议，以确保决策程序完备。此外，燕京啤酒系国有控股上市公司，本次交易还须按《企业国有资产交易监督管理办法》履行相应的国资审批程序，该程序不因未达章程量化标准而免除。上述判断建议由发行人律师与燕京啤酒董事会办公室及其常年法律顾问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分拆上市条件，本次申报涉及燕京啤酒分拆子公司至北京证券交易所上市，经初步测算，其最近三个会计年度扣除非经常性损益后归属于上市公司股东的净利润累计306,327.22万元，其按权益享有的发行人净利润、净资产占其归属于上市公司股东净利润、净资产的比例分别为6.36%和1.27%，《上市公司分拆规则（试行）》的主要量化条件均可满足，另需核查其最近36个月内是否存在受到行政处罚等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⑥实施安排及待落实事项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路径上，两个方案均须履行专项审计、资产评估及国资备案程序，以经备案的评估结果作为定价依据；交易各方分别履行内部决策程序并逐级报国资监管部门批准或备案；燕京啤酒同步履行其内部审议程序；取得批准后签署交易协议并办理工商变更登记。就交易方式能否适用非公开协议方式，建议在方案启动前与北控集团、北京市国资委及北京产权交易所专项沟通。本次重组建议与本节4、土地收购统筹论证、统一决策，并在发行人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待落实事项包括：燕京集团及食品发酵研究院对稀释安排的书面意见；中发邢台内部资金往来的清理；发行人权益法核算前期差错的更正方案；发行人与中发邢台之间产品采购、品牌使用、人员借用的规范；控股股东、股东及实际控制人出具的避免同业竞争承诺函；以及对燕京啤酒、燕京集团、北控集团及其控制的其他企业是否存在其他从事纳豆及大健康食品业务主体的排查。</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根据燕京啤酒（邢台）有限公司2025年度审计报告，该公司原系天牛啤酒有限公司，2011年8月被收购后成为北京燕京啤酒股份有限公司的全资子公司，取得营业执照时注册资本900.00万元；2015年3月经股东会决议，注册资本由900.00万元增至7,300.00万元，新增的6,400.00万元由燕京啤酒认缴。截至2025年12月31日，燕京啤酒持有其100.00%股权，实收资本7,300.00万元已全额到位。该公司统一社会信用代码911305277886554585，所属行业为啤酒制造，经营范围为制造、销售啤酒、啤酒原料、酒糟、酵母及房屋租赁。即该公司系发行人控股股东的全资子公司，与发行人同受燕京啤酒控制，最终控制方同为北控集团。审计报告所载法定代表人与工商登记信息存在一字差异，需核对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此前据了解，该公司原有厂区已整体转为纳豆及纳豆制品的生产使用、不再从事啤酒生产。但根据其2025年度审计报告（中兴华审字（2026）第00004756号，标准无保留意见），该公司2025年度营业收入30,015.20万元，其中主营业务啤酒收入23,294.41万元、占营业收入的77.61%，2024年度啤酒收入21,993.96万元；2025年度利润总额3,250.70万元，2024年度3,298.93万元。即该公司的啤酒生产经营持续进行且规模未见收缩，与前述了解到的情况不一致。该公司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3475"/>
        <w:gridCol w:w="3475"/>
        <w:gridCol w:w="3475"/>
      </w:tblGrid>
      <w:tr>
        <w:trPr>
          <w:trHeight w:val="397" w:hRule="atLeast"/>
          <w:jc w:val="center"/>
        </w:trPr>
        <w:tc>
          <w:tcPr>
            <w:tcW w:w="347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347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347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资产总计</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22,779.91</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20,576.85</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负债合计</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12,538.63</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13,586.28</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净资产</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10,241.28</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6,990.57</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其中：实收资本</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7,300.00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7,300.00</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　　　资本公积</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8,593.28</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8,593.28</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　　　未分配利润</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-5,652.01</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-8,902.71</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30,015.20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23,782.60</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其中：啤酒</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23,294.41</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21,993.96</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　　　租赁收入</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366.97</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3,250.70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3,298.93</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3,250.70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3,298.93</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土地使用权账面价值</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3,292.39</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3,712.73</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其他应收款</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7,987.48</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3,115.32</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表反映的以下情形需进一步核实：一是厂区的实际使用状况，包括啤酒生产线与纳豆生产线在空间、产能及公用工程上的划分，以及两家主体在人员与设备上的归属；二是该公司2025年度新增租赁收入366.97万元（2024年度无），需核实承租方是否为中发邢台，若是，则与中发邢台账面未确认使用权资产的情形存在记账口径差异，需一并核对；三是其他应收款7,987.48万元，其中按款项性质划分的集团往来款账面余额7,949.25万元、几乎构成全部，且2025年度经营活动产生的现金流量净额为-1,196.33万元，需核查资金占用及回收安排；四是该公司2025年12月31日未分配利润为-5,652.01万元、当年利润表所得税费用为零，表明存在可弥补亏损，需取得其税务口径的亏损余额及结转年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土地使用权。该公司无形资产全部为土地使用权，2025年12月31日账面原值4,168.28万元、累计摊销875.88万元、账面价值3,292.39万元；同期固定资产中房屋及建筑物账面原值10,828.74万元。审计报告显示，该公司2025年度处置土地使用权账面原值475.66万元、转出累计摊销142.70万元，处置部分账面价值332.96万元。该处置事项与本节所列四宗宗地的对应关系、受让方及定价情况均需核实，以确认拟收购范围内的土地是否完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计报告。该审计报告的财务报表附注列示至“六、关联方”标题后即无内容，关联方及关联交易的披露缺失。鉴于该公司的集团往来款、租赁收入及销售材料收入等项目均可能涉及关联交易，需要求会计师补充提供该部分附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非国有出让土地，也非国有划拨土地，其权利来源与前三宗存在本质差异；同时该宗地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2025年12月31日，中发邢台在建工程账面余额6,021.77万元、占其资产总额的44.65%，固定资产账面价值794.63万元，无形资产账面价值为零；截至2026年6月30日，在建工程账面余额5,924.02万元、固定资产账面价值2,489.64万元，无形资产仍为零。即中发邢台在他人名下的土地上建造并持有房屋建筑物及在建工程，房、地权属分离。同时，中发邢台两个时点的使用权资产账面价值均为零，而按《企业会计准则第21号——租赁》，承租人应当在租赁期开始日就租赁确认使用权资产和租赁负债，该情形通常意味着双方之间未签署书面租赁协议或虽有安排但未支付租金，需核实并按公允价格补充规范。</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厂区共用带来的划分问题。鉴于燕京啤酒（邢台）有限公司的啤酒生产经营仍在持续，同一厂区内同时存在啤酒与纳豆两类生产活动，土地、厂房、公用工程及人员的划分方式直接决定可纳入上市主体的资产范围，需在方案论证前完成实地核查并取得书面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关联交易及国资程序。燕京啤酒（邢台）有限公司系燕京啤酒的全资子公司，与发行人同受燕京啤酒控制。无论采取何种方式，本次整合均构成发行人的关联交易，且涉及国有资产，定价须以经备案的评估结果为依据，并履行内部决策及国资审批程序；燕京啤酒作为A股上市公司同步履行审议程序，其审议层级的判断方法与本节3、同业竞争一致，详见该节之（3）⑤。根据《企业国有资产交易监督管理办法》，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宗地四的处置难度高于前三宗。集体建设用地的流转适用《中华人民共和国土地管理法》关于集体经营性建设用地的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单独转让难度较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对本次发行上市申报时点的影响。若采用下述方案一收购燕京啤酒（邢台）有限公司股权，该项收购构成同一控制下的业务重组，适用《证券期货法律适用意见第3号》，且通常需与本节3、同业竞争项下收购中发邢台股权的重组合并计算比例。以2025年度数据测算，合并后资产总额、营业收入及利润总额占发行人相应指标的比例分别为90.70%、92.22%和41.16%，最高值为营业收入占比92.22%，落入达到50%但未超过100%的档次并已接近临界值，具体测算见本节3之（3）④。下述方案二系受让土地使用权及地上建筑物，属购买单项资产而非收购业务主体，一般不构成业务重组，不触发上述比例测算。该项差异在申报时点紧张的情况下可能构成方案二的实质性优势，应纳入方案比选的考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commentRangeStart w:id="1"/>
      <w:r>
        <w:rPr>
          <w:rFonts w:hint="eastAsia" w:ascii="Times New Roman" w:hAnsi="Times New Roman" w:cs="Times New Roman"/>
        </w:rPr>
        <w:t>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承接范围、税负、对申报时点的影响及后续整合上存在差异。鉴于该公司的经营现状、厂区共用情况及关联交易披露等事项尚待核实，本节仅列示方案框架，具体作价及税费金额待尽职调查与资产评估完成后另行测算。最终方案需在会计师、律师、评估师进场完成尽职调查后，结合尽调结果与公司诉求确定。</w:t>
      </w:r>
      <w:commentRangeEnd w:id="1"/>
      <w:r>
        <w:rPr>
          <w:rStyle w:val="CommentReference"/>
        </w:rPr>
        <w:commentReference w:id="1"/>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收购燕京啤酒持有的该公司100%股权，交易完成后该公司成为发行人的全资子公司，其名下四宗宗地及地上厂房随之进入上市主体，无需逐宗办理土地过户，宗地四亦一并纳入，房、地权属可一次性统一。对价支付方式与本节3、同业竞争项下收购中发邢台股权一致，同样存在股权支付与现金支付两种选择，且两项交易的支付方式宜作统一安排；若均采用股权支付，稀释效应叠加，燕京集团及食品发酵研究院的最终持股比例需合并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无论采用何种支付方式，股权转让均不属于转让房地产，不征土地增值税；不涉及土地、房屋权属转移，不征契税；转让非上市公司股权不属于增值税征税范围。本方案预计涉及的税种为企业所得税及印花税：采用股权支付且符合财税〔2009〕59号文五项条件的，企业所得税可实现递延；采用现金支付的，适用一般性税务处理，转让方按转让对价与其计税基础的差额确认所得，适用25%的法定税率，计税基础需以其历次出资及股权受让凭证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特别提示，该公司2025年度啤酒收入23,294.41万元、占其营业收入的77.61%，啤酒生产经营持续进行。采用本方案的，发行人将同时取得该公司的啤酒生产经营业务，由此产生两项影响：一是发行人将持有规模较大的啤酒制造业务，与控股股东燕京啤酒构成新的同业竞争，并非通过变更经营范围即可解决，需另行安排该业务的剥离或处置；二是啤酒与纳豆不属于相同或相关业务，本次重组能否适用《证券期货法律适用意见第3号》关于同一控制下相同或类似业务重组的规定存在不确定性。上述两项在方案论证时需一并考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股权收购将概括承受标的公司的全部资产和负债，尽职调查范围应大于资产收购，重点包括或有负债、对外担保、未决诉讼及行政处罚，历史期间的税务合规与环保遗留问题，2025年度土地使用权处置事项，以及员工的劳动关系与安置安排；该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该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亦不将啤酒业务纳入上市主体，不产生新的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如按整体转让操作可争取不征。契税方面，能否适用同一投资主体内部划转免税政策，需结合发行人并非燕京啤酒全资子公司的实际情况与主管税务机关确认。企业所得税方面，该公司存在可弥补亏损，转让资产产生的所得在符合条件的情况下可予弥补，实际税负可能低于按法定税率测算的水平。上述各项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局限有三。第一，宗地四为集体建设用地，无法一并受让，房、地权属不能完全统一，需另行以协议方式安排使用。第二，宗地一、宗地二仍为旧版《国有土地使用证》，需先行换发不动产权证书方可办理转移登记。第三，因啤酒生产经营仍在持续，厂区内土地、厂房及公用工程需在两类业务之间划分，可受让资产的具体范围需以实地核查及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如按资产、负债及劳动力一并转让操作可争取不征增值税；契税能否免征需与税务机关确认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股权支付且符合特殊性税务处理条件的可递延；现金支付的按转让所得的25%缴纳</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标的公司存在可弥补亏损，实际税负可能低于法定税率测算水平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对申报时点的影响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构成同一控制下业务重组，须与收购中发邢台股权合并测算，2025年度数据下最高比例92.22%，接近100%临界值</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属购买单项资产，一般不构成业务重组，不触发比例测算</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啤酒业务</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一并进入上市主体，与控股股东构成新的同业竞争，需另行剥离</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留在标的公司，不进入上市主体</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注：上述为框架性比较。因标的公司的经营现状、厂区划分及关联交易情况尚待核实，且未启动资产评估，两方案的交易对价、税费金额及股权稀释幅度均未作测算。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主要包括：标的公司啤酒业务的实际经营情况及可否剥离；厂区内两类生产活动在土地、厂房、公用工程及人员上的划分方式；标的公司的或有负债、对外担保、未决诉讼、税务合规及环保遗留情况；2025年度土地使用权处置事项的具体内容；土地及房屋的评估增值幅度；宗地四的实际使用状况。同时取决于公司诉求，包括对承接标的公司历史沿革的接受程度、对重组周期与申报时点的要求、对价支付方式的安排，以及燕京啤酒对保留该主体及其啤酒业务的意愿。</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就现有信息作初步判断：方案一可一次性解决房、地权属统一并纳入宗地四，但需一并承接规模较大的啤酒业务，将产生新的同业竞争，且合并测算比例已接近100%的临界值；方案二不触发比例测算、不产生新的同业竞争，但需分项争取税收优惠、且无法纳入宗地四。在申报时点约束较强的情况下，方案二的可行性相对更高。最终结论待前述事项核实后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同步履行其内部审议程序；就交易方式能否适用非公开协议方式，事先与国资监管部门沟通确认；就适用的税收优惠政策，事先与主管税务机关书面沟通并取得意见。此外需关注，实务中存在以转让股权名义转让土地被追征土地增值税的先例，若采用方案一，需就标的公司持续经营、交易具有合理商业目的、交易在集团内部进行等事实准备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节土地事项与本节3、同业竞争项下收购中发邢台股权系两项独立交易，但在支付方式、稀释效应、比例测算及实施节奏上相互关联，建议一并论证、统一决策，并先行完成标的公司的尽职调查与比例测算，再确定两项交易的方案与先后顺序。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5T09:00:0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按框架性列示股权支付与现金支付两个方案，未作具体作价、股权比例及税费测算，待资产评估完成后补充。需公司确认或落实的事项：一、方案选择取决于燕京集团（17.50%）及食品发酵研究院（2.50%）是否同意放弃优先认缴出资权并接受稀释，建议先行沟通并取得书面意见；二、企业所得税按25%法定税率，系因燕京啤酒为法人股东；20%系自然人股东转让股权的个人所得税税率，本次不适用；三、比例测算以重组前一个会计年度即2025年度数据为准，若重组推迟至2027年实施须以2026年度数据重新测算。中发邢台2026年6月末其他应收款16,640.95万元已使其资产总额占比升至54.85%，建议在重组实施前先行清理，避免比例被动跨档；四、对燕京啤酒审议层级的判断依据其2025年11月版《公司章程》第4.11条、第4.12条、第6.3条及第6.14条，建议由发行人律师与燕京啤酒董事会办公室及其常年法律顾问复核确认。</w:t>
      </w:r>
    </w:p>
  </w:comment>
  <w:comment w:id="1" w:author="燕京中发IPO项目组" w:date="2026-08-25T09:00:00Z" w:initials="YJ">
    <w:p w14:paraId="50A38C7A" w14:textId="77777777">
      <w:pPr>
        <w:pStyle w:val="CommentText"/>
      </w:pPr>
      <w:r>
        <w:rPr>
          <w:rStyle w:val="CommentReference"/>
        </w:rPr>
        <w:annotationRef/>
      </w:r>
      <w:r>
        <w:rPr>
          <w:rFonts w:hint="eastAsia" w:ascii="Times New Roman" w:hAnsi="Times New Roman" w:eastAsia="宋体"/>
          <w:color w:val="000000"/>
          <w:sz w:val="20"/>
          <w:szCs w:val="20"/>
        </w:rPr>
        <w:t xml:space="preserve">本节按框架性列示两个方案，未作具体作价及税费测算。最重要的待核事项是标的公司的经营现状：据其2025年度审计报告，2025年度啤酒收入23,294.41万元、占营业收入的77.61%，2024年度21,993.96万元，啤酒生产经营持续进行，与此前了解到的厂区已整体转为纳豆生产、不再从事啤酒生产的情况不一致。该事实直接决定方案选择——采用方案一的，发行人将一并取得该啤酒业务，与控股股东构成新的同业竞争，且两笔重组合并测算的营业收入占比达92.22%、已接近100%的临界值。请优先核实厂区的实际使用状况及两类生产活动的划分方式。其余待核事项：一、该审计报告附注列示至“六、关联方”标题后即无内容，关联方及关联交易披露缺失，请会计师补充提供；二、该公司2025年度处置土地使用权账面原值475.66万元、账面价值332.96万元，需核实处置的是哪一宗宗地、受让方及定价，以确认拟收购范围内的土地是否完整；三、2025年度新增租赁收入366.97万元，需核实承租方是否为中发邢台；若是，则与中发邢台使用权资产为零的记账口径不符，需一并核对；四、其他应收款7,987.48万元，其中集团往来款账面余额7,949.25万元、几乎构成全部，且当年经营活动现金流量净额为负，需核查资金占用及回收安排；五、未分配利润-5,652.01万元、当年所得税费用为零，需取得税务口径的可弥补亏损余额及结转年限，用于测算方案二的所得税成本；六、宗地二的出让合同，其证载终止日期倒推的起始日期晚于发证日，两者不衔接；七、宗地四的实际使用状况及建设、环保手续；八、标的公司员工的劳动关系归属；九、标的公司的营业执照及公司章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Ex w15:paraId="50A38C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5T09:00:00Z"/>
  <w16cex:commentExtensible w16cex:durableId="5B79A38A" w16cex:dateUtc="2026-08-25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Id w16cid:paraId="50A38C7A" w16cid:durableId="5B79A3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