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7FB99" w14:textId="77777777" w:rsidR="004A0C46" w:rsidRDefault="00000000">
      <w:pPr>
        <w:keepNext/>
        <w:widowControl/>
        <w:spacing w:before="156" w:after="156" w:line="360" w:lineRule="auto"/>
        <w:jc w:val="center"/>
        <w:rPr>
          <w:rFonts w:ascii="宋体" w:hAnsi="宋体" w:cs="宋体" w:hint="eastAsia"/>
          <w:b/>
          <w:bCs/>
          <w:sz w:val="36"/>
          <w:szCs w:val="36"/>
        </w:rPr>
      </w:pPr>
      <w:r>
        <w:rPr>
          <w:rFonts w:ascii="宋体" w:hAnsi="宋体" w:cs="宋体" w:hint="eastAsia"/>
          <w:b/>
          <w:bCs/>
          <w:sz w:val="36"/>
          <w:szCs w:val="36"/>
        </w:rPr>
        <w:t>中国储能产业链研究</w:t>
      </w:r>
    </w:p>
    <w:sdt>
      <w:sdtPr>
        <w:rPr>
          <w:lang w:val="zh-CN"/>
        </w:rPr>
        <w:id w:val="-1457872018"/>
        <w:docPartObj>
          <w:docPartGallery w:val="Table of Contents"/>
          <w:docPartUnique/>
        </w:docPartObj>
      </w:sdtPr>
      <w:sdtEndPr>
        <w:rPr>
          <w:rFonts w:eastAsia="宋体" w:cs="宋体"/>
          <w:kern w:val="2"/>
          <w:sz w:val="20"/>
          <w:szCs w:val="21"/>
          <w:lang w:val="en-US"/>
        </w:rPr>
      </w:sdtEndPr>
      <w:sdtContent>
        <w:p w14:paraId="2F2BFBE4" w14:textId="6559072E" w:rsidR="00085726" w:rsidRPr="00AE02CD" w:rsidRDefault="00085726" w:rsidP="001349C6">
          <w:pPr>
            <w:pStyle w:val="TOC"/>
            <w:spacing w:before="156" w:after="156" w:line="360" w:lineRule="auto"/>
            <w:rPr>
              <w:rFonts w:eastAsia="宋体"/>
              <w:b/>
              <w:color w:val="000000" w:themeColor="text1"/>
              <w:sz w:val="28"/>
              <w:szCs w:val="28"/>
            </w:rPr>
          </w:pPr>
          <w:r w:rsidRPr="00AE02CD">
            <w:rPr>
              <w:rFonts w:eastAsia="宋体"/>
              <w:b/>
              <w:color w:val="000000" w:themeColor="text1"/>
              <w:sz w:val="28"/>
              <w:szCs w:val="28"/>
              <w:lang w:val="zh-CN"/>
            </w:rPr>
            <w:t>目录</w:t>
          </w:r>
        </w:p>
        <w:p w14:paraId="0AEEFCBD" w14:textId="7C8ABC90" w:rsidR="00AE02CD" w:rsidRPr="00AE02CD" w:rsidRDefault="00085726" w:rsidP="00E419C7">
          <w:pPr>
            <w:pStyle w:val="TOC1"/>
            <w:spacing w:line="360" w:lineRule="auto"/>
            <w:rPr>
              <w:rFonts w:cstheme="minorBidi" w:hint="eastAsia"/>
              <w:sz w:val="24"/>
              <w:szCs w:val="24"/>
              <w14:ligatures w14:val="standardContextual"/>
            </w:rPr>
          </w:pPr>
          <w:r w:rsidRPr="00AE02CD">
            <w:rPr>
              <w:sz w:val="24"/>
              <w:szCs w:val="24"/>
            </w:rPr>
            <w:fldChar w:fldCharType="begin"/>
          </w:r>
          <w:r w:rsidRPr="00AE02CD">
            <w:rPr>
              <w:sz w:val="24"/>
              <w:szCs w:val="24"/>
            </w:rPr>
            <w:instrText xml:space="preserve"> TOC \o "1-3" \h \z \u </w:instrText>
          </w:r>
          <w:r w:rsidRPr="00AE02CD">
            <w:rPr>
              <w:sz w:val="24"/>
              <w:szCs w:val="24"/>
            </w:rPr>
            <w:fldChar w:fldCharType="separate"/>
          </w:r>
          <w:hyperlink w:anchor="_Toc236992638" w:history="1">
            <w:r w:rsidR="00AE02CD" w:rsidRPr="00AE02CD">
              <w:rPr>
                <w:rStyle w:val="a5"/>
                <w:bCs w:val="0"/>
                <w:sz w:val="24"/>
                <w:szCs w:val="24"/>
              </w:rPr>
              <w:t>一、</w:t>
            </w:r>
            <w:r w:rsidR="00AE02CD" w:rsidRPr="00AE02CD">
              <w:rPr>
                <w:rStyle w:val="a5"/>
                <w:bCs w:val="0"/>
                <w:sz w:val="24"/>
                <w:szCs w:val="24"/>
              </w:rPr>
              <w:t xml:space="preserve"> </w:t>
            </w:r>
            <w:r w:rsidR="00AE02CD" w:rsidRPr="00AE02CD">
              <w:rPr>
                <w:rStyle w:val="a5"/>
                <w:bCs w:val="0"/>
                <w:sz w:val="24"/>
                <w:szCs w:val="24"/>
              </w:rPr>
              <w:t>储能产业概述</w:t>
            </w:r>
            <w:r w:rsidR="00AE02CD" w:rsidRPr="00AE02CD">
              <w:rPr>
                <w:rFonts w:hint="eastAsia"/>
                <w:webHidden/>
                <w:sz w:val="24"/>
                <w:szCs w:val="24"/>
              </w:rPr>
              <w:tab/>
            </w:r>
            <w:r w:rsidR="00AE02CD" w:rsidRPr="00AE02CD">
              <w:rPr>
                <w:rFonts w:hint="eastAsia"/>
                <w:webHidden/>
                <w:sz w:val="24"/>
                <w:szCs w:val="24"/>
              </w:rPr>
              <w:fldChar w:fldCharType="begin"/>
            </w:r>
            <w:r w:rsidR="00AE02CD" w:rsidRPr="00AE02CD">
              <w:rPr>
                <w:rFonts w:hint="eastAsia"/>
                <w:webHidden/>
                <w:sz w:val="24"/>
                <w:szCs w:val="24"/>
              </w:rPr>
              <w:instrText xml:space="preserve"> </w:instrText>
            </w:r>
            <w:r w:rsidR="00AE02CD" w:rsidRPr="00AE02CD">
              <w:rPr>
                <w:webHidden/>
                <w:sz w:val="24"/>
                <w:szCs w:val="24"/>
              </w:rPr>
              <w:instrText>PAGEREF _Toc236992638 \h</w:instrText>
            </w:r>
            <w:r w:rsidR="00AE02CD" w:rsidRPr="00AE02CD">
              <w:rPr>
                <w:rFonts w:hint="eastAsia"/>
                <w:webHidden/>
                <w:sz w:val="24"/>
                <w:szCs w:val="24"/>
              </w:rPr>
              <w:instrText xml:space="preserve"> </w:instrText>
            </w:r>
            <w:r w:rsidR="00AE02CD" w:rsidRPr="00AE02CD">
              <w:rPr>
                <w:rFonts w:hint="eastAsia"/>
                <w:webHidden/>
                <w:sz w:val="24"/>
                <w:szCs w:val="24"/>
              </w:rPr>
            </w:r>
            <w:r w:rsidR="00AE02CD" w:rsidRPr="00AE02CD">
              <w:rPr>
                <w:rFonts w:hint="eastAsia"/>
                <w:webHidden/>
                <w:sz w:val="24"/>
                <w:szCs w:val="24"/>
              </w:rPr>
              <w:fldChar w:fldCharType="separate"/>
            </w:r>
            <w:r w:rsidR="0039617E">
              <w:rPr>
                <w:webHidden/>
                <w:sz w:val="24"/>
                <w:szCs w:val="24"/>
              </w:rPr>
              <w:t>1</w:t>
            </w:r>
            <w:r w:rsidR="00AE02CD" w:rsidRPr="00AE02CD">
              <w:rPr>
                <w:rFonts w:hint="eastAsia"/>
                <w:webHidden/>
                <w:sz w:val="24"/>
                <w:szCs w:val="24"/>
              </w:rPr>
              <w:fldChar w:fldCharType="end"/>
            </w:r>
          </w:hyperlink>
        </w:p>
        <w:p w14:paraId="0D629117" w14:textId="1305D242" w:rsidR="00AE02CD" w:rsidRPr="00AE02CD" w:rsidRDefault="00AE02CD" w:rsidP="00E419C7">
          <w:pPr>
            <w:pStyle w:val="TOC2"/>
            <w:tabs>
              <w:tab w:val="right" w:leader="dot" w:pos="8299"/>
            </w:tabs>
            <w:spacing w:line="360" w:lineRule="auto"/>
            <w:ind w:left="400"/>
            <w:rPr>
              <w:rFonts w:eastAsia="宋体" w:cstheme="minorBidi" w:hint="eastAsia"/>
              <w:noProof/>
              <w:sz w:val="24"/>
              <w:szCs w:val="24"/>
              <w14:ligatures w14:val="standardContextual"/>
            </w:rPr>
          </w:pPr>
          <w:hyperlink w:anchor="_Toc236992639" w:history="1">
            <w:r w:rsidRPr="00AE02CD">
              <w:rPr>
                <w:rStyle w:val="a5"/>
                <w:rFonts w:eastAsia="宋体" w:cs="宋体"/>
                <w:bCs/>
                <w:noProof/>
                <w:sz w:val="24"/>
                <w:szCs w:val="24"/>
              </w:rPr>
              <w:t xml:space="preserve">1.1 </w:t>
            </w:r>
            <w:r w:rsidRPr="00AE02CD">
              <w:rPr>
                <w:rStyle w:val="a5"/>
                <w:rFonts w:eastAsia="宋体" w:cs="宋体"/>
                <w:bCs/>
                <w:noProof/>
                <w:sz w:val="24"/>
                <w:szCs w:val="24"/>
              </w:rPr>
              <w:t>行业简介</w:t>
            </w:r>
            <w:r w:rsidRPr="00AE02CD">
              <w:rPr>
                <w:rFonts w:eastAsia="宋体" w:hint="eastAsia"/>
                <w:noProof/>
                <w:webHidden/>
                <w:sz w:val="24"/>
                <w:szCs w:val="24"/>
              </w:rPr>
              <w:tab/>
            </w:r>
            <w:r w:rsidRPr="00AE02CD">
              <w:rPr>
                <w:rFonts w:eastAsia="宋体" w:hint="eastAsia"/>
                <w:noProof/>
                <w:webHidden/>
                <w:sz w:val="24"/>
                <w:szCs w:val="24"/>
              </w:rPr>
              <w:fldChar w:fldCharType="begin"/>
            </w:r>
            <w:r w:rsidRPr="00AE02CD">
              <w:rPr>
                <w:rFonts w:eastAsia="宋体" w:hint="eastAsia"/>
                <w:noProof/>
                <w:webHidden/>
                <w:sz w:val="24"/>
                <w:szCs w:val="24"/>
              </w:rPr>
              <w:instrText xml:space="preserve"> </w:instrText>
            </w:r>
            <w:r w:rsidRPr="00AE02CD">
              <w:rPr>
                <w:rFonts w:eastAsia="宋体"/>
                <w:noProof/>
                <w:webHidden/>
                <w:sz w:val="24"/>
                <w:szCs w:val="24"/>
              </w:rPr>
              <w:instrText>PAGEREF _Toc236992639 \h</w:instrText>
            </w:r>
            <w:r w:rsidRPr="00AE02CD">
              <w:rPr>
                <w:rFonts w:eastAsia="宋体" w:hint="eastAsia"/>
                <w:noProof/>
                <w:webHidden/>
                <w:sz w:val="24"/>
                <w:szCs w:val="24"/>
              </w:rPr>
              <w:instrText xml:space="preserve"> </w:instrText>
            </w:r>
            <w:r w:rsidRPr="00AE02CD">
              <w:rPr>
                <w:rFonts w:eastAsia="宋体" w:hint="eastAsia"/>
                <w:noProof/>
                <w:webHidden/>
                <w:sz w:val="24"/>
                <w:szCs w:val="24"/>
              </w:rPr>
            </w:r>
            <w:r w:rsidRPr="00AE02CD">
              <w:rPr>
                <w:rFonts w:eastAsia="宋体" w:hint="eastAsia"/>
                <w:noProof/>
                <w:webHidden/>
                <w:sz w:val="24"/>
                <w:szCs w:val="24"/>
              </w:rPr>
              <w:fldChar w:fldCharType="separate"/>
            </w:r>
            <w:r w:rsidR="0039617E">
              <w:rPr>
                <w:rFonts w:eastAsia="宋体"/>
                <w:noProof/>
                <w:webHidden/>
                <w:sz w:val="24"/>
                <w:szCs w:val="24"/>
              </w:rPr>
              <w:t>1</w:t>
            </w:r>
            <w:r w:rsidRPr="00AE02CD">
              <w:rPr>
                <w:rFonts w:eastAsia="宋体" w:hint="eastAsia"/>
                <w:noProof/>
                <w:webHidden/>
                <w:sz w:val="24"/>
                <w:szCs w:val="24"/>
              </w:rPr>
              <w:fldChar w:fldCharType="end"/>
            </w:r>
          </w:hyperlink>
        </w:p>
        <w:p w14:paraId="1964DC33" w14:textId="3595799C" w:rsidR="00AE02CD" w:rsidRPr="00AE02CD" w:rsidRDefault="00AE02CD" w:rsidP="00E419C7">
          <w:pPr>
            <w:pStyle w:val="TOC2"/>
            <w:tabs>
              <w:tab w:val="right" w:leader="dot" w:pos="8299"/>
            </w:tabs>
            <w:spacing w:line="360" w:lineRule="auto"/>
            <w:ind w:left="400"/>
            <w:rPr>
              <w:rFonts w:eastAsia="宋体" w:cstheme="minorBidi" w:hint="eastAsia"/>
              <w:noProof/>
              <w:sz w:val="24"/>
              <w:szCs w:val="24"/>
              <w14:ligatures w14:val="standardContextual"/>
            </w:rPr>
          </w:pPr>
          <w:hyperlink w:anchor="_Toc236992640" w:history="1">
            <w:r w:rsidRPr="00AE02CD">
              <w:rPr>
                <w:rStyle w:val="a5"/>
                <w:rFonts w:eastAsia="宋体" w:cs="宋体"/>
                <w:bCs/>
                <w:noProof/>
                <w:sz w:val="24"/>
                <w:szCs w:val="24"/>
              </w:rPr>
              <w:t xml:space="preserve">1.2 </w:t>
            </w:r>
            <w:r w:rsidRPr="00AE02CD">
              <w:rPr>
                <w:rStyle w:val="a5"/>
                <w:rFonts w:eastAsia="宋体" w:cs="宋体"/>
                <w:bCs/>
                <w:noProof/>
                <w:sz w:val="24"/>
                <w:szCs w:val="24"/>
              </w:rPr>
              <w:t>储能技术的主要分类</w:t>
            </w:r>
            <w:r w:rsidRPr="00AE02CD">
              <w:rPr>
                <w:rFonts w:eastAsia="宋体" w:hint="eastAsia"/>
                <w:noProof/>
                <w:webHidden/>
                <w:sz w:val="24"/>
                <w:szCs w:val="24"/>
              </w:rPr>
              <w:tab/>
            </w:r>
            <w:r w:rsidRPr="00AE02CD">
              <w:rPr>
                <w:rFonts w:eastAsia="宋体" w:hint="eastAsia"/>
                <w:noProof/>
                <w:webHidden/>
                <w:sz w:val="24"/>
                <w:szCs w:val="24"/>
              </w:rPr>
              <w:fldChar w:fldCharType="begin"/>
            </w:r>
            <w:r w:rsidRPr="00AE02CD">
              <w:rPr>
                <w:rFonts w:eastAsia="宋体" w:hint="eastAsia"/>
                <w:noProof/>
                <w:webHidden/>
                <w:sz w:val="24"/>
                <w:szCs w:val="24"/>
              </w:rPr>
              <w:instrText xml:space="preserve"> </w:instrText>
            </w:r>
            <w:r w:rsidRPr="00AE02CD">
              <w:rPr>
                <w:rFonts w:eastAsia="宋体"/>
                <w:noProof/>
                <w:webHidden/>
                <w:sz w:val="24"/>
                <w:szCs w:val="24"/>
              </w:rPr>
              <w:instrText>PAGEREF _Toc236992640 \h</w:instrText>
            </w:r>
            <w:r w:rsidRPr="00AE02CD">
              <w:rPr>
                <w:rFonts w:eastAsia="宋体" w:hint="eastAsia"/>
                <w:noProof/>
                <w:webHidden/>
                <w:sz w:val="24"/>
                <w:szCs w:val="24"/>
              </w:rPr>
              <w:instrText xml:space="preserve"> </w:instrText>
            </w:r>
            <w:r w:rsidRPr="00AE02CD">
              <w:rPr>
                <w:rFonts w:eastAsia="宋体" w:hint="eastAsia"/>
                <w:noProof/>
                <w:webHidden/>
                <w:sz w:val="24"/>
                <w:szCs w:val="24"/>
              </w:rPr>
            </w:r>
            <w:r w:rsidRPr="00AE02CD">
              <w:rPr>
                <w:rFonts w:eastAsia="宋体" w:hint="eastAsia"/>
                <w:noProof/>
                <w:webHidden/>
                <w:sz w:val="24"/>
                <w:szCs w:val="24"/>
              </w:rPr>
              <w:fldChar w:fldCharType="separate"/>
            </w:r>
            <w:r w:rsidR="0039617E">
              <w:rPr>
                <w:rFonts w:eastAsia="宋体"/>
                <w:noProof/>
                <w:webHidden/>
                <w:sz w:val="24"/>
                <w:szCs w:val="24"/>
              </w:rPr>
              <w:t>1</w:t>
            </w:r>
            <w:r w:rsidRPr="00AE02CD">
              <w:rPr>
                <w:rFonts w:eastAsia="宋体" w:hint="eastAsia"/>
                <w:noProof/>
                <w:webHidden/>
                <w:sz w:val="24"/>
                <w:szCs w:val="24"/>
              </w:rPr>
              <w:fldChar w:fldCharType="end"/>
            </w:r>
          </w:hyperlink>
        </w:p>
        <w:p w14:paraId="4D6056E2" w14:textId="0785F515" w:rsidR="00AE02CD" w:rsidRPr="00AE02CD" w:rsidRDefault="00AE02CD" w:rsidP="00E419C7">
          <w:pPr>
            <w:pStyle w:val="TOC2"/>
            <w:tabs>
              <w:tab w:val="right" w:leader="dot" w:pos="8299"/>
            </w:tabs>
            <w:spacing w:line="360" w:lineRule="auto"/>
            <w:ind w:left="400"/>
            <w:rPr>
              <w:rFonts w:eastAsia="宋体" w:cstheme="minorBidi" w:hint="eastAsia"/>
              <w:noProof/>
              <w:sz w:val="24"/>
              <w:szCs w:val="24"/>
              <w14:ligatures w14:val="standardContextual"/>
            </w:rPr>
          </w:pPr>
          <w:hyperlink w:anchor="_Toc236992641" w:history="1">
            <w:r w:rsidRPr="00AE02CD">
              <w:rPr>
                <w:rStyle w:val="a5"/>
                <w:rFonts w:eastAsia="宋体" w:cs="宋体"/>
                <w:bCs/>
                <w:noProof/>
                <w:sz w:val="24"/>
                <w:szCs w:val="24"/>
              </w:rPr>
              <w:t xml:space="preserve">1.3 </w:t>
            </w:r>
            <w:r w:rsidRPr="00AE02CD">
              <w:rPr>
                <w:rStyle w:val="a5"/>
                <w:rFonts w:eastAsia="宋体" w:cs="宋体"/>
                <w:bCs/>
                <w:noProof/>
                <w:sz w:val="24"/>
                <w:szCs w:val="24"/>
              </w:rPr>
              <w:t>储能系统的基本构成</w:t>
            </w:r>
            <w:r w:rsidRPr="00AE02CD">
              <w:rPr>
                <w:rStyle w:val="a5"/>
                <w:rFonts w:eastAsia="宋体" w:cs="宋体"/>
                <w:bCs/>
                <w:noProof/>
                <w:sz w:val="24"/>
                <w:szCs w:val="24"/>
              </w:rPr>
              <w:t>——</w:t>
            </w:r>
            <w:r w:rsidRPr="00AE02CD">
              <w:rPr>
                <w:rStyle w:val="a5"/>
                <w:rFonts w:eastAsia="宋体" w:cs="宋体"/>
                <w:bCs/>
                <w:noProof/>
                <w:sz w:val="24"/>
                <w:szCs w:val="24"/>
              </w:rPr>
              <w:t>以电化学储能为例</w:t>
            </w:r>
            <w:r w:rsidRPr="00AE02CD">
              <w:rPr>
                <w:rFonts w:eastAsia="宋体" w:hint="eastAsia"/>
                <w:noProof/>
                <w:webHidden/>
                <w:sz w:val="24"/>
                <w:szCs w:val="24"/>
              </w:rPr>
              <w:tab/>
            </w:r>
            <w:r w:rsidRPr="00AE02CD">
              <w:rPr>
                <w:rFonts w:eastAsia="宋体" w:hint="eastAsia"/>
                <w:noProof/>
                <w:webHidden/>
                <w:sz w:val="24"/>
                <w:szCs w:val="24"/>
              </w:rPr>
              <w:fldChar w:fldCharType="begin"/>
            </w:r>
            <w:r w:rsidRPr="00AE02CD">
              <w:rPr>
                <w:rFonts w:eastAsia="宋体" w:hint="eastAsia"/>
                <w:noProof/>
                <w:webHidden/>
                <w:sz w:val="24"/>
                <w:szCs w:val="24"/>
              </w:rPr>
              <w:instrText xml:space="preserve"> </w:instrText>
            </w:r>
            <w:r w:rsidRPr="00AE02CD">
              <w:rPr>
                <w:rFonts w:eastAsia="宋体"/>
                <w:noProof/>
                <w:webHidden/>
                <w:sz w:val="24"/>
                <w:szCs w:val="24"/>
              </w:rPr>
              <w:instrText>PAGEREF _Toc236992641 \h</w:instrText>
            </w:r>
            <w:r w:rsidRPr="00AE02CD">
              <w:rPr>
                <w:rFonts w:eastAsia="宋体" w:hint="eastAsia"/>
                <w:noProof/>
                <w:webHidden/>
                <w:sz w:val="24"/>
                <w:szCs w:val="24"/>
              </w:rPr>
              <w:instrText xml:space="preserve"> </w:instrText>
            </w:r>
            <w:r w:rsidRPr="00AE02CD">
              <w:rPr>
                <w:rFonts w:eastAsia="宋体" w:hint="eastAsia"/>
                <w:noProof/>
                <w:webHidden/>
                <w:sz w:val="24"/>
                <w:szCs w:val="24"/>
              </w:rPr>
            </w:r>
            <w:r w:rsidRPr="00AE02CD">
              <w:rPr>
                <w:rFonts w:eastAsia="宋体" w:hint="eastAsia"/>
                <w:noProof/>
                <w:webHidden/>
                <w:sz w:val="24"/>
                <w:szCs w:val="24"/>
              </w:rPr>
              <w:fldChar w:fldCharType="separate"/>
            </w:r>
            <w:r w:rsidR="0039617E">
              <w:rPr>
                <w:rFonts w:eastAsia="宋体"/>
                <w:noProof/>
                <w:webHidden/>
                <w:sz w:val="24"/>
                <w:szCs w:val="24"/>
              </w:rPr>
              <w:t>2</w:t>
            </w:r>
            <w:r w:rsidRPr="00AE02CD">
              <w:rPr>
                <w:rFonts w:eastAsia="宋体" w:hint="eastAsia"/>
                <w:noProof/>
                <w:webHidden/>
                <w:sz w:val="24"/>
                <w:szCs w:val="24"/>
              </w:rPr>
              <w:fldChar w:fldCharType="end"/>
            </w:r>
          </w:hyperlink>
        </w:p>
        <w:p w14:paraId="03F20B73" w14:textId="625F17C1" w:rsidR="00AE02CD" w:rsidRPr="00AE02CD" w:rsidRDefault="00AE02CD" w:rsidP="00E419C7">
          <w:pPr>
            <w:pStyle w:val="TOC2"/>
            <w:tabs>
              <w:tab w:val="right" w:leader="dot" w:pos="8299"/>
            </w:tabs>
            <w:spacing w:line="360" w:lineRule="auto"/>
            <w:ind w:left="400"/>
            <w:rPr>
              <w:rFonts w:eastAsia="宋体" w:cstheme="minorBidi" w:hint="eastAsia"/>
              <w:noProof/>
              <w:sz w:val="24"/>
              <w:szCs w:val="24"/>
              <w14:ligatures w14:val="standardContextual"/>
            </w:rPr>
          </w:pPr>
          <w:hyperlink w:anchor="_Toc236992642" w:history="1">
            <w:r w:rsidRPr="00AE02CD">
              <w:rPr>
                <w:rStyle w:val="a5"/>
                <w:rFonts w:eastAsia="宋体" w:cs="宋体"/>
                <w:bCs/>
                <w:noProof/>
                <w:sz w:val="24"/>
                <w:szCs w:val="24"/>
              </w:rPr>
              <w:t xml:space="preserve">1.4 </w:t>
            </w:r>
            <w:r w:rsidRPr="00AE02CD">
              <w:rPr>
                <w:rStyle w:val="a5"/>
                <w:rFonts w:eastAsia="宋体" w:cs="宋体"/>
                <w:bCs/>
                <w:noProof/>
                <w:sz w:val="24"/>
                <w:szCs w:val="24"/>
              </w:rPr>
              <w:t>储能行业的基本指标</w:t>
            </w:r>
            <w:r w:rsidRPr="00AE02CD">
              <w:rPr>
                <w:rFonts w:eastAsia="宋体" w:hint="eastAsia"/>
                <w:noProof/>
                <w:webHidden/>
                <w:sz w:val="24"/>
                <w:szCs w:val="24"/>
              </w:rPr>
              <w:tab/>
            </w:r>
            <w:r w:rsidRPr="00AE02CD">
              <w:rPr>
                <w:rFonts w:eastAsia="宋体" w:hint="eastAsia"/>
                <w:noProof/>
                <w:webHidden/>
                <w:sz w:val="24"/>
                <w:szCs w:val="24"/>
              </w:rPr>
              <w:fldChar w:fldCharType="begin"/>
            </w:r>
            <w:r w:rsidRPr="00AE02CD">
              <w:rPr>
                <w:rFonts w:eastAsia="宋体" w:hint="eastAsia"/>
                <w:noProof/>
                <w:webHidden/>
                <w:sz w:val="24"/>
                <w:szCs w:val="24"/>
              </w:rPr>
              <w:instrText xml:space="preserve"> </w:instrText>
            </w:r>
            <w:r w:rsidRPr="00AE02CD">
              <w:rPr>
                <w:rFonts w:eastAsia="宋体"/>
                <w:noProof/>
                <w:webHidden/>
                <w:sz w:val="24"/>
                <w:szCs w:val="24"/>
              </w:rPr>
              <w:instrText>PAGEREF _Toc236992642 \h</w:instrText>
            </w:r>
            <w:r w:rsidRPr="00AE02CD">
              <w:rPr>
                <w:rFonts w:eastAsia="宋体" w:hint="eastAsia"/>
                <w:noProof/>
                <w:webHidden/>
                <w:sz w:val="24"/>
                <w:szCs w:val="24"/>
              </w:rPr>
              <w:instrText xml:space="preserve"> </w:instrText>
            </w:r>
            <w:r w:rsidRPr="00AE02CD">
              <w:rPr>
                <w:rFonts w:eastAsia="宋体" w:hint="eastAsia"/>
                <w:noProof/>
                <w:webHidden/>
                <w:sz w:val="24"/>
                <w:szCs w:val="24"/>
              </w:rPr>
            </w:r>
            <w:r w:rsidRPr="00AE02CD">
              <w:rPr>
                <w:rFonts w:eastAsia="宋体" w:hint="eastAsia"/>
                <w:noProof/>
                <w:webHidden/>
                <w:sz w:val="24"/>
                <w:szCs w:val="24"/>
              </w:rPr>
              <w:fldChar w:fldCharType="separate"/>
            </w:r>
            <w:r w:rsidR="0039617E">
              <w:rPr>
                <w:rFonts w:eastAsia="宋体"/>
                <w:noProof/>
                <w:webHidden/>
                <w:sz w:val="24"/>
                <w:szCs w:val="24"/>
              </w:rPr>
              <w:t>3</w:t>
            </w:r>
            <w:r w:rsidRPr="00AE02CD">
              <w:rPr>
                <w:rFonts w:eastAsia="宋体" w:hint="eastAsia"/>
                <w:noProof/>
                <w:webHidden/>
                <w:sz w:val="24"/>
                <w:szCs w:val="24"/>
              </w:rPr>
              <w:fldChar w:fldCharType="end"/>
            </w:r>
          </w:hyperlink>
        </w:p>
        <w:p w14:paraId="77ADEB1A" w14:textId="4B368926" w:rsidR="00AE02CD" w:rsidRPr="00AE02CD" w:rsidRDefault="00AE02CD" w:rsidP="00E419C7">
          <w:pPr>
            <w:pStyle w:val="TOC1"/>
            <w:spacing w:line="360" w:lineRule="auto"/>
            <w:rPr>
              <w:rFonts w:cstheme="minorBidi" w:hint="eastAsia"/>
              <w:sz w:val="24"/>
              <w:szCs w:val="24"/>
              <w14:ligatures w14:val="standardContextual"/>
            </w:rPr>
          </w:pPr>
          <w:hyperlink w:anchor="_Toc236992643" w:history="1">
            <w:r w:rsidRPr="00AE02CD">
              <w:rPr>
                <w:rStyle w:val="a5"/>
                <w:bCs w:val="0"/>
                <w:sz w:val="24"/>
                <w:szCs w:val="24"/>
              </w:rPr>
              <w:t>二、</w:t>
            </w:r>
            <w:r w:rsidRPr="00AE02CD">
              <w:rPr>
                <w:rStyle w:val="a5"/>
                <w:bCs w:val="0"/>
                <w:sz w:val="24"/>
                <w:szCs w:val="24"/>
              </w:rPr>
              <w:t xml:space="preserve"> </w:t>
            </w:r>
            <w:r w:rsidRPr="00AE02CD">
              <w:rPr>
                <w:rStyle w:val="a5"/>
                <w:bCs w:val="0"/>
                <w:sz w:val="24"/>
                <w:szCs w:val="24"/>
              </w:rPr>
              <w:t>储能产业链结构及各环节比较</w:t>
            </w:r>
            <w:r w:rsidRPr="00AE02CD">
              <w:rPr>
                <w:rFonts w:hint="eastAsia"/>
                <w:webHidden/>
                <w:sz w:val="24"/>
                <w:szCs w:val="24"/>
              </w:rPr>
              <w:tab/>
            </w:r>
            <w:r w:rsidRPr="00AE02CD">
              <w:rPr>
                <w:rFonts w:hint="eastAsia"/>
                <w:webHidden/>
                <w:sz w:val="24"/>
                <w:szCs w:val="24"/>
              </w:rPr>
              <w:fldChar w:fldCharType="begin"/>
            </w:r>
            <w:r w:rsidRPr="00AE02CD">
              <w:rPr>
                <w:rFonts w:hint="eastAsia"/>
                <w:webHidden/>
                <w:sz w:val="24"/>
                <w:szCs w:val="24"/>
              </w:rPr>
              <w:instrText xml:space="preserve"> </w:instrText>
            </w:r>
            <w:r w:rsidRPr="00AE02CD">
              <w:rPr>
                <w:webHidden/>
                <w:sz w:val="24"/>
                <w:szCs w:val="24"/>
              </w:rPr>
              <w:instrText>PAGEREF _Toc236992643 \h</w:instrText>
            </w:r>
            <w:r w:rsidRPr="00AE02CD">
              <w:rPr>
                <w:rFonts w:hint="eastAsia"/>
                <w:webHidden/>
                <w:sz w:val="24"/>
                <w:szCs w:val="24"/>
              </w:rPr>
              <w:instrText xml:space="preserve"> </w:instrText>
            </w:r>
            <w:r w:rsidRPr="00AE02CD">
              <w:rPr>
                <w:rFonts w:hint="eastAsia"/>
                <w:webHidden/>
                <w:sz w:val="24"/>
                <w:szCs w:val="24"/>
              </w:rPr>
            </w:r>
            <w:r w:rsidRPr="00AE02CD">
              <w:rPr>
                <w:rFonts w:hint="eastAsia"/>
                <w:webHidden/>
                <w:sz w:val="24"/>
                <w:szCs w:val="24"/>
              </w:rPr>
              <w:fldChar w:fldCharType="separate"/>
            </w:r>
            <w:r w:rsidR="0039617E">
              <w:rPr>
                <w:webHidden/>
                <w:sz w:val="24"/>
                <w:szCs w:val="24"/>
              </w:rPr>
              <w:t>4</w:t>
            </w:r>
            <w:r w:rsidRPr="00AE02CD">
              <w:rPr>
                <w:rFonts w:hint="eastAsia"/>
                <w:webHidden/>
                <w:sz w:val="24"/>
                <w:szCs w:val="24"/>
              </w:rPr>
              <w:fldChar w:fldCharType="end"/>
            </w:r>
          </w:hyperlink>
        </w:p>
        <w:p w14:paraId="66214AB7" w14:textId="3C65F9FD" w:rsidR="00AE02CD" w:rsidRPr="00AE02CD" w:rsidRDefault="00AE02CD" w:rsidP="00E419C7">
          <w:pPr>
            <w:pStyle w:val="TOC2"/>
            <w:tabs>
              <w:tab w:val="right" w:leader="dot" w:pos="8299"/>
            </w:tabs>
            <w:spacing w:line="360" w:lineRule="auto"/>
            <w:ind w:left="400"/>
            <w:rPr>
              <w:rFonts w:eastAsia="宋体" w:cstheme="minorBidi" w:hint="eastAsia"/>
              <w:noProof/>
              <w:sz w:val="24"/>
              <w:szCs w:val="24"/>
              <w14:ligatures w14:val="standardContextual"/>
            </w:rPr>
          </w:pPr>
          <w:hyperlink w:anchor="_Toc236992644" w:history="1">
            <w:r w:rsidRPr="00AE02CD">
              <w:rPr>
                <w:rStyle w:val="a5"/>
                <w:rFonts w:eastAsia="宋体" w:cs="宋体"/>
                <w:bCs/>
                <w:noProof/>
                <w:sz w:val="24"/>
                <w:szCs w:val="24"/>
              </w:rPr>
              <w:t xml:space="preserve">2.1 </w:t>
            </w:r>
            <w:r w:rsidRPr="00AE02CD">
              <w:rPr>
                <w:rStyle w:val="a5"/>
                <w:rFonts w:eastAsia="宋体" w:cs="宋体"/>
                <w:bCs/>
                <w:noProof/>
                <w:sz w:val="24"/>
                <w:szCs w:val="24"/>
              </w:rPr>
              <w:t>产业链整体结构与价值传导</w:t>
            </w:r>
            <w:r w:rsidRPr="00AE02CD">
              <w:rPr>
                <w:rFonts w:eastAsia="宋体" w:hint="eastAsia"/>
                <w:noProof/>
                <w:webHidden/>
                <w:sz w:val="24"/>
                <w:szCs w:val="24"/>
              </w:rPr>
              <w:tab/>
            </w:r>
            <w:r w:rsidRPr="00AE02CD">
              <w:rPr>
                <w:rFonts w:eastAsia="宋体" w:hint="eastAsia"/>
                <w:noProof/>
                <w:webHidden/>
                <w:sz w:val="24"/>
                <w:szCs w:val="24"/>
              </w:rPr>
              <w:fldChar w:fldCharType="begin"/>
            </w:r>
            <w:r w:rsidRPr="00AE02CD">
              <w:rPr>
                <w:rFonts w:eastAsia="宋体" w:hint="eastAsia"/>
                <w:noProof/>
                <w:webHidden/>
                <w:sz w:val="24"/>
                <w:szCs w:val="24"/>
              </w:rPr>
              <w:instrText xml:space="preserve"> </w:instrText>
            </w:r>
            <w:r w:rsidRPr="00AE02CD">
              <w:rPr>
                <w:rFonts w:eastAsia="宋体"/>
                <w:noProof/>
                <w:webHidden/>
                <w:sz w:val="24"/>
                <w:szCs w:val="24"/>
              </w:rPr>
              <w:instrText>PAGEREF _Toc236992644 \h</w:instrText>
            </w:r>
            <w:r w:rsidRPr="00AE02CD">
              <w:rPr>
                <w:rFonts w:eastAsia="宋体" w:hint="eastAsia"/>
                <w:noProof/>
                <w:webHidden/>
                <w:sz w:val="24"/>
                <w:szCs w:val="24"/>
              </w:rPr>
              <w:instrText xml:space="preserve"> </w:instrText>
            </w:r>
            <w:r w:rsidRPr="00AE02CD">
              <w:rPr>
                <w:rFonts w:eastAsia="宋体" w:hint="eastAsia"/>
                <w:noProof/>
                <w:webHidden/>
                <w:sz w:val="24"/>
                <w:szCs w:val="24"/>
              </w:rPr>
            </w:r>
            <w:r w:rsidRPr="00AE02CD">
              <w:rPr>
                <w:rFonts w:eastAsia="宋体" w:hint="eastAsia"/>
                <w:noProof/>
                <w:webHidden/>
                <w:sz w:val="24"/>
                <w:szCs w:val="24"/>
              </w:rPr>
              <w:fldChar w:fldCharType="separate"/>
            </w:r>
            <w:r w:rsidR="0039617E">
              <w:rPr>
                <w:rFonts w:eastAsia="宋体"/>
                <w:noProof/>
                <w:webHidden/>
                <w:sz w:val="24"/>
                <w:szCs w:val="24"/>
              </w:rPr>
              <w:t>4</w:t>
            </w:r>
            <w:r w:rsidRPr="00AE02CD">
              <w:rPr>
                <w:rFonts w:eastAsia="宋体" w:hint="eastAsia"/>
                <w:noProof/>
                <w:webHidden/>
                <w:sz w:val="24"/>
                <w:szCs w:val="24"/>
              </w:rPr>
              <w:fldChar w:fldCharType="end"/>
            </w:r>
          </w:hyperlink>
        </w:p>
        <w:p w14:paraId="263C3B81" w14:textId="01C82B8C" w:rsidR="00AE02CD" w:rsidRPr="00AE02CD" w:rsidRDefault="00AE02CD" w:rsidP="00E419C7">
          <w:pPr>
            <w:pStyle w:val="TOC2"/>
            <w:tabs>
              <w:tab w:val="right" w:leader="dot" w:pos="8299"/>
            </w:tabs>
            <w:spacing w:line="360" w:lineRule="auto"/>
            <w:ind w:left="400"/>
            <w:rPr>
              <w:rFonts w:eastAsia="宋体" w:cstheme="minorBidi" w:hint="eastAsia"/>
              <w:noProof/>
              <w:sz w:val="24"/>
              <w:szCs w:val="24"/>
              <w14:ligatures w14:val="standardContextual"/>
            </w:rPr>
          </w:pPr>
          <w:hyperlink w:anchor="_Toc236992645" w:history="1">
            <w:r w:rsidRPr="00AE02CD">
              <w:rPr>
                <w:rStyle w:val="a5"/>
                <w:rFonts w:eastAsia="宋体" w:cs="宋体"/>
                <w:bCs/>
                <w:noProof/>
                <w:sz w:val="24"/>
                <w:szCs w:val="24"/>
              </w:rPr>
              <w:t xml:space="preserve">2.2 </w:t>
            </w:r>
            <w:r w:rsidRPr="00AE02CD">
              <w:rPr>
                <w:rStyle w:val="a5"/>
                <w:rFonts w:eastAsia="宋体" w:cs="宋体"/>
                <w:bCs/>
                <w:noProof/>
                <w:sz w:val="24"/>
                <w:szCs w:val="24"/>
              </w:rPr>
              <w:t>上游：原材料、电芯及电池簇</w:t>
            </w:r>
            <w:r w:rsidRPr="00AE02CD">
              <w:rPr>
                <w:rFonts w:eastAsia="宋体" w:hint="eastAsia"/>
                <w:noProof/>
                <w:webHidden/>
                <w:sz w:val="24"/>
                <w:szCs w:val="24"/>
              </w:rPr>
              <w:tab/>
            </w:r>
            <w:r w:rsidRPr="00AE02CD">
              <w:rPr>
                <w:rFonts w:eastAsia="宋体" w:hint="eastAsia"/>
                <w:noProof/>
                <w:webHidden/>
                <w:sz w:val="24"/>
                <w:szCs w:val="24"/>
              </w:rPr>
              <w:fldChar w:fldCharType="begin"/>
            </w:r>
            <w:r w:rsidRPr="00AE02CD">
              <w:rPr>
                <w:rFonts w:eastAsia="宋体" w:hint="eastAsia"/>
                <w:noProof/>
                <w:webHidden/>
                <w:sz w:val="24"/>
                <w:szCs w:val="24"/>
              </w:rPr>
              <w:instrText xml:space="preserve"> </w:instrText>
            </w:r>
            <w:r w:rsidRPr="00AE02CD">
              <w:rPr>
                <w:rFonts w:eastAsia="宋体"/>
                <w:noProof/>
                <w:webHidden/>
                <w:sz w:val="24"/>
                <w:szCs w:val="24"/>
              </w:rPr>
              <w:instrText>PAGEREF _Toc236992645 \h</w:instrText>
            </w:r>
            <w:r w:rsidRPr="00AE02CD">
              <w:rPr>
                <w:rFonts w:eastAsia="宋体" w:hint="eastAsia"/>
                <w:noProof/>
                <w:webHidden/>
                <w:sz w:val="24"/>
                <w:szCs w:val="24"/>
              </w:rPr>
              <w:instrText xml:space="preserve"> </w:instrText>
            </w:r>
            <w:r w:rsidRPr="00AE02CD">
              <w:rPr>
                <w:rFonts w:eastAsia="宋体" w:hint="eastAsia"/>
                <w:noProof/>
                <w:webHidden/>
                <w:sz w:val="24"/>
                <w:szCs w:val="24"/>
              </w:rPr>
            </w:r>
            <w:r w:rsidRPr="00AE02CD">
              <w:rPr>
                <w:rFonts w:eastAsia="宋体" w:hint="eastAsia"/>
                <w:noProof/>
                <w:webHidden/>
                <w:sz w:val="24"/>
                <w:szCs w:val="24"/>
              </w:rPr>
              <w:fldChar w:fldCharType="separate"/>
            </w:r>
            <w:r w:rsidR="0039617E">
              <w:rPr>
                <w:rFonts w:eastAsia="宋体"/>
                <w:noProof/>
                <w:webHidden/>
                <w:sz w:val="24"/>
                <w:szCs w:val="24"/>
              </w:rPr>
              <w:t>4</w:t>
            </w:r>
            <w:r w:rsidRPr="00AE02CD">
              <w:rPr>
                <w:rFonts w:eastAsia="宋体" w:hint="eastAsia"/>
                <w:noProof/>
                <w:webHidden/>
                <w:sz w:val="24"/>
                <w:szCs w:val="24"/>
              </w:rPr>
              <w:fldChar w:fldCharType="end"/>
            </w:r>
          </w:hyperlink>
        </w:p>
        <w:p w14:paraId="6FC3825A" w14:textId="37B9BD70" w:rsidR="00AE02CD" w:rsidRPr="00AE02CD" w:rsidRDefault="00AE02CD" w:rsidP="00E419C7">
          <w:pPr>
            <w:pStyle w:val="TOC2"/>
            <w:tabs>
              <w:tab w:val="right" w:leader="dot" w:pos="8299"/>
            </w:tabs>
            <w:spacing w:line="360" w:lineRule="auto"/>
            <w:ind w:left="400"/>
            <w:rPr>
              <w:rFonts w:eastAsia="宋体" w:cstheme="minorBidi" w:hint="eastAsia"/>
              <w:noProof/>
              <w:sz w:val="24"/>
              <w:szCs w:val="24"/>
              <w14:ligatures w14:val="standardContextual"/>
            </w:rPr>
          </w:pPr>
          <w:hyperlink w:anchor="_Toc236992646" w:history="1">
            <w:r w:rsidRPr="00AE02CD">
              <w:rPr>
                <w:rStyle w:val="a5"/>
                <w:rFonts w:eastAsia="宋体" w:cs="宋体"/>
                <w:bCs/>
                <w:noProof/>
                <w:sz w:val="24"/>
                <w:szCs w:val="24"/>
              </w:rPr>
              <w:t xml:space="preserve">2.3 </w:t>
            </w:r>
            <w:r w:rsidRPr="00AE02CD">
              <w:rPr>
                <w:rStyle w:val="a5"/>
                <w:rFonts w:eastAsia="宋体" w:cs="宋体"/>
                <w:bCs/>
                <w:noProof/>
                <w:sz w:val="24"/>
                <w:szCs w:val="24"/>
              </w:rPr>
              <w:t>中游：核心部件、系统集成与工程交付</w:t>
            </w:r>
            <w:r w:rsidRPr="00AE02CD">
              <w:rPr>
                <w:rFonts w:eastAsia="宋体" w:hint="eastAsia"/>
                <w:noProof/>
                <w:webHidden/>
                <w:sz w:val="24"/>
                <w:szCs w:val="24"/>
              </w:rPr>
              <w:tab/>
            </w:r>
            <w:r w:rsidRPr="00AE02CD">
              <w:rPr>
                <w:rFonts w:eastAsia="宋体" w:hint="eastAsia"/>
                <w:noProof/>
                <w:webHidden/>
                <w:sz w:val="24"/>
                <w:szCs w:val="24"/>
              </w:rPr>
              <w:fldChar w:fldCharType="begin"/>
            </w:r>
            <w:r w:rsidRPr="00AE02CD">
              <w:rPr>
                <w:rFonts w:eastAsia="宋体" w:hint="eastAsia"/>
                <w:noProof/>
                <w:webHidden/>
                <w:sz w:val="24"/>
                <w:szCs w:val="24"/>
              </w:rPr>
              <w:instrText xml:space="preserve"> </w:instrText>
            </w:r>
            <w:r w:rsidRPr="00AE02CD">
              <w:rPr>
                <w:rFonts w:eastAsia="宋体"/>
                <w:noProof/>
                <w:webHidden/>
                <w:sz w:val="24"/>
                <w:szCs w:val="24"/>
              </w:rPr>
              <w:instrText>PAGEREF _Toc236992646 \h</w:instrText>
            </w:r>
            <w:r w:rsidRPr="00AE02CD">
              <w:rPr>
                <w:rFonts w:eastAsia="宋体" w:hint="eastAsia"/>
                <w:noProof/>
                <w:webHidden/>
                <w:sz w:val="24"/>
                <w:szCs w:val="24"/>
              </w:rPr>
              <w:instrText xml:space="preserve"> </w:instrText>
            </w:r>
            <w:r w:rsidRPr="00AE02CD">
              <w:rPr>
                <w:rFonts w:eastAsia="宋体" w:hint="eastAsia"/>
                <w:noProof/>
                <w:webHidden/>
                <w:sz w:val="24"/>
                <w:szCs w:val="24"/>
              </w:rPr>
            </w:r>
            <w:r w:rsidRPr="00AE02CD">
              <w:rPr>
                <w:rFonts w:eastAsia="宋体" w:hint="eastAsia"/>
                <w:noProof/>
                <w:webHidden/>
                <w:sz w:val="24"/>
                <w:szCs w:val="24"/>
              </w:rPr>
              <w:fldChar w:fldCharType="separate"/>
            </w:r>
            <w:r w:rsidR="0039617E">
              <w:rPr>
                <w:rFonts w:eastAsia="宋体"/>
                <w:noProof/>
                <w:webHidden/>
                <w:sz w:val="24"/>
                <w:szCs w:val="24"/>
              </w:rPr>
              <w:t>5</w:t>
            </w:r>
            <w:r w:rsidRPr="00AE02CD">
              <w:rPr>
                <w:rFonts w:eastAsia="宋体" w:hint="eastAsia"/>
                <w:noProof/>
                <w:webHidden/>
                <w:sz w:val="24"/>
                <w:szCs w:val="24"/>
              </w:rPr>
              <w:fldChar w:fldCharType="end"/>
            </w:r>
          </w:hyperlink>
        </w:p>
        <w:p w14:paraId="3A6CA344" w14:textId="3C52AE1E" w:rsidR="00AE02CD" w:rsidRPr="00AE02CD" w:rsidRDefault="00AE02CD" w:rsidP="00E419C7">
          <w:pPr>
            <w:pStyle w:val="TOC2"/>
            <w:tabs>
              <w:tab w:val="right" w:leader="dot" w:pos="8299"/>
            </w:tabs>
            <w:spacing w:line="360" w:lineRule="auto"/>
            <w:ind w:left="400"/>
            <w:rPr>
              <w:rFonts w:eastAsia="宋体" w:cstheme="minorBidi" w:hint="eastAsia"/>
              <w:noProof/>
              <w:sz w:val="24"/>
              <w:szCs w:val="24"/>
              <w14:ligatures w14:val="standardContextual"/>
            </w:rPr>
          </w:pPr>
          <w:hyperlink w:anchor="_Toc236992647" w:history="1">
            <w:r w:rsidRPr="00AE02CD">
              <w:rPr>
                <w:rStyle w:val="a5"/>
                <w:rFonts w:eastAsia="宋体" w:cs="宋体"/>
                <w:bCs/>
                <w:noProof/>
                <w:sz w:val="24"/>
                <w:szCs w:val="24"/>
              </w:rPr>
              <w:t xml:space="preserve">2.4 </w:t>
            </w:r>
            <w:r w:rsidRPr="00AE02CD">
              <w:rPr>
                <w:rStyle w:val="a5"/>
                <w:rFonts w:eastAsia="宋体" w:cs="宋体"/>
                <w:bCs/>
                <w:noProof/>
                <w:sz w:val="24"/>
                <w:szCs w:val="24"/>
              </w:rPr>
              <w:t>下游：项目应用、资产运营与全生命周期服务</w:t>
            </w:r>
            <w:r w:rsidRPr="00AE02CD">
              <w:rPr>
                <w:rFonts w:eastAsia="宋体" w:hint="eastAsia"/>
                <w:noProof/>
                <w:webHidden/>
                <w:sz w:val="24"/>
                <w:szCs w:val="24"/>
              </w:rPr>
              <w:tab/>
            </w:r>
            <w:r w:rsidRPr="00AE02CD">
              <w:rPr>
                <w:rFonts w:eastAsia="宋体" w:hint="eastAsia"/>
                <w:noProof/>
                <w:webHidden/>
                <w:sz w:val="24"/>
                <w:szCs w:val="24"/>
              </w:rPr>
              <w:fldChar w:fldCharType="begin"/>
            </w:r>
            <w:r w:rsidRPr="00AE02CD">
              <w:rPr>
                <w:rFonts w:eastAsia="宋体" w:hint="eastAsia"/>
                <w:noProof/>
                <w:webHidden/>
                <w:sz w:val="24"/>
                <w:szCs w:val="24"/>
              </w:rPr>
              <w:instrText xml:space="preserve"> </w:instrText>
            </w:r>
            <w:r w:rsidRPr="00AE02CD">
              <w:rPr>
                <w:rFonts w:eastAsia="宋体"/>
                <w:noProof/>
                <w:webHidden/>
                <w:sz w:val="24"/>
                <w:szCs w:val="24"/>
              </w:rPr>
              <w:instrText>PAGEREF _Toc236992647 \h</w:instrText>
            </w:r>
            <w:r w:rsidRPr="00AE02CD">
              <w:rPr>
                <w:rFonts w:eastAsia="宋体" w:hint="eastAsia"/>
                <w:noProof/>
                <w:webHidden/>
                <w:sz w:val="24"/>
                <w:szCs w:val="24"/>
              </w:rPr>
              <w:instrText xml:space="preserve"> </w:instrText>
            </w:r>
            <w:r w:rsidRPr="00AE02CD">
              <w:rPr>
                <w:rFonts w:eastAsia="宋体" w:hint="eastAsia"/>
                <w:noProof/>
                <w:webHidden/>
                <w:sz w:val="24"/>
                <w:szCs w:val="24"/>
              </w:rPr>
            </w:r>
            <w:r w:rsidRPr="00AE02CD">
              <w:rPr>
                <w:rFonts w:eastAsia="宋体" w:hint="eastAsia"/>
                <w:noProof/>
                <w:webHidden/>
                <w:sz w:val="24"/>
                <w:szCs w:val="24"/>
              </w:rPr>
              <w:fldChar w:fldCharType="separate"/>
            </w:r>
            <w:r w:rsidR="0039617E">
              <w:rPr>
                <w:rFonts w:eastAsia="宋体"/>
                <w:noProof/>
                <w:webHidden/>
                <w:sz w:val="24"/>
                <w:szCs w:val="24"/>
              </w:rPr>
              <w:t>5</w:t>
            </w:r>
            <w:r w:rsidRPr="00AE02CD">
              <w:rPr>
                <w:rFonts w:eastAsia="宋体" w:hint="eastAsia"/>
                <w:noProof/>
                <w:webHidden/>
                <w:sz w:val="24"/>
                <w:szCs w:val="24"/>
              </w:rPr>
              <w:fldChar w:fldCharType="end"/>
            </w:r>
          </w:hyperlink>
        </w:p>
        <w:p w14:paraId="74C0492F" w14:textId="3A62D74D" w:rsidR="00AE02CD" w:rsidRPr="00AE02CD" w:rsidRDefault="00AE02CD" w:rsidP="00E419C7">
          <w:pPr>
            <w:pStyle w:val="TOC1"/>
            <w:spacing w:line="360" w:lineRule="auto"/>
            <w:rPr>
              <w:rFonts w:cstheme="minorBidi" w:hint="eastAsia"/>
              <w:sz w:val="24"/>
              <w:szCs w:val="24"/>
              <w14:ligatures w14:val="standardContextual"/>
            </w:rPr>
          </w:pPr>
          <w:hyperlink w:anchor="_Toc236992648" w:history="1">
            <w:r w:rsidRPr="00AE02CD">
              <w:rPr>
                <w:rStyle w:val="a5"/>
                <w:bCs w:val="0"/>
                <w:sz w:val="24"/>
                <w:szCs w:val="24"/>
              </w:rPr>
              <w:t>三、国内储能市场发展现状及产业规模</w:t>
            </w:r>
            <w:r w:rsidRPr="00AE02CD">
              <w:rPr>
                <w:rFonts w:hint="eastAsia"/>
                <w:webHidden/>
                <w:sz w:val="24"/>
                <w:szCs w:val="24"/>
              </w:rPr>
              <w:tab/>
            </w:r>
            <w:r w:rsidRPr="00AE02CD">
              <w:rPr>
                <w:rFonts w:hint="eastAsia"/>
                <w:webHidden/>
                <w:sz w:val="24"/>
                <w:szCs w:val="24"/>
              </w:rPr>
              <w:fldChar w:fldCharType="begin"/>
            </w:r>
            <w:r w:rsidRPr="00AE02CD">
              <w:rPr>
                <w:rFonts w:hint="eastAsia"/>
                <w:webHidden/>
                <w:sz w:val="24"/>
                <w:szCs w:val="24"/>
              </w:rPr>
              <w:instrText xml:space="preserve"> </w:instrText>
            </w:r>
            <w:r w:rsidRPr="00AE02CD">
              <w:rPr>
                <w:webHidden/>
                <w:sz w:val="24"/>
                <w:szCs w:val="24"/>
              </w:rPr>
              <w:instrText>PAGEREF _Toc236992648 \h</w:instrText>
            </w:r>
            <w:r w:rsidRPr="00AE02CD">
              <w:rPr>
                <w:rFonts w:hint="eastAsia"/>
                <w:webHidden/>
                <w:sz w:val="24"/>
                <w:szCs w:val="24"/>
              </w:rPr>
              <w:instrText xml:space="preserve"> </w:instrText>
            </w:r>
            <w:r w:rsidRPr="00AE02CD">
              <w:rPr>
                <w:rFonts w:hint="eastAsia"/>
                <w:webHidden/>
                <w:sz w:val="24"/>
                <w:szCs w:val="24"/>
              </w:rPr>
            </w:r>
            <w:r w:rsidRPr="00AE02CD">
              <w:rPr>
                <w:rFonts w:hint="eastAsia"/>
                <w:webHidden/>
                <w:sz w:val="24"/>
                <w:szCs w:val="24"/>
              </w:rPr>
              <w:fldChar w:fldCharType="separate"/>
            </w:r>
            <w:r w:rsidR="0039617E">
              <w:rPr>
                <w:webHidden/>
                <w:sz w:val="24"/>
                <w:szCs w:val="24"/>
              </w:rPr>
              <w:t>7</w:t>
            </w:r>
            <w:r w:rsidRPr="00AE02CD">
              <w:rPr>
                <w:rFonts w:hint="eastAsia"/>
                <w:webHidden/>
                <w:sz w:val="24"/>
                <w:szCs w:val="24"/>
              </w:rPr>
              <w:fldChar w:fldCharType="end"/>
            </w:r>
          </w:hyperlink>
        </w:p>
        <w:p w14:paraId="0FC475FB" w14:textId="4B5A7FDF" w:rsidR="00AE02CD" w:rsidRPr="00AE02CD" w:rsidRDefault="00AE02CD" w:rsidP="00E419C7">
          <w:pPr>
            <w:pStyle w:val="TOC2"/>
            <w:tabs>
              <w:tab w:val="right" w:leader="dot" w:pos="8299"/>
            </w:tabs>
            <w:spacing w:line="360" w:lineRule="auto"/>
            <w:ind w:left="400"/>
            <w:rPr>
              <w:rFonts w:eastAsia="宋体" w:cstheme="minorBidi" w:hint="eastAsia"/>
              <w:noProof/>
              <w:sz w:val="24"/>
              <w:szCs w:val="24"/>
              <w14:ligatures w14:val="standardContextual"/>
            </w:rPr>
          </w:pPr>
          <w:hyperlink w:anchor="_Toc236992649" w:history="1">
            <w:r w:rsidRPr="00AE02CD">
              <w:rPr>
                <w:rStyle w:val="a5"/>
                <w:rFonts w:eastAsia="宋体" w:cs="宋体"/>
                <w:bCs/>
                <w:noProof/>
                <w:sz w:val="24"/>
                <w:szCs w:val="24"/>
              </w:rPr>
              <w:t xml:space="preserve">3.1 </w:t>
            </w:r>
            <w:r w:rsidRPr="00AE02CD">
              <w:rPr>
                <w:rStyle w:val="a5"/>
                <w:rFonts w:eastAsia="宋体" w:cs="宋体"/>
                <w:bCs/>
                <w:noProof/>
                <w:sz w:val="24"/>
                <w:szCs w:val="24"/>
              </w:rPr>
              <w:t>装机规模</w:t>
            </w:r>
            <w:r w:rsidRPr="00AE02CD">
              <w:rPr>
                <w:rFonts w:eastAsia="宋体" w:hint="eastAsia"/>
                <w:noProof/>
                <w:webHidden/>
                <w:sz w:val="24"/>
                <w:szCs w:val="24"/>
              </w:rPr>
              <w:tab/>
            </w:r>
            <w:r w:rsidRPr="00AE02CD">
              <w:rPr>
                <w:rFonts w:eastAsia="宋体" w:hint="eastAsia"/>
                <w:noProof/>
                <w:webHidden/>
                <w:sz w:val="24"/>
                <w:szCs w:val="24"/>
              </w:rPr>
              <w:fldChar w:fldCharType="begin"/>
            </w:r>
            <w:r w:rsidRPr="00AE02CD">
              <w:rPr>
                <w:rFonts w:eastAsia="宋体" w:hint="eastAsia"/>
                <w:noProof/>
                <w:webHidden/>
                <w:sz w:val="24"/>
                <w:szCs w:val="24"/>
              </w:rPr>
              <w:instrText xml:space="preserve"> </w:instrText>
            </w:r>
            <w:r w:rsidRPr="00AE02CD">
              <w:rPr>
                <w:rFonts w:eastAsia="宋体"/>
                <w:noProof/>
                <w:webHidden/>
                <w:sz w:val="24"/>
                <w:szCs w:val="24"/>
              </w:rPr>
              <w:instrText>PAGEREF _Toc236992649 \h</w:instrText>
            </w:r>
            <w:r w:rsidRPr="00AE02CD">
              <w:rPr>
                <w:rFonts w:eastAsia="宋体" w:hint="eastAsia"/>
                <w:noProof/>
                <w:webHidden/>
                <w:sz w:val="24"/>
                <w:szCs w:val="24"/>
              </w:rPr>
              <w:instrText xml:space="preserve"> </w:instrText>
            </w:r>
            <w:r w:rsidRPr="00AE02CD">
              <w:rPr>
                <w:rFonts w:eastAsia="宋体" w:hint="eastAsia"/>
                <w:noProof/>
                <w:webHidden/>
                <w:sz w:val="24"/>
                <w:szCs w:val="24"/>
              </w:rPr>
            </w:r>
            <w:r w:rsidRPr="00AE02CD">
              <w:rPr>
                <w:rFonts w:eastAsia="宋体" w:hint="eastAsia"/>
                <w:noProof/>
                <w:webHidden/>
                <w:sz w:val="24"/>
                <w:szCs w:val="24"/>
              </w:rPr>
              <w:fldChar w:fldCharType="separate"/>
            </w:r>
            <w:r w:rsidR="0039617E">
              <w:rPr>
                <w:rFonts w:eastAsia="宋体"/>
                <w:noProof/>
                <w:webHidden/>
                <w:sz w:val="24"/>
                <w:szCs w:val="24"/>
              </w:rPr>
              <w:t>7</w:t>
            </w:r>
            <w:r w:rsidRPr="00AE02CD">
              <w:rPr>
                <w:rFonts w:eastAsia="宋体" w:hint="eastAsia"/>
                <w:noProof/>
                <w:webHidden/>
                <w:sz w:val="24"/>
                <w:szCs w:val="24"/>
              </w:rPr>
              <w:fldChar w:fldCharType="end"/>
            </w:r>
          </w:hyperlink>
        </w:p>
        <w:p w14:paraId="7EEED2DB" w14:textId="15045AF0" w:rsidR="00AE02CD" w:rsidRPr="00AE02CD" w:rsidRDefault="00AE02CD" w:rsidP="00E419C7">
          <w:pPr>
            <w:pStyle w:val="TOC2"/>
            <w:tabs>
              <w:tab w:val="right" w:leader="dot" w:pos="8299"/>
            </w:tabs>
            <w:spacing w:line="360" w:lineRule="auto"/>
            <w:ind w:left="400"/>
            <w:rPr>
              <w:rFonts w:eastAsia="宋体" w:cstheme="minorBidi" w:hint="eastAsia"/>
              <w:noProof/>
              <w:sz w:val="24"/>
              <w:szCs w:val="24"/>
              <w14:ligatures w14:val="standardContextual"/>
            </w:rPr>
          </w:pPr>
          <w:hyperlink w:anchor="_Toc236992650" w:history="1">
            <w:r w:rsidRPr="00AE02CD">
              <w:rPr>
                <w:rStyle w:val="a5"/>
                <w:rFonts w:eastAsia="宋体" w:cs="宋体"/>
                <w:bCs/>
                <w:noProof/>
                <w:sz w:val="24"/>
                <w:szCs w:val="24"/>
              </w:rPr>
              <w:t xml:space="preserve">3.2 </w:t>
            </w:r>
            <w:r w:rsidRPr="00AE02CD">
              <w:rPr>
                <w:rStyle w:val="a5"/>
                <w:rFonts w:eastAsia="宋体" w:cs="宋体"/>
                <w:bCs/>
                <w:noProof/>
                <w:sz w:val="24"/>
                <w:szCs w:val="24"/>
              </w:rPr>
              <w:t>应用结构与区域分布</w:t>
            </w:r>
            <w:r w:rsidRPr="00AE02CD">
              <w:rPr>
                <w:rFonts w:eastAsia="宋体" w:hint="eastAsia"/>
                <w:noProof/>
                <w:webHidden/>
                <w:sz w:val="24"/>
                <w:szCs w:val="24"/>
              </w:rPr>
              <w:tab/>
            </w:r>
            <w:r w:rsidRPr="00AE02CD">
              <w:rPr>
                <w:rFonts w:eastAsia="宋体" w:hint="eastAsia"/>
                <w:noProof/>
                <w:webHidden/>
                <w:sz w:val="24"/>
                <w:szCs w:val="24"/>
              </w:rPr>
              <w:fldChar w:fldCharType="begin"/>
            </w:r>
            <w:r w:rsidRPr="00AE02CD">
              <w:rPr>
                <w:rFonts w:eastAsia="宋体" w:hint="eastAsia"/>
                <w:noProof/>
                <w:webHidden/>
                <w:sz w:val="24"/>
                <w:szCs w:val="24"/>
              </w:rPr>
              <w:instrText xml:space="preserve"> </w:instrText>
            </w:r>
            <w:r w:rsidRPr="00AE02CD">
              <w:rPr>
                <w:rFonts w:eastAsia="宋体"/>
                <w:noProof/>
                <w:webHidden/>
                <w:sz w:val="24"/>
                <w:szCs w:val="24"/>
              </w:rPr>
              <w:instrText>PAGEREF _Toc236992650 \h</w:instrText>
            </w:r>
            <w:r w:rsidRPr="00AE02CD">
              <w:rPr>
                <w:rFonts w:eastAsia="宋体" w:hint="eastAsia"/>
                <w:noProof/>
                <w:webHidden/>
                <w:sz w:val="24"/>
                <w:szCs w:val="24"/>
              </w:rPr>
              <w:instrText xml:space="preserve"> </w:instrText>
            </w:r>
            <w:r w:rsidRPr="00AE02CD">
              <w:rPr>
                <w:rFonts w:eastAsia="宋体" w:hint="eastAsia"/>
                <w:noProof/>
                <w:webHidden/>
                <w:sz w:val="24"/>
                <w:szCs w:val="24"/>
              </w:rPr>
            </w:r>
            <w:r w:rsidRPr="00AE02CD">
              <w:rPr>
                <w:rFonts w:eastAsia="宋体" w:hint="eastAsia"/>
                <w:noProof/>
                <w:webHidden/>
                <w:sz w:val="24"/>
                <w:szCs w:val="24"/>
              </w:rPr>
              <w:fldChar w:fldCharType="separate"/>
            </w:r>
            <w:r w:rsidR="0039617E">
              <w:rPr>
                <w:rFonts w:eastAsia="宋体"/>
                <w:noProof/>
                <w:webHidden/>
                <w:sz w:val="24"/>
                <w:szCs w:val="24"/>
              </w:rPr>
              <w:t>8</w:t>
            </w:r>
            <w:r w:rsidRPr="00AE02CD">
              <w:rPr>
                <w:rFonts w:eastAsia="宋体" w:hint="eastAsia"/>
                <w:noProof/>
                <w:webHidden/>
                <w:sz w:val="24"/>
                <w:szCs w:val="24"/>
              </w:rPr>
              <w:fldChar w:fldCharType="end"/>
            </w:r>
          </w:hyperlink>
        </w:p>
        <w:p w14:paraId="2B1C1000" w14:textId="1356E723" w:rsidR="00AE02CD" w:rsidRPr="00AE02CD" w:rsidRDefault="00AE02CD" w:rsidP="00E419C7">
          <w:pPr>
            <w:pStyle w:val="TOC2"/>
            <w:tabs>
              <w:tab w:val="right" w:leader="dot" w:pos="8299"/>
            </w:tabs>
            <w:spacing w:line="360" w:lineRule="auto"/>
            <w:ind w:left="400"/>
            <w:rPr>
              <w:rFonts w:eastAsia="宋体" w:cstheme="minorBidi" w:hint="eastAsia"/>
              <w:noProof/>
              <w:sz w:val="24"/>
              <w:szCs w:val="24"/>
              <w14:ligatures w14:val="standardContextual"/>
            </w:rPr>
          </w:pPr>
          <w:hyperlink w:anchor="_Toc236992651" w:history="1">
            <w:r w:rsidRPr="00AE02CD">
              <w:rPr>
                <w:rStyle w:val="a5"/>
                <w:rFonts w:eastAsia="宋体" w:cs="宋体"/>
                <w:bCs/>
                <w:noProof/>
                <w:sz w:val="24"/>
                <w:szCs w:val="24"/>
              </w:rPr>
              <w:t xml:space="preserve">3.3 </w:t>
            </w:r>
            <w:r w:rsidRPr="00AE02CD">
              <w:rPr>
                <w:rStyle w:val="a5"/>
                <w:rFonts w:eastAsia="宋体" w:cs="宋体"/>
                <w:bCs/>
                <w:noProof/>
                <w:sz w:val="24"/>
                <w:szCs w:val="24"/>
              </w:rPr>
              <w:t>利用小时与调用水平</w:t>
            </w:r>
            <w:r w:rsidRPr="00AE02CD">
              <w:rPr>
                <w:rFonts w:eastAsia="宋体" w:hint="eastAsia"/>
                <w:noProof/>
                <w:webHidden/>
                <w:sz w:val="24"/>
                <w:szCs w:val="24"/>
              </w:rPr>
              <w:tab/>
            </w:r>
            <w:r w:rsidRPr="00AE02CD">
              <w:rPr>
                <w:rFonts w:eastAsia="宋体" w:hint="eastAsia"/>
                <w:noProof/>
                <w:webHidden/>
                <w:sz w:val="24"/>
                <w:szCs w:val="24"/>
              </w:rPr>
              <w:fldChar w:fldCharType="begin"/>
            </w:r>
            <w:r w:rsidRPr="00AE02CD">
              <w:rPr>
                <w:rFonts w:eastAsia="宋体" w:hint="eastAsia"/>
                <w:noProof/>
                <w:webHidden/>
                <w:sz w:val="24"/>
                <w:szCs w:val="24"/>
              </w:rPr>
              <w:instrText xml:space="preserve"> </w:instrText>
            </w:r>
            <w:r w:rsidRPr="00AE02CD">
              <w:rPr>
                <w:rFonts w:eastAsia="宋体"/>
                <w:noProof/>
                <w:webHidden/>
                <w:sz w:val="24"/>
                <w:szCs w:val="24"/>
              </w:rPr>
              <w:instrText>PAGEREF _Toc236992651 \h</w:instrText>
            </w:r>
            <w:r w:rsidRPr="00AE02CD">
              <w:rPr>
                <w:rFonts w:eastAsia="宋体" w:hint="eastAsia"/>
                <w:noProof/>
                <w:webHidden/>
                <w:sz w:val="24"/>
                <w:szCs w:val="24"/>
              </w:rPr>
              <w:instrText xml:space="preserve"> </w:instrText>
            </w:r>
            <w:r w:rsidRPr="00AE02CD">
              <w:rPr>
                <w:rFonts w:eastAsia="宋体" w:hint="eastAsia"/>
                <w:noProof/>
                <w:webHidden/>
                <w:sz w:val="24"/>
                <w:szCs w:val="24"/>
              </w:rPr>
            </w:r>
            <w:r w:rsidRPr="00AE02CD">
              <w:rPr>
                <w:rFonts w:eastAsia="宋体" w:hint="eastAsia"/>
                <w:noProof/>
                <w:webHidden/>
                <w:sz w:val="24"/>
                <w:szCs w:val="24"/>
              </w:rPr>
              <w:fldChar w:fldCharType="separate"/>
            </w:r>
            <w:r w:rsidR="0039617E">
              <w:rPr>
                <w:rFonts w:eastAsia="宋体"/>
                <w:noProof/>
                <w:webHidden/>
                <w:sz w:val="24"/>
                <w:szCs w:val="24"/>
              </w:rPr>
              <w:t>8</w:t>
            </w:r>
            <w:r w:rsidRPr="00AE02CD">
              <w:rPr>
                <w:rFonts w:eastAsia="宋体" w:hint="eastAsia"/>
                <w:noProof/>
                <w:webHidden/>
                <w:sz w:val="24"/>
                <w:szCs w:val="24"/>
              </w:rPr>
              <w:fldChar w:fldCharType="end"/>
            </w:r>
          </w:hyperlink>
        </w:p>
        <w:p w14:paraId="6E9E8DF7" w14:textId="4DE65478" w:rsidR="00AE02CD" w:rsidRPr="00AE02CD" w:rsidRDefault="00AE02CD" w:rsidP="00E419C7">
          <w:pPr>
            <w:pStyle w:val="TOC2"/>
            <w:tabs>
              <w:tab w:val="right" w:leader="dot" w:pos="8299"/>
            </w:tabs>
            <w:spacing w:line="360" w:lineRule="auto"/>
            <w:ind w:left="400"/>
            <w:rPr>
              <w:rFonts w:eastAsia="宋体" w:cstheme="minorBidi" w:hint="eastAsia"/>
              <w:noProof/>
              <w:sz w:val="24"/>
              <w:szCs w:val="24"/>
              <w14:ligatures w14:val="standardContextual"/>
            </w:rPr>
          </w:pPr>
          <w:hyperlink w:anchor="_Toc236992652" w:history="1">
            <w:r w:rsidRPr="00AE02CD">
              <w:rPr>
                <w:rStyle w:val="a5"/>
                <w:rFonts w:eastAsia="宋体" w:cs="宋体"/>
                <w:bCs/>
                <w:noProof/>
                <w:sz w:val="24"/>
                <w:szCs w:val="24"/>
              </w:rPr>
              <w:t xml:space="preserve">3.4 </w:t>
            </w:r>
            <w:r w:rsidRPr="00AE02CD">
              <w:rPr>
                <w:rStyle w:val="a5"/>
                <w:rFonts w:eastAsia="宋体" w:cs="宋体"/>
                <w:bCs/>
                <w:noProof/>
                <w:sz w:val="24"/>
                <w:szCs w:val="24"/>
              </w:rPr>
              <w:t>相关政策</w:t>
            </w:r>
            <w:r w:rsidRPr="00AE02CD">
              <w:rPr>
                <w:rFonts w:eastAsia="宋体" w:hint="eastAsia"/>
                <w:noProof/>
                <w:webHidden/>
                <w:sz w:val="24"/>
                <w:szCs w:val="24"/>
              </w:rPr>
              <w:tab/>
            </w:r>
            <w:r w:rsidRPr="00AE02CD">
              <w:rPr>
                <w:rFonts w:eastAsia="宋体" w:hint="eastAsia"/>
                <w:noProof/>
                <w:webHidden/>
                <w:sz w:val="24"/>
                <w:szCs w:val="24"/>
              </w:rPr>
              <w:fldChar w:fldCharType="begin"/>
            </w:r>
            <w:r w:rsidRPr="00AE02CD">
              <w:rPr>
                <w:rFonts w:eastAsia="宋体" w:hint="eastAsia"/>
                <w:noProof/>
                <w:webHidden/>
                <w:sz w:val="24"/>
                <w:szCs w:val="24"/>
              </w:rPr>
              <w:instrText xml:space="preserve"> </w:instrText>
            </w:r>
            <w:r w:rsidRPr="00AE02CD">
              <w:rPr>
                <w:rFonts w:eastAsia="宋体"/>
                <w:noProof/>
                <w:webHidden/>
                <w:sz w:val="24"/>
                <w:szCs w:val="24"/>
              </w:rPr>
              <w:instrText>PAGEREF _Toc236992652 \h</w:instrText>
            </w:r>
            <w:r w:rsidRPr="00AE02CD">
              <w:rPr>
                <w:rFonts w:eastAsia="宋体" w:hint="eastAsia"/>
                <w:noProof/>
                <w:webHidden/>
                <w:sz w:val="24"/>
                <w:szCs w:val="24"/>
              </w:rPr>
              <w:instrText xml:space="preserve"> </w:instrText>
            </w:r>
            <w:r w:rsidRPr="00AE02CD">
              <w:rPr>
                <w:rFonts w:eastAsia="宋体" w:hint="eastAsia"/>
                <w:noProof/>
                <w:webHidden/>
                <w:sz w:val="24"/>
                <w:szCs w:val="24"/>
              </w:rPr>
            </w:r>
            <w:r w:rsidRPr="00AE02CD">
              <w:rPr>
                <w:rFonts w:eastAsia="宋体" w:hint="eastAsia"/>
                <w:noProof/>
                <w:webHidden/>
                <w:sz w:val="24"/>
                <w:szCs w:val="24"/>
              </w:rPr>
              <w:fldChar w:fldCharType="separate"/>
            </w:r>
            <w:r w:rsidR="0039617E">
              <w:rPr>
                <w:rFonts w:eastAsia="宋体"/>
                <w:noProof/>
                <w:webHidden/>
                <w:sz w:val="24"/>
                <w:szCs w:val="24"/>
              </w:rPr>
              <w:t>9</w:t>
            </w:r>
            <w:r w:rsidRPr="00AE02CD">
              <w:rPr>
                <w:rFonts w:eastAsia="宋体" w:hint="eastAsia"/>
                <w:noProof/>
                <w:webHidden/>
                <w:sz w:val="24"/>
                <w:szCs w:val="24"/>
              </w:rPr>
              <w:fldChar w:fldCharType="end"/>
            </w:r>
          </w:hyperlink>
        </w:p>
        <w:p w14:paraId="53B91EE3" w14:textId="6B2C8499" w:rsidR="00AE02CD" w:rsidRPr="00AE02CD" w:rsidRDefault="00AE02CD" w:rsidP="00E419C7">
          <w:pPr>
            <w:pStyle w:val="TOC2"/>
            <w:tabs>
              <w:tab w:val="right" w:leader="dot" w:pos="8299"/>
            </w:tabs>
            <w:spacing w:line="360" w:lineRule="auto"/>
            <w:ind w:left="400"/>
            <w:rPr>
              <w:rFonts w:eastAsia="宋体" w:cstheme="minorBidi" w:hint="eastAsia"/>
              <w:noProof/>
              <w:sz w:val="24"/>
              <w:szCs w:val="24"/>
              <w14:ligatures w14:val="standardContextual"/>
            </w:rPr>
          </w:pPr>
          <w:hyperlink w:anchor="_Toc236992653" w:history="1">
            <w:r w:rsidRPr="00AE02CD">
              <w:rPr>
                <w:rStyle w:val="a5"/>
                <w:rFonts w:eastAsia="宋体" w:cs="宋体"/>
                <w:bCs/>
                <w:noProof/>
                <w:sz w:val="24"/>
                <w:szCs w:val="24"/>
              </w:rPr>
              <w:t xml:space="preserve">3.5 </w:t>
            </w:r>
            <w:r w:rsidRPr="00AE02CD">
              <w:rPr>
                <w:rStyle w:val="a5"/>
                <w:rFonts w:eastAsia="宋体" w:cs="宋体"/>
                <w:bCs/>
                <w:noProof/>
                <w:sz w:val="24"/>
                <w:szCs w:val="24"/>
              </w:rPr>
              <w:t>国内储能采购趋势</w:t>
            </w:r>
            <w:r w:rsidRPr="00AE02CD">
              <w:rPr>
                <w:rFonts w:eastAsia="宋体" w:hint="eastAsia"/>
                <w:noProof/>
                <w:webHidden/>
                <w:sz w:val="24"/>
                <w:szCs w:val="24"/>
              </w:rPr>
              <w:tab/>
            </w:r>
            <w:r w:rsidRPr="00AE02CD">
              <w:rPr>
                <w:rFonts w:eastAsia="宋体" w:hint="eastAsia"/>
                <w:noProof/>
                <w:webHidden/>
                <w:sz w:val="24"/>
                <w:szCs w:val="24"/>
              </w:rPr>
              <w:fldChar w:fldCharType="begin"/>
            </w:r>
            <w:r w:rsidRPr="00AE02CD">
              <w:rPr>
                <w:rFonts w:eastAsia="宋体" w:hint="eastAsia"/>
                <w:noProof/>
                <w:webHidden/>
                <w:sz w:val="24"/>
                <w:szCs w:val="24"/>
              </w:rPr>
              <w:instrText xml:space="preserve"> </w:instrText>
            </w:r>
            <w:r w:rsidRPr="00AE02CD">
              <w:rPr>
                <w:rFonts w:eastAsia="宋体"/>
                <w:noProof/>
                <w:webHidden/>
                <w:sz w:val="24"/>
                <w:szCs w:val="24"/>
              </w:rPr>
              <w:instrText>PAGEREF _Toc236992653 \h</w:instrText>
            </w:r>
            <w:r w:rsidRPr="00AE02CD">
              <w:rPr>
                <w:rFonts w:eastAsia="宋体" w:hint="eastAsia"/>
                <w:noProof/>
                <w:webHidden/>
                <w:sz w:val="24"/>
                <w:szCs w:val="24"/>
              </w:rPr>
              <w:instrText xml:space="preserve"> </w:instrText>
            </w:r>
            <w:r w:rsidRPr="00AE02CD">
              <w:rPr>
                <w:rFonts w:eastAsia="宋体" w:hint="eastAsia"/>
                <w:noProof/>
                <w:webHidden/>
                <w:sz w:val="24"/>
                <w:szCs w:val="24"/>
              </w:rPr>
            </w:r>
            <w:r w:rsidRPr="00AE02CD">
              <w:rPr>
                <w:rFonts w:eastAsia="宋体" w:hint="eastAsia"/>
                <w:noProof/>
                <w:webHidden/>
                <w:sz w:val="24"/>
                <w:szCs w:val="24"/>
              </w:rPr>
              <w:fldChar w:fldCharType="separate"/>
            </w:r>
            <w:r w:rsidR="0039617E">
              <w:rPr>
                <w:rFonts w:eastAsia="宋体"/>
                <w:noProof/>
                <w:webHidden/>
                <w:sz w:val="24"/>
                <w:szCs w:val="24"/>
              </w:rPr>
              <w:t>9</w:t>
            </w:r>
            <w:r w:rsidRPr="00AE02CD">
              <w:rPr>
                <w:rFonts w:eastAsia="宋体" w:hint="eastAsia"/>
                <w:noProof/>
                <w:webHidden/>
                <w:sz w:val="24"/>
                <w:szCs w:val="24"/>
              </w:rPr>
              <w:fldChar w:fldCharType="end"/>
            </w:r>
          </w:hyperlink>
        </w:p>
        <w:p w14:paraId="7FE2C281" w14:textId="47FC59BD" w:rsidR="00AE02CD" w:rsidRPr="00AE02CD" w:rsidRDefault="00AE02CD" w:rsidP="00E419C7">
          <w:pPr>
            <w:pStyle w:val="TOC1"/>
            <w:spacing w:line="360" w:lineRule="auto"/>
            <w:rPr>
              <w:rFonts w:cstheme="minorBidi" w:hint="eastAsia"/>
              <w:sz w:val="24"/>
              <w:szCs w:val="24"/>
              <w14:ligatures w14:val="standardContextual"/>
            </w:rPr>
          </w:pPr>
          <w:hyperlink w:anchor="_Toc236992654" w:history="1">
            <w:r w:rsidRPr="00AE02CD">
              <w:rPr>
                <w:rStyle w:val="a5"/>
                <w:bCs w:val="0"/>
                <w:sz w:val="24"/>
                <w:szCs w:val="24"/>
              </w:rPr>
              <w:t>四、行业格局、发展趋势及产业机会</w:t>
            </w:r>
            <w:r w:rsidRPr="00AE02CD">
              <w:rPr>
                <w:rFonts w:hint="eastAsia"/>
                <w:webHidden/>
                <w:sz w:val="24"/>
                <w:szCs w:val="24"/>
              </w:rPr>
              <w:tab/>
            </w:r>
            <w:r w:rsidRPr="00AE02CD">
              <w:rPr>
                <w:rFonts w:hint="eastAsia"/>
                <w:webHidden/>
                <w:sz w:val="24"/>
                <w:szCs w:val="24"/>
              </w:rPr>
              <w:fldChar w:fldCharType="begin"/>
            </w:r>
            <w:r w:rsidRPr="00AE02CD">
              <w:rPr>
                <w:rFonts w:hint="eastAsia"/>
                <w:webHidden/>
                <w:sz w:val="24"/>
                <w:szCs w:val="24"/>
              </w:rPr>
              <w:instrText xml:space="preserve"> </w:instrText>
            </w:r>
            <w:r w:rsidRPr="00AE02CD">
              <w:rPr>
                <w:webHidden/>
                <w:sz w:val="24"/>
                <w:szCs w:val="24"/>
              </w:rPr>
              <w:instrText>PAGEREF _Toc236992654 \h</w:instrText>
            </w:r>
            <w:r w:rsidRPr="00AE02CD">
              <w:rPr>
                <w:rFonts w:hint="eastAsia"/>
                <w:webHidden/>
                <w:sz w:val="24"/>
                <w:szCs w:val="24"/>
              </w:rPr>
              <w:instrText xml:space="preserve"> </w:instrText>
            </w:r>
            <w:r w:rsidRPr="00AE02CD">
              <w:rPr>
                <w:rFonts w:hint="eastAsia"/>
                <w:webHidden/>
                <w:sz w:val="24"/>
                <w:szCs w:val="24"/>
              </w:rPr>
            </w:r>
            <w:r w:rsidRPr="00AE02CD">
              <w:rPr>
                <w:rFonts w:hint="eastAsia"/>
                <w:webHidden/>
                <w:sz w:val="24"/>
                <w:szCs w:val="24"/>
              </w:rPr>
              <w:fldChar w:fldCharType="separate"/>
            </w:r>
            <w:r w:rsidR="0039617E">
              <w:rPr>
                <w:webHidden/>
                <w:sz w:val="24"/>
                <w:szCs w:val="24"/>
              </w:rPr>
              <w:t>10</w:t>
            </w:r>
            <w:r w:rsidRPr="00AE02CD">
              <w:rPr>
                <w:rFonts w:hint="eastAsia"/>
                <w:webHidden/>
                <w:sz w:val="24"/>
                <w:szCs w:val="24"/>
              </w:rPr>
              <w:fldChar w:fldCharType="end"/>
            </w:r>
          </w:hyperlink>
        </w:p>
        <w:p w14:paraId="394CB91D" w14:textId="4DB0917A" w:rsidR="00AE02CD" w:rsidRPr="00AE02CD" w:rsidRDefault="00AE02CD" w:rsidP="00E419C7">
          <w:pPr>
            <w:pStyle w:val="TOC2"/>
            <w:tabs>
              <w:tab w:val="right" w:leader="dot" w:pos="8299"/>
            </w:tabs>
            <w:spacing w:line="360" w:lineRule="auto"/>
            <w:ind w:left="400"/>
            <w:rPr>
              <w:rFonts w:eastAsia="宋体" w:cstheme="minorBidi" w:hint="eastAsia"/>
              <w:noProof/>
              <w:sz w:val="24"/>
              <w:szCs w:val="24"/>
              <w14:ligatures w14:val="standardContextual"/>
            </w:rPr>
          </w:pPr>
          <w:hyperlink w:anchor="_Toc236992655" w:history="1">
            <w:r w:rsidRPr="00AE02CD">
              <w:rPr>
                <w:rStyle w:val="a5"/>
                <w:rFonts w:eastAsia="宋体" w:cs="宋体"/>
                <w:bCs/>
                <w:noProof/>
                <w:sz w:val="24"/>
                <w:szCs w:val="24"/>
              </w:rPr>
              <w:t xml:space="preserve">4.1 </w:t>
            </w:r>
            <w:r w:rsidRPr="00AE02CD">
              <w:rPr>
                <w:rStyle w:val="a5"/>
                <w:rFonts w:eastAsia="宋体" w:cs="宋体"/>
                <w:bCs/>
                <w:noProof/>
                <w:sz w:val="24"/>
                <w:szCs w:val="24"/>
              </w:rPr>
              <w:t>全球储能电池格局</w:t>
            </w:r>
            <w:r w:rsidRPr="00AE02CD">
              <w:rPr>
                <w:rFonts w:eastAsia="宋体" w:hint="eastAsia"/>
                <w:noProof/>
                <w:webHidden/>
                <w:sz w:val="24"/>
                <w:szCs w:val="24"/>
              </w:rPr>
              <w:tab/>
            </w:r>
            <w:r w:rsidRPr="00AE02CD">
              <w:rPr>
                <w:rFonts w:eastAsia="宋体" w:hint="eastAsia"/>
                <w:noProof/>
                <w:webHidden/>
                <w:sz w:val="24"/>
                <w:szCs w:val="24"/>
              </w:rPr>
              <w:fldChar w:fldCharType="begin"/>
            </w:r>
            <w:r w:rsidRPr="00AE02CD">
              <w:rPr>
                <w:rFonts w:eastAsia="宋体" w:hint="eastAsia"/>
                <w:noProof/>
                <w:webHidden/>
                <w:sz w:val="24"/>
                <w:szCs w:val="24"/>
              </w:rPr>
              <w:instrText xml:space="preserve"> </w:instrText>
            </w:r>
            <w:r w:rsidRPr="00AE02CD">
              <w:rPr>
                <w:rFonts w:eastAsia="宋体"/>
                <w:noProof/>
                <w:webHidden/>
                <w:sz w:val="24"/>
                <w:szCs w:val="24"/>
              </w:rPr>
              <w:instrText>PAGEREF _Toc236992655 \h</w:instrText>
            </w:r>
            <w:r w:rsidRPr="00AE02CD">
              <w:rPr>
                <w:rFonts w:eastAsia="宋体" w:hint="eastAsia"/>
                <w:noProof/>
                <w:webHidden/>
                <w:sz w:val="24"/>
                <w:szCs w:val="24"/>
              </w:rPr>
              <w:instrText xml:space="preserve"> </w:instrText>
            </w:r>
            <w:r w:rsidRPr="00AE02CD">
              <w:rPr>
                <w:rFonts w:eastAsia="宋体" w:hint="eastAsia"/>
                <w:noProof/>
                <w:webHidden/>
                <w:sz w:val="24"/>
                <w:szCs w:val="24"/>
              </w:rPr>
            </w:r>
            <w:r w:rsidRPr="00AE02CD">
              <w:rPr>
                <w:rFonts w:eastAsia="宋体" w:hint="eastAsia"/>
                <w:noProof/>
                <w:webHidden/>
                <w:sz w:val="24"/>
                <w:szCs w:val="24"/>
              </w:rPr>
              <w:fldChar w:fldCharType="separate"/>
            </w:r>
            <w:r w:rsidR="0039617E">
              <w:rPr>
                <w:rFonts w:eastAsia="宋体"/>
                <w:noProof/>
                <w:webHidden/>
                <w:sz w:val="24"/>
                <w:szCs w:val="24"/>
              </w:rPr>
              <w:t>10</w:t>
            </w:r>
            <w:r w:rsidRPr="00AE02CD">
              <w:rPr>
                <w:rFonts w:eastAsia="宋体" w:hint="eastAsia"/>
                <w:noProof/>
                <w:webHidden/>
                <w:sz w:val="24"/>
                <w:szCs w:val="24"/>
              </w:rPr>
              <w:fldChar w:fldCharType="end"/>
            </w:r>
          </w:hyperlink>
        </w:p>
        <w:p w14:paraId="4F6656E4" w14:textId="1D459345" w:rsidR="00AE02CD" w:rsidRPr="00AE02CD" w:rsidRDefault="00AE02CD" w:rsidP="00E419C7">
          <w:pPr>
            <w:pStyle w:val="TOC2"/>
            <w:tabs>
              <w:tab w:val="right" w:leader="dot" w:pos="8299"/>
            </w:tabs>
            <w:spacing w:line="360" w:lineRule="auto"/>
            <w:ind w:left="400"/>
            <w:rPr>
              <w:rFonts w:eastAsia="宋体" w:cstheme="minorBidi" w:hint="eastAsia"/>
              <w:noProof/>
              <w:sz w:val="24"/>
              <w:szCs w:val="24"/>
              <w14:ligatures w14:val="standardContextual"/>
            </w:rPr>
          </w:pPr>
          <w:hyperlink w:anchor="_Toc236992656" w:history="1">
            <w:r w:rsidRPr="00AE02CD">
              <w:rPr>
                <w:rStyle w:val="a5"/>
                <w:rFonts w:eastAsia="宋体" w:cs="宋体"/>
                <w:bCs/>
                <w:noProof/>
                <w:sz w:val="24"/>
                <w:szCs w:val="24"/>
              </w:rPr>
              <w:t xml:space="preserve">4.2 </w:t>
            </w:r>
            <w:r w:rsidRPr="00AE02CD">
              <w:rPr>
                <w:rStyle w:val="a5"/>
                <w:rFonts w:eastAsia="宋体" w:cs="宋体"/>
                <w:bCs/>
                <w:noProof/>
                <w:sz w:val="24"/>
                <w:szCs w:val="24"/>
              </w:rPr>
              <w:t>成本曲线的阶段性变化</w:t>
            </w:r>
            <w:r w:rsidRPr="00AE02CD">
              <w:rPr>
                <w:rFonts w:eastAsia="宋体" w:hint="eastAsia"/>
                <w:noProof/>
                <w:webHidden/>
                <w:sz w:val="24"/>
                <w:szCs w:val="24"/>
              </w:rPr>
              <w:tab/>
            </w:r>
            <w:r w:rsidRPr="00AE02CD">
              <w:rPr>
                <w:rFonts w:eastAsia="宋体" w:hint="eastAsia"/>
                <w:noProof/>
                <w:webHidden/>
                <w:sz w:val="24"/>
                <w:szCs w:val="24"/>
              </w:rPr>
              <w:fldChar w:fldCharType="begin"/>
            </w:r>
            <w:r w:rsidRPr="00AE02CD">
              <w:rPr>
                <w:rFonts w:eastAsia="宋体" w:hint="eastAsia"/>
                <w:noProof/>
                <w:webHidden/>
                <w:sz w:val="24"/>
                <w:szCs w:val="24"/>
              </w:rPr>
              <w:instrText xml:space="preserve"> </w:instrText>
            </w:r>
            <w:r w:rsidRPr="00AE02CD">
              <w:rPr>
                <w:rFonts w:eastAsia="宋体"/>
                <w:noProof/>
                <w:webHidden/>
                <w:sz w:val="24"/>
                <w:szCs w:val="24"/>
              </w:rPr>
              <w:instrText>PAGEREF _Toc236992656 \h</w:instrText>
            </w:r>
            <w:r w:rsidRPr="00AE02CD">
              <w:rPr>
                <w:rFonts w:eastAsia="宋体" w:hint="eastAsia"/>
                <w:noProof/>
                <w:webHidden/>
                <w:sz w:val="24"/>
                <w:szCs w:val="24"/>
              </w:rPr>
              <w:instrText xml:space="preserve"> </w:instrText>
            </w:r>
            <w:r w:rsidRPr="00AE02CD">
              <w:rPr>
                <w:rFonts w:eastAsia="宋体" w:hint="eastAsia"/>
                <w:noProof/>
                <w:webHidden/>
                <w:sz w:val="24"/>
                <w:szCs w:val="24"/>
              </w:rPr>
            </w:r>
            <w:r w:rsidRPr="00AE02CD">
              <w:rPr>
                <w:rFonts w:eastAsia="宋体" w:hint="eastAsia"/>
                <w:noProof/>
                <w:webHidden/>
                <w:sz w:val="24"/>
                <w:szCs w:val="24"/>
              </w:rPr>
              <w:fldChar w:fldCharType="separate"/>
            </w:r>
            <w:r w:rsidR="0039617E">
              <w:rPr>
                <w:rFonts w:eastAsia="宋体"/>
                <w:noProof/>
                <w:webHidden/>
                <w:sz w:val="24"/>
                <w:szCs w:val="24"/>
              </w:rPr>
              <w:t>10</w:t>
            </w:r>
            <w:r w:rsidRPr="00AE02CD">
              <w:rPr>
                <w:rFonts w:eastAsia="宋体" w:hint="eastAsia"/>
                <w:noProof/>
                <w:webHidden/>
                <w:sz w:val="24"/>
                <w:szCs w:val="24"/>
              </w:rPr>
              <w:fldChar w:fldCharType="end"/>
            </w:r>
          </w:hyperlink>
        </w:p>
        <w:p w14:paraId="24203C00" w14:textId="6465D031" w:rsidR="00AE02CD" w:rsidRPr="00AE02CD" w:rsidRDefault="00AE02CD" w:rsidP="00E419C7">
          <w:pPr>
            <w:pStyle w:val="TOC2"/>
            <w:tabs>
              <w:tab w:val="right" w:leader="dot" w:pos="8299"/>
            </w:tabs>
            <w:spacing w:line="360" w:lineRule="auto"/>
            <w:ind w:left="400"/>
            <w:rPr>
              <w:rFonts w:eastAsia="宋体" w:cstheme="minorBidi" w:hint="eastAsia"/>
              <w:noProof/>
              <w:sz w:val="24"/>
              <w:szCs w:val="24"/>
              <w14:ligatures w14:val="standardContextual"/>
            </w:rPr>
          </w:pPr>
          <w:hyperlink w:anchor="_Toc236992657" w:history="1">
            <w:r w:rsidRPr="00AE02CD">
              <w:rPr>
                <w:rStyle w:val="a5"/>
                <w:rFonts w:eastAsia="宋体" w:cs="宋体"/>
                <w:bCs/>
                <w:noProof/>
                <w:sz w:val="24"/>
                <w:szCs w:val="24"/>
              </w:rPr>
              <w:t xml:space="preserve">4.3 </w:t>
            </w:r>
            <w:r w:rsidRPr="00AE02CD">
              <w:rPr>
                <w:rStyle w:val="a5"/>
                <w:rFonts w:eastAsia="宋体" w:cs="宋体"/>
                <w:bCs/>
                <w:noProof/>
                <w:sz w:val="24"/>
                <w:szCs w:val="24"/>
              </w:rPr>
              <w:t>产业链价值迁移与业务机会</w:t>
            </w:r>
            <w:r w:rsidRPr="00AE02CD">
              <w:rPr>
                <w:rFonts w:eastAsia="宋体" w:hint="eastAsia"/>
                <w:noProof/>
                <w:webHidden/>
                <w:sz w:val="24"/>
                <w:szCs w:val="24"/>
              </w:rPr>
              <w:tab/>
            </w:r>
            <w:r w:rsidRPr="00AE02CD">
              <w:rPr>
                <w:rFonts w:eastAsia="宋体" w:hint="eastAsia"/>
                <w:noProof/>
                <w:webHidden/>
                <w:sz w:val="24"/>
                <w:szCs w:val="24"/>
              </w:rPr>
              <w:fldChar w:fldCharType="begin"/>
            </w:r>
            <w:r w:rsidRPr="00AE02CD">
              <w:rPr>
                <w:rFonts w:eastAsia="宋体" w:hint="eastAsia"/>
                <w:noProof/>
                <w:webHidden/>
                <w:sz w:val="24"/>
                <w:szCs w:val="24"/>
              </w:rPr>
              <w:instrText xml:space="preserve"> </w:instrText>
            </w:r>
            <w:r w:rsidRPr="00AE02CD">
              <w:rPr>
                <w:rFonts w:eastAsia="宋体"/>
                <w:noProof/>
                <w:webHidden/>
                <w:sz w:val="24"/>
                <w:szCs w:val="24"/>
              </w:rPr>
              <w:instrText>PAGEREF _Toc236992657 \h</w:instrText>
            </w:r>
            <w:r w:rsidRPr="00AE02CD">
              <w:rPr>
                <w:rFonts w:eastAsia="宋体" w:hint="eastAsia"/>
                <w:noProof/>
                <w:webHidden/>
                <w:sz w:val="24"/>
                <w:szCs w:val="24"/>
              </w:rPr>
              <w:instrText xml:space="preserve"> </w:instrText>
            </w:r>
            <w:r w:rsidRPr="00AE02CD">
              <w:rPr>
                <w:rFonts w:eastAsia="宋体" w:hint="eastAsia"/>
                <w:noProof/>
                <w:webHidden/>
                <w:sz w:val="24"/>
                <w:szCs w:val="24"/>
              </w:rPr>
            </w:r>
            <w:r w:rsidRPr="00AE02CD">
              <w:rPr>
                <w:rFonts w:eastAsia="宋体" w:hint="eastAsia"/>
                <w:noProof/>
                <w:webHidden/>
                <w:sz w:val="24"/>
                <w:szCs w:val="24"/>
              </w:rPr>
              <w:fldChar w:fldCharType="separate"/>
            </w:r>
            <w:r w:rsidR="0039617E">
              <w:rPr>
                <w:rFonts w:eastAsia="宋体"/>
                <w:noProof/>
                <w:webHidden/>
                <w:sz w:val="24"/>
                <w:szCs w:val="24"/>
              </w:rPr>
              <w:t>11</w:t>
            </w:r>
            <w:r w:rsidRPr="00AE02CD">
              <w:rPr>
                <w:rFonts w:eastAsia="宋体" w:hint="eastAsia"/>
                <w:noProof/>
                <w:webHidden/>
                <w:sz w:val="24"/>
                <w:szCs w:val="24"/>
              </w:rPr>
              <w:fldChar w:fldCharType="end"/>
            </w:r>
          </w:hyperlink>
        </w:p>
        <w:p w14:paraId="03AA974F" w14:textId="223B3FFB" w:rsidR="00AE02CD" w:rsidRPr="00AE02CD" w:rsidRDefault="00AE02CD" w:rsidP="00E419C7">
          <w:pPr>
            <w:pStyle w:val="TOC1"/>
            <w:spacing w:line="360" w:lineRule="auto"/>
            <w:rPr>
              <w:rFonts w:cstheme="minorBidi" w:hint="eastAsia"/>
              <w:sz w:val="24"/>
              <w:szCs w:val="24"/>
              <w14:ligatures w14:val="standardContextual"/>
            </w:rPr>
          </w:pPr>
          <w:hyperlink w:anchor="_Toc236992658" w:history="1">
            <w:r w:rsidRPr="00AE02CD">
              <w:rPr>
                <w:rStyle w:val="a5"/>
                <w:bCs w:val="0"/>
                <w:sz w:val="24"/>
                <w:szCs w:val="24"/>
              </w:rPr>
              <w:t>五、国内储能企业出海情况</w:t>
            </w:r>
            <w:r w:rsidRPr="00AE02CD">
              <w:rPr>
                <w:rFonts w:hint="eastAsia"/>
                <w:webHidden/>
                <w:sz w:val="24"/>
                <w:szCs w:val="24"/>
              </w:rPr>
              <w:tab/>
            </w:r>
            <w:r w:rsidRPr="00AE02CD">
              <w:rPr>
                <w:rFonts w:hint="eastAsia"/>
                <w:webHidden/>
                <w:sz w:val="24"/>
                <w:szCs w:val="24"/>
              </w:rPr>
              <w:fldChar w:fldCharType="begin"/>
            </w:r>
            <w:r w:rsidRPr="00AE02CD">
              <w:rPr>
                <w:rFonts w:hint="eastAsia"/>
                <w:webHidden/>
                <w:sz w:val="24"/>
                <w:szCs w:val="24"/>
              </w:rPr>
              <w:instrText xml:space="preserve"> </w:instrText>
            </w:r>
            <w:r w:rsidRPr="00AE02CD">
              <w:rPr>
                <w:webHidden/>
                <w:sz w:val="24"/>
                <w:szCs w:val="24"/>
              </w:rPr>
              <w:instrText>PAGEREF _Toc236992658 \h</w:instrText>
            </w:r>
            <w:r w:rsidRPr="00AE02CD">
              <w:rPr>
                <w:rFonts w:hint="eastAsia"/>
                <w:webHidden/>
                <w:sz w:val="24"/>
                <w:szCs w:val="24"/>
              </w:rPr>
              <w:instrText xml:space="preserve"> </w:instrText>
            </w:r>
            <w:r w:rsidRPr="00AE02CD">
              <w:rPr>
                <w:rFonts w:hint="eastAsia"/>
                <w:webHidden/>
                <w:sz w:val="24"/>
                <w:szCs w:val="24"/>
              </w:rPr>
            </w:r>
            <w:r w:rsidRPr="00AE02CD">
              <w:rPr>
                <w:rFonts w:hint="eastAsia"/>
                <w:webHidden/>
                <w:sz w:val="24"/>
                <w:szCs w:val="24"/>
              </w:rPr>
              <w:fldChar w:fldCharType="separate"/>
            </w:r>
            <w:r w:rsidR="0039617E">
              <w:rPr>
                <w:webHidden/>
                <w:sz w:val="24"/>
                <w:szCs w:val="24"/>
              </w:rPr>
              <w:t>14</w:t>
            </w:r>
            <w:r w:rsidRPr="00AE02CD">
              <w:rPr>
                <w:rFonts w:hint="eastAsia"/>
                <w:webHidden/>
                <w:sz w:val="24"/>
                <w:szCs w:val="24"/>
              </w:rPr>
              <w:fldChar w:fldCharType="end"/>
            </w:r>
          </w:hyperlink>
        </w:p>
        <w:p w14:paraId="427B53DE" w14:textId="1654298A" w:rsidR="00AE02CD" w:rsidRPr="00AE02CD" w:rsidRDefault="00AE02CD" w:rsidP="00E419C7">
          <w:pPr>
            <w:pStyle w:val="TOC2"/>
            <w:tabs>
              <w:tab w:val="right" w:leader="dot" w:pos="8299"/>
            </w:tabs>
            <w:spacing w:line="360" w:lineRule="auto"/>
            <w:ind w:left="400"/>
            <w:rPr>
              <w:rFonts w:eastAsia="宋体" w:cstheme="minorBidi" w:hint="eastAsia"/>
              <w:noProof/>
              <w:sz w:val="24"/>
              <w:szCs w:val="24"/>
              <w14:ligatures w14:val="standardContextual"/>
            </w:rPr>
          </w:pPr>
          <w:hyperlink w:anchor="_Toc236992659" w:history="1">
            <w:r w:rsidRPr="00AE02CD">
              <w:rPr>
                <w:rStyle w:val="a5"/>
                <w:rFonts w:eastAsia="宋体" w:cs="宋体"/>
                <w:bCs/>
                <w:noProof/>
                <w:sz w:val="24"/>
                <w:szCs w:val="24"/>
              </w:rPr>
              <w:t xml:space="preserve">5.1 </w:t>
            </w:r>
            <w:r w:rsidRPr="00AE02CD">
              <w:rPr>
                <w:rStyle w:val="a5"/>
                <w:rFonts w:eastAsia="宋体" w:cs="宋体"/>
                <w:bCs/>
                <w:noProof/>
                <w:sz w:val="24"/>
                <w:szCs w:val="24"/>
              </w:rPr>
              <w:t>出海规模、订单和主要模式</w:t>
            </w:r>
            <w:r w:rsidRPr="00AE02CD">
              <w:rPr>
                <w:rFonts w:eastAsia="宋体" w:hint="eastAsia"/>
                <w:noProof/>
                <w:webHidden/>
                <w:sz w:val="24"/>
                <w:szCs w:val="24"/>
              </w:rPr>
              <w:tab/>
            </w:r>
            <w:r w:rsidRPr="00AE02CD">
              <w:rPr>
                <w:rFonts w:eastAsia="宋体" w:hint="eastAsia"/>
                <w:noProof/>
                <w:webHidden/>
                <w:sz w:val="24"/>
                <w:szCs w:val="24"/>
              </w:rPr>
              <w:fldChar w:fldCharType="begin"/>
            </w:r>
            <w:r w:rsidRPr="00AE02CD">
              <w:rPr>
                <w:rFonts w:eastAsia="宋体" w:hint="eastAsia"/>
                <w:noProof/>
                <w:webHidden/>
                <w:sz w:val="24"/>
                <w:szCs w:val="24"/>
              </w:rPr>
              <w:instrText xml:space="preserve"> </w:instrText>
            </w:r>
            <w:r w:rsidRPr="00AE02CD">
              <w:rPr>
                <w:rFonts w:eastAsia="宋体"/>
                <w:noProof/>
                <w:webHidden/>
                <w:sz w:val="24"/>
                <w:szCs w:val="24"/>
              </w:rPr>
              <w:instrText>PAGEREF _Toc236992659 \h</w:instrText>
            </w:r>
            <w:r w:rsidRPr="00AE02CD">
              <w:rPr>
                <w:rFonts w:eastAsia="宋体" w:hint="eastAsia"/>
                <w:noProof/>
                <w:webHidden/>
                <w:sz w:val="24"/>
                <w:szCs w:val="24"/>
              </w:rPr>
              <w:instrText xml:space="preserve"> </w:instrText>
            </w:r>
            <w:r w:rsidRPr="00AE02CD">
              <w:rPr>
                <w:rFonts w:eastAsia="宋体" w:hint="eastAsia"/>
                <w:noProof/>
                <w:webHidden/>
                <w:sz w:val="24"/>
                <w:szCs w:val="24"/>
              </w:rPr>
            </w:r>
            <w:r w:rsidRPr="00AE02CD">
              <w:rPr>
                <w:rFonts w:eastAsia="宋体" w:hint="eastAsia"/>
                <w:noProof/>
                <w:webHidden/>
                <w:sz w:val="24"/>
                <w:szCs w:val="24"/>
              </w:rPr>
              <w:fldChar w:fldCharType="separate"/>
            </w:r>
            <w:r w:rsidR="0039617E">
              <w:rPr>
                <w:rFonts w:eastAsia="宋体"/>
                <w:noProof/>
                <w:webHidden/>
                <w:sz w:val="24"/>
                <w:szCs w:val="24"/>
              </w:rPr>
              <w:t>14</w:t>
            </w:r>
            <w:r w:rsidRPr="00AE02CD">
              <w:rPr>
                <w:rFonts w:eastAsia="宋体" w:hint="eastAsia"/>
                <w:noProof/>
                <w:webHidden/>
                <w:sz w:val="24"/>
                <w:szCs w:val="24"/>
              </w:rPr>
              <w:fldChar w:fldCharType="end"/>
            </w:r>
          </w:hyperlink>
        </w:p>
        <w:p w14:paraId="104D3EE6" w14:textId="2DC6EC0A" w:rsidR="00AE02CD" w:rsidRPr="00AE02CD" w:rsidRDefault="00AE02CD" w:rsidP="00E419C7">
          <w:pPr>
            <w:pStyle w:val="TOC2"/>
            <w:tabs>
              <w:tab w:val="right" w:leader="dot" w:pos="8299"/>
            </w:tabs>
            <w:spacing w:line="360" w:lineRule="auto"/>
            <w:ind w:left="400"/>
            <w:rPr>
              <w:rFonts w:eastAsia="宋体" w:cstheme="minorBidi" w:hint="eastAsia"/>
              <w:noProof/>
              <w:sz w:val="24"/>
              <w:szCs w:val="24"/>
              <w14:ligatures w14:val="standardContextual"/>
            </w:rPr>
          </w:pPr>
          <w:hyperlink w:anchor="_Toc236992660" w:history="1">
            <w:r w:rsidRPr="00AE02CD">
              <w:rPr>
                <w:rStyle w:val="a5"/>
                <w:rFonts w:eastAsia="宋体" w:cs="宋体"/>
                <w:bCs/>
                <w:noProof/>
                <w:sz w:val="24"/>
                <w:szCs w:val="24"/>
              </w:rPr>
              <w:t xml:space="preserve">5.2 </w:t>
            </w:r>
            <w:r w:rsidRPr="00AE02CD">
              <w:rPr>
                <w:rStyle w:val="a5"/>
                <w:rFonts w:eastAsia="宋体" w:cs="宋体"/>
                <w:bCs/>
                <w:noProof/>
                <w:sz w:val="24"/>
                <w:szCs w:val="24"/>
              </w:rPr>
              <w:t>美国、欧洲、中东和澳大利亚市场比较</w:t>
            </w:r>
            <w:r w:rsidRPr="00AE02CD">
              <w:rPr>
                <w:rFonts w:eastAsia="宋体" w:hint="eastAsia"/>
                <w:noProof/>
                <w:webHidden/>
                <w:sz w:val="24"/>
                <w:szCs w:val="24"/>
              </w:rPr>
              <w:tab/>
            </w:r>
            <w:r w:rsidRPr="00AE02CD">
              <w:rPr>
                <w:rFonts w:eastAsia="宋体" w:hint="eastAsia"/>
                <w:noProof/>
                <w:webHidden/>
                <w:sz w:val="24"/>
                <w:szCs w:val="24"/>
              </w:rPr>
              <w:fldChar w:fldCharType="begin"/>
            </w:r>
            <w:r w:rsidRPr="00AE02CD">
              <w:rPr>
                <w:rFonts w:eastAsia="宋体" w:hint="eastAsia"/>
                <w:noProof/>
                <w:webHidden/>
                <w:sz w:val="24"/>
                <w:szCs w:val="24"/>
              </w:rPr>
              <w:instrText xml:space="preserve"> </w:instrText>
            </w:r>
            <w:r w:rsidRPr="00AE02CD">
              <w:rPr>
                <w:rFonts w:eastAsia="宋体"/>
                <w:noProof/>
                <w:webHidden/>
                <w:sz w:val="24"/>
                <w:szCs w:val="24"/>
              </w:rPr>
              <w:instrText>PAGEREF _Toc236992660 \h</w:instrText>
            </w:r>
            <w:r w:rsidRPr="00AE02CD">
              <w:rPr>
                <w:rFonts w:eastAsia="宋体" w:hint="eastAsia"/>
                <w:noProof/>
                <w:webHidden/>
                <w:sz w:val="24"/>
                <w:szCs w:val="24"/>
              </w:rPr>
              <w:instrText xml:space="preserve"> </w:instrText>
            </w:r>
            <w:r w:rsidRPr="00AE02CD">
              <w:rPr>
                <w:rFonts w:eastAsia="宋体" w:hint="eastAsia"/>
                <w:noProof/>
                <w:webHidden/>
                <w:sz w:val="24"/>
                <w:szCs w:val="24"/>
              </w:rPr>
            </w:r>
            <w:r w:rsidRPr="00AE02CD">
              <w:rPr>
                <w:rFonts w:eastAsia="宋体" w:hint="eastAsia"/>
                <w:noProof/>
                <w:webHidden/>
                <w:sz w:val="24"/>
                <w:szCs w:val="24"/>
              </w:rPr>
              <w:fldChar w:fldCharType="separate"/>
            </w:r>
            <w:r w:rsidR="0039617E">
              <w:rPr>
                <w:rFonts w:eastAsia="宋体"/>
                <w:noProof/>
                <w:webHidden/>
                <w:sz w:val="24"/>
                <w:szCs w:val="24"/>
              </w:rPr>
              <w:t>14</w:t>
            </w:r>
            <w:r w:rsidRPr="00AE02CD">
              <w:rPr>
                <w:rFonts w:eastAsia="宋体" w:hint="eastAsia"/>
                <w:noProof/>
                <w:webHidden/>
                <w:sz w:val="24"/>
                <w:szCs w:val="24"/>
              </w:rPr>
              <w:fldChar w:fldCharType="end"/>
            </w:r>
          </w:hyperlink>
        </w:p>
        <w:p w14:paraId="7E72A976" w14:textId="72ABAC7B" w:rsidR="00AE02CD" w:rsidRPr="00AE02CD" w:rsidRDefault="00AE02CD" w:rsidP="00E419C7">
          <w:pPr>
            <w:pStyle w:val="TOC2"/>
            <w:tabs>
              <w:tab w:val="right" w:leader="dot" w:pos="8299"/>
            </w:tabs>
            <w:spacing w:line="360" w:lineRule="auto"/>
            <w:ind w:left="400"/>
            <w:rPr>
              <w:rFonts w:eastAsia="宋体" w:cstheme="minorBidi" w:hint="eastAsia"/>
              <w:noProof/>
              <w:sz w:val="24"/>
              <w:szCs w:val="24"/>
              <w14:ligatures w14:val="standardContextual"/>
            </w:rPr>
          </w:pPr>
          <w:hyperlink w:anchor="_Toc236992661" w:history="1">
            <w:r w:rsidRPr="00AE02CD">
              <w:rPr>
                <w:rStyle w:val="a5"/>
                <w:rFonts w:eastAsia="宋体" w:cs="宋体"/>
                <w:bCs/>
                <w:noProof/>
                <w:sz w:val="24"/>
                <w:szCs w:val="24"/>
              </w:rPr>
              <w:t xml:space="preserve">5.3 </w:t>
            </w:r>
            <w:r w:rsidRPr="00AE02CD">
              <w:rPr>
                <w:rStyle w:val="a5"/>
                <w:rFonts w:eastAsia="宋体" w:cs="宋体"/>
                <w:bCs/>
                <w:noProof/>
                <w:sz w:val="24"/>
                <w:szCs w:val="24"/>
              </w:rPr>
              <w:t>代表性企业和项目</w:t>
            </w:r>
            <w:r w:rsidRPr="00AE02CD">
              <w:rPr>
                <w:rFonts w:eastAsia="宋体" w:hint="eastAsia"/>
                <w:noProof/>
                <w:webHidden/>
                <w:sz w:val="24"/>
                <w:szCs w:val="24"/>
              </w:rPr>
              <w:tab/>
            </w:r>
            <w:r w:rsidRPr="00AE02CD">
              <w:rPr>
                <w:rFonts w:eastAsia="宋体" w:hint="eastAsia"/>
                <w:noProof/>
                <w:webHidden/>
                <w:sz w:val="24"/>
                <w:szCs w:val="24"/>
              </w:rPr>
              <w:fldChar w:fldCharType="begin"/>
            </w:r>
            <w:r w:rsidRPr="00AE02CD">
              <w:rPr>
                <w:rFonts w:eastAsia="宋体" w:hint="eastAsia"/>
                <w:noProof/>
                <w:webHidden/>
                <w:sz w:val="24"/>
                <w:szCs w:val="24"/>
              </w:rPr>
              <w:instrText xml:space="preserve"> </w:instrText>
            </w:r>
            <w:r w:rsidRPr="00AE02CD">
              <w:rPr>
                <w:rFonts w:eastAsia="宋体"/>
                <w:noProof/>
                <w:webHidden/>
                <w:sz w:val="24"/>
                <w:szCs w:val="24"/>
              </w:rPr>
              <w:instrText>PAGEREF _Toc236992661 \h</w:instrText>
            </w:r>
            <w:r w:rsidRPr="00AE02CD">
              <w:rPr>
                <w:rFonts w:eastAsia="宋体" w:hint="eastAsia"/>
                <w:noProof/>
                <w:webHidden/>
                <w:sz w:val="24"/>
                <w:szCs w:val="24"/>
              </w:rPr>
              <w:instrText xml:space="preserve"> </w:instrText>
            </w:r>
            <w:r w:rsidRPr="00AE02CD">
              <w:rPr>
                <w:rFonts w:eastAsia="宋体" w:hint="eastAsia"/>
                <w:noProof/>
                <w:webHidden/>
                <w:sz w:val="24"/>
                <w:szCs w:val="24"/>
              </w:rPr>
            </w:r>
            <w:r w:rsidRPr="00AE02CD">
              <w:rPr>
                <w:rFonts w:eastAsia="宋体" w:hint="eastAsia"/>
                <w:noProof/>
                <w:webHidden/>
                <w:sz w:val="24"/>
                <w:szCs w:val="24"/>
              </w:rPr>
              <w:fldChar w:fldCharType="separate"/>
            </w:r>
            <w:r w:rsidR="0039617E">
              <w:rPr>
                <w:rFonts w:eastAsia="宋体"/>
                <w:noProof/>
                <w:webHidden/>
                <w:sz w:val="24"/>
                <w:szCs w:val="24"/>
              </w:rPr>
              <w:t>15</w:t>
            </w:r>
            <w:r w:rsidRPr="00AE02CD">
              <w:rPr>
                <w:rFonts w:eastAsia="宋体" w:hint="eastAsia"/>
                <w:noProof/>
                <w:webHidden/>
                <w:sz w:val="24"/>
                <w:szCs w:val="24"/>
              </w:rPr>
              <w:fldChar w:fldCharType="end"/>
            </w:r>
          </w:hyperlink>
        </w:p>
        <w:p w14:paraId="0FDBFEA5" w14:textId="3638EBBD" w:rsidR="00AE02CD" w:rsidRPr="00AE02CD" w:rsidRDefault="00AE02CD" w:rsidP="00E419C7">
          <w:pPr>
            <w:pStyle w:val="TOC1"/>
            <w:spacing w:line="360" w:lineRule="auto"/>
            <w:rPr>
              <w:rFonts w:cstheme="minorBidi" w:hint="eastAsia"/>
              <w:sz w:val="24"/>
              <w:szCs w:val="24"/>
              <w14:ligatures w14:val="standardContextual"/>
            </w:rPr>
          </w:pPr>
          <w:hyperlink w:anchor="_Toc236992662" w:history="1">
            <w:r w:rsidRPr="00AE02CD">
              <w:rPr>
                <w:rStyle w:val="a5"/>
                <w:bCs w:val="0"/>
                <w:sz w:val="24"/>
                <w:szCs w:val="24"/>
              </w:rPr>
              <w:t>六、储能企业资本化进度</w:t>
            </w:r>
            <w:r w:rsidRPr="00AE02CD">
              <w:rPr>
                <w:rFonts w:hint="eastAsia"/>
                <w:webHidden/>
                <w:sz w:val="24"/>
                <w:szCs w:val="24"/>
              </w:rPr>
              <w:tab/>
            </w:r>
            <w:r w:rsidRPr="00AE02CD">
              <w:rPr>
                <w:rFonts w:hint="eastAsia"/>
                <w:webHidden/>
                <w:sz w:val="24"/>
                <w:szCs w:val="24"/>
              </w:rPr>
              <w:fldChar w:fldCharType="begin"/>
            </w:r>
            <w:r w:rsidRPr="00AE02CD">
              <w:rPr>
                <w:rFonts w:hint="eastAsia"/>
                <w:webHidden/>
                <w:sz w:val="24"/>
                <w:szCs w:val="24"/>
              </w:rPr>
              <w:instrText xml:space="preserve"> </w:instrText>
            </w:r>
            <w:r w:rsidRPr="00AE02CD">
              <w:rPr>
                <w:webHidden/>
                <w:sz w:val="24"/>
                <w:szCs w:val="24"/>
              </w:rPr>
              <w:instrText>PAGEREF _Toc236992662 \h</w:instrText>
            </w:r>
            <w:r w:rsidRPr="00AE02CD">
              <w:rPr>
                <w:rFonts w:hint="eastAsia"/>
                <w:webHidden/>
                <w:sz w:val="24"/>
                <w:szCs w:val="24"/>
              </w:rPr>
              <w:instrText xml:space="preserve"> </w:instrText>
            </w:r>
            <w:r w:rsidRPr="00AE02CD">
              <w:rPr>
                <w:rFonts w:hint="eastAsia"/>
                <w:webHidden/>
                <w:sz w:val="24"/>
                <w:szCs w:val="24"/>
              </w:rPr>
            </w:r>
            <w:r w:rsidRPr="00AE02CD">
              <w:rPr>
                <w:rFonts w:hint="eastAsia"/>
                <w:webHidden/>
                <w:sz w:val="24"/>
                <w:szCs w:val="24"/>
              </w:rPr>
              <w:fldChar w:fldCharType="separate"/>
            </w:r>
            <w:r w:rsidR="0039617E">
              <w:rPr>
                <w:webHidden/>
                <w:sz w:val="24"/>
                <w:szCs w:val="24"/>
              </w:rPr>
              <w:t>17</w:t>
            </w:r>
            <w:r w:rsidRPr="00AE02CD">
              <w:rPr>
                <w:rFonts w:hint="eastAsia"/>
                <w:webHidden/>
                <w:sz w:val="24"/>
                <w:szCs w:val="24"/>
              </w:rPr>
              <w:fldChar w:fldCharType="end"/>
            </w:r>
          </w:hyperlink>
        </w:p>
        <w:p w14:paraId="05C4AD47" w14:textId="01EF2922" w:rsidR="00AE02CD" w:rsidRPr="00AE02CD" w:rsidRDefault="00AE02CD" w:rsidP="00E419C7">
          <w:pPr>
            <w:pStyle w:val="TOC2"/>
            <w:tabs>
              <w:tab w:val="right" w:leader="dot" w:pos="8299"/>
            </w:tabs>
            <w:spacing w:line="360" w:lineRule="auto"/>
            <w:ind w:left="400"/>
            <w:rPr>
              <w:rFonts w:eastAsia="宋体" w:cstheme="minorBidi" w:hint="eastAsia"/>
              <w:noProof/>
              <w:sz w:val="24"/>
              <w:szCs w:val="24"/>
              <w14:ligatures w14:val="standardContextual"/>
            </w:rPr>
          </w:pPr>
          <w:hyperlink w:anchor="_Toc236992663" w:history="1">
            <w:r w:rsidRPr="00AE02CD">
              <w:rPr>
                <w:rStyle w:val="a5"/>
                <w:rFonts w:eastAsia="宋体" w:cs="宋体"/>
                <w:bCs/>
                <w:noProof/>
                <w:sz w:val="24"/>
                <w:szCs w:val="24"/>
              </w:rPr>
              <w:t xml:space="preserve">6.1 </w:t>
            </w:r>
            <w:r w:rsidRPr="00AE02CD">
              <w:rPr>
                <w:rStyle w:val="a5"/>
                <w:rFonts w:eastAsia="宋体" w:cs="宋体"/>
                <w:bCs/>
                <w:noProof/>
                <w:sz w:val="24"/>
                <w:szCs w:val="24"/>
              </w:rPr>
              <w:t>已上市或近期完成发行的企业</w:t>
            </w:r>
            <w:r w:rsidRPr="00AE02CD">
              <w:rPr>
                <w:rFonts w:eastAsia="宋体" w:hint="eastAsia"/>
                <w:noProof/>
                <w:webHidden/>
                <w:sz w:val="24"/>
                <w:szCs w:val="24"/>
              </w:rPr>
              <w:tab/>
            </w:r>
            <w:r w:rsidRPr="00AE02CD">
              <w:rPr>
                <w:rFonts w:eastAsia="宋体" w:hint="eastAsia"/>
                <w:noProof/>
                <w:webHidden/>
                <w:sz w:val="24"/>
                <w:szCs w:val="24"/>
              </w:rPr>
              <w:fldChar w:fldCharType="begin"/>
            </w:r>
            <w:r w:rsidRPr="00AE02CD">
              <w:rPr>
                <w:rFonts w:eastAsia="宋体" w:hint="eastAsia"/>
                <w:noProof/>
                <w:webHidden/>
                <w:sz w:val="24"/>
                <w:szCs w:val="24"/>
              </w:rPr>
              <w:instrText xml:space="preserve"> </w:instrText>
            </w:r>
            <w:r w:rsidRPr="00AE02CD">
              <w:rPr>
                <w:rFonts w:eastAsia="宋体"/>
                <w:noProof/>
                <w:webHidden/>
                <w:sz w:val="24"/>
                <w:szCs w:val="24"/>
              </w:rPr>
              <w:instrText>PAGEREF _Toc236992663 \h</w:instrText>
            </w:r>
            <w:r w:rsidRPr="00AE02CD">
              <w:rPr>
                <w:rFonts w:eastAsia="宋体" w:hint="eastAsia"/>
                <w:noProof/>
                <w:webHidden/>
                <w:sz w:val="24"/>
                <w:szCs w:val="24"/>
              </w:rPr>
              <w:instrText xml:space="preserve"> </w:instrText>
            </w:r>
            <w:r w:rsidRPr="00AE02CD">
              <w:rPr>
                <w:rFonts w:eastAsia="宋体" w:hint="eastAsia"/>
                <w:noProof/>
                <w:webHidden/>
                <w:sz w:val="24"/>
                <w:szCs w:val="24"/>
              </w:rPr>
            </w:r>
            <w:r w:rsidRPr="00AE02CD">
              <w:rPr>
                <w:rFonts w:eastAsia="宋体" w:hint="eastAsia"/>
                <w:noProof/>
                <w:webHidden/>
                <w:sz w:val="24"/>
                <w:szCs w:val="24"/>
              </w:rPr>
              <w:fldChar w:fldCharType="separate"/>
            </w:r>
            <w:r w:rsidR="0039617E">
              <w:rPr>
                <w:rFonts w:eastAsia="宋体"/>
                <w:noProof/>
                <w:webHidden/>
                <w:sz w:val="24"/>
                <w:szCs w:val="24"/>
              </w:rPr>
              <w:t>17</w:t>
            </w:r>
            <w:r w:rsidRPr="00AE02CD">
              <w:rPr>
                <w:rFonts w:eastAsia="宋体" w:hint="eastAsia"/>
                <w:noProof/>
                <w:webHidden/>
                <w:sz w:val="24"/>
                <w:szCs w:val="24"/>
              </w:rPr>
              <w:fldChar w:fldCharType="end"/>
            </w:r>
          </w:hyperlink>
        </w:p>
        <w:p w14:paraId="65382C25" w14:textId="434FD57D" w:rsidR="00AE02CD" w:rsidRPr="00AE02CD" w:rsidRDefault="00AE02CD" w:rsidP="00E419C7">
          <w:pPr>
            <w:pStyle w:val="TOC2"/>
            <w:tabs>
              <w:tab w:val="right" w:leader="dot" w:pos="8299"/>
            </w:tabs>
            <w:spacing w:line="360" w:lineRule="auto"/>
            <w:ind w:left="400"/>
            <w:rPr>
              <w:rFonts w:eastAsia="宋体" w:cstheme="minorBidi" w:hint="eastAsia"/>
              <w:noProof/>
              <w:sz w:val="24"/>
              <w:szCs w:val="24"/>
              <w14:ligatures w14:val="standardContextual"/>
            </w:rPr>
          </w:pPr>
          <w:hyperlink w:anchor="_Toc236992664" w:history="1">
            <w:r w:rsidRPr="00AE02CD">
              <w:rPr>
                <w:rStyle w:val="a5"/>
                <w:rFonts w:eastAsia="宋体" w:cs="宋体"/>
                <w:bCs/>
                <w:noProof/>
                <w:sz w:val="24"/>
                <w:szCs w:val="24"/>
              </w:rPr>
              <w:t xml:space="preserve">6.2 </w:t>
            </w:r>
            <w:r w:rsidRPr="00AE02CD">
              <w:rPr>
                <w:rStyle w:val="a5"/>
                <w:rFonts w:eastAsia="宋体" w:cs="宋体"/>
                <w:bCs/>
                <w:noProof/>
                <w:sz w:val="24"/>
                <w:szCs w:val="24"/>
              </w:rPr>
              <w:t>在审、已问询或申报中的企业</w:t>
            </w:r>
            <w:r w:rsidRPr="00AE02CD">
              <w:rPr>
                <w:rFonts w:eastAsia="宋体" w:hint="eastAsia"/>
                <w:noProof/>
                <w:webHidden/>
                <w:sz w:val="24"/>
                <w:szCs w:val="24"/>
              </w:rPr>
              <w:tab/>
            </w:r>
            <w:r w:rsidRPr="00AE02CD">
              <w:rPr>
                <w:rFonts w:eastAsia="宋体" w:hint="eastAsia"/>
                <w:noProof/>
                <w:webHidden/>
                <w:sz w:val="24"/>
                <w:szCs w:val="24"/>
              </w:rPr>
              <w:fldChar w:fldCharType="begin"/>
            </w:r>
            <w:r w:rsidRPr="00AE02CD">
              <w:rPr>
                <w:rFonts w:eastAsia="宋体" w:hint="eastAsia"/>
                <w:noProof/>
                <w:webHidden/>
                <w:sz w:val="24"/>
                <w:szCs w:val="24"/>
              </w:rPr>
              <w:instrText xml:space="preserve"> </w:instrText>
            </w:r>
            <w:r w:rsidRPr="00AE02CD">
              <w:rPr>
                <w:rFonts w:eastAsia="宋体"/>
                <w:noProof/>
                <w:webHidden/>
                <w:sz w:val="24"/>
                <w:szCs w:val="24"/>
              </w:rPr>
              <w:instrText>PAGEREF _Toc236992664 \h</w:instrText>
            </w:r>
            <w:r w:rsidRPr="00AE02CD">
              <w:rPr>
                <w:rFonts w:eastAsia="宋体" w:hint="eastAsia"/>
                <w:noProof/>
                <w:webHidden/>
                <w:sz w:val="24"/>
                <w:szCs w:val="24"/>
              </w:rPr>
              <w:instrText xml:space="preserve"> </w:instrText>
            </w:r>
            <w:r w:rsidRPr="00AE02CD">
              <w:rPr>
                <w:rFonts w:eastAsia="宋体" w:hint="eastAsia"/>
                <w:noProof/>
                <w:webHidden/>
                <w:sz w:val="24"/>
                <w:szCs w:val="24"/>
              </w:rPr>
            </w:r>
            <w:r w:rsidRPr="00AE02CD">
              <w:rPr>
                <w:rFonts w:eastAsia="宋体" w:hint="eastAsia"/>
                <w:noProof/>
                <w:webHidden/>
                <w:sz w:val="24"/>
                <w:szCs w:val="24"/>
              </w:rPr>
              <w:fldChar w:fldCharType="separate"/>
            </w:r>
            <w:r w:rsidR="0039617E">
              <w:rPr>
                <w:rFonts w:eastAsia="宋体"/>
                <w:noProof/>
                <w:webHidden/>
                <w:sz w:val="24"/>
                <w:szCs w:val="24"/>
              </w:rPr>
              <w:t>18</w:t>
            </w:r>
            <w:r w:rsidRPr="00AE02CD">
              <w:rPr>
                <w:rFonts w:eastAsia="宋体" w:hint="eastAsia"/>
                <w:noProof/>
                <w:webHidden/>
                <w:sz w:val="24"/>
                <w:szCs w:val="24"/>
              </w:rPr>
              <w:fldChar w:fldCharType="end"/>
            </w:r>
          </w:hyperlink>
        </w:p>
        <w:p w14:paraId="37027FDA" w14:textId="5C577301" w:rsidR="00AE02CD" w:rsidRPr="00AE02CD" w:rsidRDefault="00AE02CD" w:rsidP="00E419C7">
          <w:pPr>
            <w:pStyle w:val="TOC2"/>
            <w:tabs>
              <w:tab w:val="right" w:leader="dot" w:pos="8299"/>
            </w:tabs>
            <w:spacing w:line="360" w:lineRule="auto"/>
            <w:ind w:left="400"/>
            <w:rPr>
              <w:rFonts w:eastAsia="宋体" w:cstheme="minorBidi" w:hint="eastAsia"/>
              <w:noProof/>
              <w:sz w:val="24"/>
              <w:szCs w:val="24"/>
              <w14:ligatures w14:val="standardContextual"/>
            </w:rPr>
          </w:pPr>
          <w:hyperlink w:anchor="_Toc236992665" w:history="1">
            <w:r w:rsidRPr="00AE02CD">
              <w:rPr>
                <w:rStyle w:val="a5"/>
                <w:rFonts w:eastAsia="宋体" w:cs="宋体"/>
                <w:bCs/>
                <w:noProof/>
                <w:sz w:val="24"/>
                <w:szCs w:val="24"/>
              </w:rPr>
              <w:t xml:space="preserve">6.3 </w:t>
            </w:r>
            <w:r w:rsidRPr="00AE02CD">
              <w:rPr>
                <w:rStyle w:val="a5"/>
                <w:rFonts w:eastAsia="宋体" w:cs="宋体"/>
                <w:bCs/>
                <w:noProof/>
                <w:sz w:val="24"/>
                <w:szCs w:val="24"/>
              </w:rPr>
              <w:t>正在辅导备案的企业</w:t>
            </w:r>
            <w:r w:rsidRPr="00AE02CD">
              <w:rPr>
                <w:rFonts w:eastAsia="宋体" w:hint="eastAsia"/>
                <w:noProof/>
                <w:webHidden/>
                <w:sz w:val="24"/>
                <w:szCs w:val="24"/>
              </w:rPr>
              <w:tab/>
            </w:r>
            <w:r w:rsidRPr="00AE02CD">
              <w:rPr>
                <w:rFonts w:eastAsia="宋体" w:hint="eastAsia"/>
                <w:noProof/>
                <w:webHidden/>
                <w:sz w:val="24"/>
                <w:szCs w:val="24"/>
              </w:rPr>
              <w:fldChar w:fldCharType="begin"/>
            </w:r>
            <w:r w:rsidRPr="00AE02CD">
              <w:rPr>
                <w:rFonts w:eastAsia="宋体" w:hint="eastAsia"/>
                <w:noProof/>
                <w:webHidden/>
                <w:sz w:val="24"/>
                <w:szCs w:val="24"/>
              </w:rPr>
              <w:instrText xml:space="preserve"> </w:instrText>
            </w:r>
            <w:r w:rsidRPr="00AE02CD">
              <w:rPr>
                <w:rFonts w:eastAsia="宋体"/>
                <w:noProof/>
                <w:webHidden/>
                <w:sz w:val="24"/>
                <w:szCs w:val="24"/>
              </w:rPr>
              <w:instrText>PAGEREF _Toc236992665 \h</w:instrText>
            </w:r>
            <w:r w:rsidRPr="00AE02CD">
              <w:rPr>
                <w:rFonts w:eastAsia="宋体" w:hint="eastAsia"/>
                <w:noProof/>
                <w:webHidden/>
                <w:sz w:val="24"/>
                <w:szCs w:val="24"/>
              </w:rPr>
              <w:instrText xml:space="preserve"> </w:instrText>
            </w:r>
            <w:r w:rsidRPr="00AE02CD">
              <w:rPr>
                <w:rFonts w:eastAsia="宋体" w:hint="eastAsia"/>
                <w:noProof/>
                <w:webHidden/>
                <w:sz w:val="24"/>
                <w:szCs w:val="24"/>
              </w:rPr>
            </w:r>
            <w:r w:rsidRPr="00AE02CD">
              <w:rPr>
                <w:rFonts w:eastAsia="宋体" w:hint="eastAsia"/>
                <w:noProof/>
                <w:webHidden/>
                <w:sz w:val="24"/>
                <w:szCs w:val="24"/>
              </w:rPr>
              <w:fldChar w:fldCharType="separate"/>
            </w:r>
            <w:r w:rsidR="0039617E">
              <w:rPr>
                <w:rFonts w:eastAsia="宋体"/>
                <w:noProof/>
                <w:webHidden/>
                <w:sz w:val="24"/>
                <w:szCs w:val="24"/>
              </w:rPr>
              <w:t>18</w:t>
            </w:r>
            <w:r w:rsidRPr="00AE02CD">
              <w:rPr>
                <w:rFonts w:eastAsia="宋体" w:hint="eastAsia"/>
                <w:noProof/>
                <w:webHidden/>
                <w:sz w:val="24"/>
                <w:szCs w:val="24"/>
              </w:rPr>
              <w:fldChar w:fldCharType="end"/>
            </w:r>
          </w:hyperlink>
        </w:p>
        <w:p w14:paraId="75EFA40F" w14:textId="3CED4A14" w:rsidR="00AE02CD" w:rsidRPr="00AE02CD" w:rsidRDefault="00AE02CD" w:rsidP="00E419C7">
          <w:pPr>
            <w:pStyle w:val="TOC2"/>
            <w:tabs>
              <w:tab w:val="right" w:leader="dot" w:pos="8299"/>
            </w:tabs>
            <w:spacing w:line="360" w:lineRule="auto"/>
            <w:ind w:left="400"/>
            <w:rPr>
              <w:rFonts w:eastAsia="宋体" w:cstheme="minorBidi" w:hint="eastAsia"/>
              <w:noProof/>
              <w:sz w:val="24"/>
              <w:szCs w:val="24"/>
              <w14:ligatures w14:val="standardContextual"/>
            </w:rPr>
          </w:pPr>
          <w:hyperlink w:anchor="_Toc236992666" w:history="1">
            <w:r w:rsidRPr="00AE02CD">
              <w:rPr>
                <w:rStyle w:val="a5"/>
                <w:rFonts w:eastAsia="宋体" w:cs="宋体"/>
                <w:bCs/>
                <w:noProof/>
                <w:sz w:val="24"/>
                <w:szCs w:val="24"/>
              </w:rPr>
              <w:t xml:space="preserve">6.4 </w:t>
            </w:r>
            <w:r w:rsidRPr="00AE02CD">
              <w:rPr>
                <w:rStyle w:val="a5"/>
                <w:rFonts w:eastAsia="宋体" w:cs="宋体"/>
                <w:bCs/>
                <w:noProof/>
                <w:sz w:val="24"/>
                <w:szCs w:val="24"/>
              </w:rPr>
              <w:t>申请失效或状态发生变化的企业</w:t>
            </w:r>
            <w:r w:rsidRPr="00AE02CD">
              <w:rPr>
                <w:rFonts w:eastAsia="宋体" w:hint="eastAsia"/>
                <w:noProof/>
                <w:webHidden/>
                <w:sz w:val="24"/>
                <w:szCs w:val="24"/>
              </w:rPr>
              <w:tab/>
            </w:r>
            <w:r w:rsidRPr="00AE02CD">
              <w:rPr>
                <w:rFonts w:eastAsia="宋体" w:hint="eastAsia"/>
                <w:noProof/>
                <w:webHidden/>
                <w:sz w:val="24"/>
                <w:szCs w:val="24"/>
              </w:rPr>
              <w:fldChar w:fldCharType="begin"/>
            </w:r>
            <w:r w:rsidRPr="00AE02CD">
              <w:rPr>
                <w:rFonts w:eastAsia="宋体" w:hint="eastAsia"/>
                <w:noProof/>
                <w:webHidden/>
                <w:sz w:val="24"/>
                <w:szCs w:val="24"/>
              </w:rPr>
              <w:instrText xml:space="preserve"> </w:instrText>
            </w:r>
            <w:r w:rsidRPr="00AE02CD">
              <w:rPr>
                <w:rFonts w:eastAsia="宋体"/>
                <w:noProof/>
                <w:webHidden/>
                <w:sz w:val="24"/>
                <w:szCs w:val="24"/>
              </w:rPr>
              <w:instrText>PAGEREF _Toc236992666 \h</w:instrText>
            </w:r>
            <w:r w:rsidRPr="00AE02CD">
              <w:rPr>
                <w:rFonts w:eastAsia="宋体" w:hint="eastAsia"/>
                <w:noProof/>
                <w:webHidden/>
                <w:sz w:val="24"/>
                <w:szCs w:val="24"/>
              </w:rPr>
              <w:instrText xml:space="preserve"> </w:instrText>
            </w:r>
            <w:r w:rsidRPr="00AE02CD">
              <w:rPr>
                <w:rFonts w:eastAsia="宋体" w:hint="eastAsia"/>
                <w:noProof/>
                <w:webHidden/>
                <w:sz w:val="24"/>
                <w:szCs w:val="24"/>
              </w:rPr>
            </w:r>
            <w:r w:rsidRPr="00AE02CD">
              <w:rPr>
                <w:rFonts w:eastAsia="宋体" w:hint="eastAsia"/>
                <w:noProof/>
                <w:webHidden/>
                <w:sz w:val="24"/>
                <w:szCs w:val="24"/>
              </w:rPr>
              <w:fldChar w:fldCharType="separate"/>
            </w:r>
            <w:r w:rsidR="0039617E">
              <w:rPr>
                <w:rFonts w:eastAsia="宋体"/>
                <w:noProof/>
                <w:webHidden/>
                <w:sz w:val="24"/>
                <w:szCs w:val="24"/>
              </w:rPr>
              <w:t>19</w:t>
            </w:r>
            <w:r w:rsidRPr="00AE02CD">
              <w:rPr>
                <w:rFonts w:eastAsia="宋体" w:hint="eastAsia"/>
                <w:noProof/>
                <w:webHidden/>
                <w:sz w:val="24"/>
                <w:szCs w:val="24"/>
              </w:rPr>
              <w:fldChar w:fldCharType="end"/>
            </w:r>
          </w:hyperlink>
        </w:p>
        <w:p w14:paraId="42E9506F" w14:textId="0575D9CD" w:rsidR="004A0C46" w:rsidRPr="00AE02CD" w:rsidRDefault="00085726" w:rsidP="000E155A">
          <w:pPr>
            <w:pStyle w:val="11"/>
            <w:ind w:firstLine="0"/>
            <w:rPr>
              <w:rFonts w:ascii="Times New Roman" w:hAnsi="Times New Roman"/>
            </w:rPr>
          </w:pPr>
          <w:r w:rsidRPr="00AE02CD">
            <w:rPr>
              <w:rFonts w:ascii="Times New Roman" w:hAnsi="Times New Roman" w:cs="Times New Roman"/>
              <w:bCs/>
              <w:sz w:val="24"/>
              <w:szCs w:val="24"/>
              <w:lang w:val="zh-CN"/>
            </w:rPr>
            <w:fldChar w:fldCharType="end"/>
          </w:r>
        </w:p>
      </w:sdtContent>
    </w:sdt>
    <w:p w14:paraId="13DA4841" w14:textId="77777777" w:rsidR="000E155A" w:rsidRPr="000E155A" w:rsidRDefault="000E155A" w:rsidP="000E155A">
      <w:pPr>
        <w:pStyle w:val="11"/>
        <w:ind w:firstLine="0"/>
      </w:pPr>
      <w:bookmarkStart w:id="0" w:name="toc_target_1"/>
    </w:p>
    <w:p w14:paraId="32C40E49" w14:textId="77777777" w:rsidR="000E155A" w:rsidRDefault="000E155A" w:rsidP="000E155A">
      <w:pPr>
        <w:pStyle w:val="11"/>
        <w:ind w:firstLine="0"/>
        <w:rPr>
          <w:rFonts w:hint="eastAsia"/>
        </w:rPr>
        <w:sectPr w:rsidR="000E155A">
          <w:footerReference w:type="default" r:id="rId8"/>
          <w:pgSz w:w="11909" w:h="16834"/>
          <w:pgMar w:top="1440" w:right="1800" w:bottom="1440" w:left="1800" w:header="720" w:footer="720" w:gutter="0"/>
          <w:pgNumType w:start="1"/>
          <w:cols w:space="425"/>
          <w:docGrid w:type="lines" w:linePitch="312"/>
        </w:sectPr>
      </w:pPr>
    </w:p>
    <w:p w14:paraId="0BBF7F81" w14:textId="6063F5FC" w:rsidR="004A0C46" w:rsidRPr="000E155A" w:rsidRDefault="00000000" w:rsidP="000F283C">
      <w:pPr>
        <w:pStyle w:val="2"/>
        <w:spacing w:before="156" w:after="156"/>
        <w:rPr>
          <w:rFonts w:hint="eastAsia"/>
        </w:rPr>
      </w:pPr>
      <w:bookmarkStart w:id="1" w:name="_Toc236992638"/>
      <w:r>
        <w:rPr>
          <w:rFonts w:hint="eastAsia"/>
        </w:rPr>
        <w:lastRenderedPageBreak/>
        <w:t>储能产业概述</w:t>
      </w:r>
      <w:bookmarkEnd w:id="0"/>
      <w:bookmarkEnd w:id="1"/>
    </w:p>
    <w:p w14:paraId="4C8B2EC9" w14:textId="77777777" w:rsidR="004A0C46" w:rsidRDefault="00000000" w:rsidP="000F283C">
      <w:pPr>
        <w:pStyle w:val="3"/>
        <w:numPr>
          <w:ilvl w:val="0"/>
          <w:numId w:val="0"/>
        </w:numPr>
        <w:spacing w:before="156" w:after="156"/>
        <w:rPr>
          <w:rFonts w:hint="eastAsia"/>
        </w:rPr>
      </w:pPr>
      <w:bookmarkStart w:id="2" w:name="toc_target_2"/>
      <w:bookmarkStart w:id="3" w:name="_Toc236992639"/>
      <w:r>
        <w:rPr>
          <w:rFonts w:hint="eastAsia"/>
        </w:rPr>
        <w:t xml:space="preserve">1.1 </w:t>
      </w:r>
      <w:r>
        <w:rPr>
          <w:rFonts w:hint="eastAsia"/>
        </w:rPr>
        <w:t>行业简介</w:t>
      </w:r>
      <w:bookmarkEnd w:id="2"/>
      <w:bookmarkEnd w:id="3"/>
    </w:p>
    <w:p w14:paraId="07A8D628" w14:textId="649C9879" w:rsidR="004A0C46" w:rsidRPr="000F283C" w:rsidRDefault="00000000" w:rsidP="000F283C">
      <w:pPr>
        <w:pStyle w:val="a0"/>
        <w:spacing w:before="156"/>
        <w:ind w:firstLine="480"/>
        <w:rPr>
          <w:rFonts w:eastAsiaTheme="minorEastAsia" w:hint="eastAsia"/>
        </w:rPr>
      </w:pPr>
      <w:r w:rsidRPr="000F283C">
        <w:t>储能是指通过物理、化学或电磁等方式，将暂时富余的能量储存起来，并在需要时释放的技术与产业体系。在电力系统中，电力生产与消费需要保持动态平衡，但风电、光伏等新能源发电受天气和时间条件影响，具有一定的波动性和间歇性，同时用电负荷也存在明显的峰谷差异。储能可以在电力供应相对充足或电价较低时充电，在电力供应紧张、负荷较高或电价较高时放电，从而缓解电力供需在时间上的不匹配。</w:t>
      </w:r>
    </w:p>
    <w:p w14:paraId="0BA964B4" w14:textId="30B24C64" w:rsidR="004A0C46" w:rsidRPr="000F283C" w:rsidRDefault="00000000" w:rsidP="000F283C">
      <w:pPr>
        <w:pStyle w:val="a0"/>
        <w:spacing w:before="156"/>
        <w:ind w:firstLine="480"/>
        <w:rPr>
          <w:rFonts w:eastAsiaTheme="minorEastAsia" w:hint="eastAsia"/>
        </w:rPr>
      </w:pPr>
      <w:r w:rsidRPr="000F283C">
        <w:t>从功能上看，储能主要承担能量转移和灵活调节两类作用。一方面，储能可以将低谷时段或新能源集中出力时段的电力转移至高峰时段使用，提高新能源消纳能力；另一方面，储能能够快速响应电网调度指令，为电力系统提供调峰、调频、调压、备用及应急供电等服务。</w:t>
      </w:r>
    </w:p>
    <w:p w14:paraId="7C88FE51" w14:textId="77777777" w:rsidR="004A0C46" w:rsidRPr="000F283C" w:rsidRDefault="00000000" w:rsidP="000F283C">
      <w:pPr>
        <w:pStyle w:val="3"/>
        <w:numPr>
          <w:ilvl w:val="0"/>
          <w:numId w:val="0"/>
        </w:numPr>
        <w:spacing w:before="156" w:after="156"/>
        <w:rPr>
          <w:rFonts w:hint="eastAsia"/>
        </w:rPr>
      </w:pPr>
      <w:bookmarkStart w:id="4" w:name="toc_target_3"/>
      <w:bookmarkStart w:id="5" w:name="_Toc236992640"/>
      <w:r w:rsidRPr="000F283C">
        <w:rPr>
          <w:rFonts w:hint="eastAsia"/>
        </w:rPr>
        <w:t xml:space="preserve">1.2 </w:t>
      </w:r>
      <w:r w:rsidRPr="000F283C">
        <w:rPr>
          <w:rFonts w:hint="eastAsia"/>
        </w:rPr>
        <w:t>储能技术的主要分类</w:t>
      </w:r>
      <w:bookmarkEnd w:id="4"/>
      <w:bookmarkEnd w:id="5"/>
    </w:p>
    <w:p w14:paraId="2E915AB8" w14:textId="77777777" w:rsidR="004A0C46" w:rsidRDefault="00000000" w:rsidP="000F283C">
      <w:pPr>
        <w:pStyle w:val="a0"/>
        <w:spacing w:before="156"/>
        <w:ind w:firstLine="480"/>
        <w:rPr>
          <w:rFonts w:eastAsia="宋体" w:hint="eastAsia"/>
        </w:rPr>
      </w:pPr>
      <w:r>
        <w:rPr>
          <w:rFonts w:eastAsia="宋体" w:hint="eastAsia"/>
        </w:rPr>
        <w:t>按照储存能量的方式，储能可分为机械储能、电化学储能、电磁储能、储热和化学储能。抽水蓄能、压缩空气和飞轮属于机械储能；锂离子、钠离子和液流电池属于电化学储能；超级电容属于电磁储能；储热和氢储能则适用于更长时间尺度或多能耦合场景。截至</w:t>
      </w:r>
      <w:r>
        <w:rPr>
          <w:rFonts w:eastAsia="宋体" w:hint="eastAsia"/>
        </w:rPr>
        <w:t>2025</w:t>
      </w:r>
      <w:r>
        <w:rPr>
          <w:rFonts w:eastAsia="宋体" w:hint="eastAsia"/>
        </w:rPr>
        <w:t>年末，锂离子电池占中国已投运新型储能装机的</w:t>
      </w:r>
      <w:r>
        <w:rPr>
          <w:rFonts w:eastAsia="宋体" w:hint="eastAsia"/>
        </w:rPr>
        <w:t>96.1%</w:t>
      </w:r>
      <w:r>
        <w:rPr>
          <w:rFonts w:eastAsia="宋体" w:hint="eastAsia"/>
        </w:rPr>
        <w:t>，压缩空气、液流和飞轮等其他技术合计占</w:t>
      </w:r>
      <w:r>
        <w:rPr>
          <w:rFonts w:eastAsia="宋体" w:hint="eastAsia"/>
        </w:rPr>
        <w:t>3.9%</w:t>
      </w:r>
      <w:r>
        <w:rPr>
          <w:rFonts w:eastAsia="宋体" w:hint="eastAsia"/>
        </w:rPr>
        <w:t>。短期内磷酸铁锂仍将是主流，但随着</w:t>
      </w:r>
      <w:r>
        <w:rPr>
          <w:rFonts w:eastAsia="宋体" w:hint="eastAsia"/>
        </w:rPr>
        <w:t>4</w:t>
      </w:r>
      <w:r>
        <w:rPr>
          <w:rFonts w:eastAsia="宋体" w:hint="eastAsia"/>
        </w:rPr>
        <w:t>小时以上项目占比提高，压缩空气、液流、钠离子和其他长时储能技术的商业机会正在增加。</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val="04A0" w:firstRow="1" w:lastRow="0" w:firstColumn="1" w:lastColumn="0" w:noHBand="0" w:noVBand="1"/>
      </w:tblPr>
      <w:tblGrid>
        <w:gridCol w:w="1250"/>
        <w:gridCol w:w="4791"/>
        <w:gridCol w:w="3084"/>
      </w:tblGrid>
      <w:tr w:rsidR="004A0C46" w:rsidRPr="000F283C" w14:paraId="1C23E7C9" w14:textId="77777777" w:rsidTr="000F283C">
        <w:trPr>
          <w:cantSplit/>
          <w:trHeight w:val="397"/>
          <w:tblHeader/>
          <w:jc w:val="center"/>
        </w:trPr>
        <w:tc>
          <w:tcPr>
            <w:tcW w:w="685" w:type="pct"/>
            <w:tcBorders>
              <w:top w:val="single" w:sz="12" w:space="0" w:color="010000"/>
              <w:bottom w:val="single" w:sz="4" w:space="0" w:color="010000"/>
            </w:tcBorders>
            <w:vAlign w:val="center"/>
          </w:tcPr>
          <w:p w14:paraId="195210E6" w14:textId="77777777" w:rsidR="004A0C46" w:rsidRPr="000F283C" w:rsidRDefault="00000000" w:rsidP="000F283C">
            <w:pPr>
              <w:keepNext/>
              <w:jc w:val="center"/>
              <w:rPr>
                <w:rFonts w:hint="eastAsia"/>
                <w:b/>
                <w:color w:val="000000"/>
                <w:sz w:val="21"/>
              </w:rPr>
            </w:pPr>
            <w:r w:rsidRPr="000F283C">
              <w:rPr>
                <w:rFonts w:hint="eastAsia"/>
                <w:b/>
                <w:color w:val="000000"/>
                <w:sz w:val="21"/>
              </w:rPr>
              <w:t>技术路线</w:t>
            </w:r>
          </w:p>
        </w:tc>
        <w:tc>
          <w:tcPr>
            <w:tcW w:w="2625" w:type="pct"/>
            <w:tcBorders>
              <w:top w:val="single" w:sz="12" w:space="0" w:color="010000"/>
              <w:bottom w:val="single" w:sz="4" w:space="0" w:color="010000"/>
            </w:tcBorders>
            <w:vAlign w:val="center"/>
          </w:tcPr>
          <w:p w14:paraId="7C5F090A" w14:textId="77777777" w:rsidR="004A0C46" w:rsidRPr="000F283C" w:rsidRDefault="00000000" w:rsidP="000F283C">
            <w:pPr>
              <w:keepNext/>
              <w:jc w:val="center"/>
              <w:rPr>
                <w:rFonts w:hint="eastAsia"/>
                <w:b/>
                <w:color w:val="000000"/>
                <w:sz w:val="21"/>
              </w:rPr>
            </w:pPr>
            <w:r w:rsidRPr="000F283C">
              <w:rPr>
                <w:rFonts w:hint="eastAsia"/>
                <w:b/>
                <w:color w:val="000000"/>
                <w:sz w:val="21"/>
              </w:rPr>
              <w:t>主要特点</w:t>
            </w:r>
          </w:p>
        </w:tc>
        <w:tc>
          <w:tcPr>
            <w:tcW w:w="1690" w:type="pct"/>
            <w:tcBorders>
              <w:top w:val="single" w:sz="12" w:space="0" w:color="010000"/>
              <w:bottom w:val="single" w:sz="4" w:space="0" w:color="010000"/>
            </w:tcBorders>
            <w:vAlign w:val="center"/>
          </w:tcPr>
          <w:p w14:paraId="64EABB64" w14:textId="77777777" w:rsidR="004A0C46" w:rsidRPr="000F283C" w:rsidRDefault="00000000" w:rsidP="000F283C">
            <w:pPr>
              <w:keepNext/>
              <w:jc w:val="center"/>
              <w:rPr>
                <w:rFonts w:hint="eastAsia"/>
                <w:b/>
                <w:color w:val="000000"/>
                <w:sz w:val="21"/>
              </w:rPr>
            </w:pPr>
            <w:r w:rsidRPr="000F283C">
              <w:rPr>
                <w:rFonts w:hint="eastAsia"/>
                <w:b/>
                <w:color w:val="000000"/>
                <w:sz w:val="21"/>
              </w:rPr>
              <w:t>典型场景</w:t>
            </w:r>
          </w:p>
        </w:tc>
      </w:tr>
      <w:tr w:rsidR="004A0C46" w:rsidRPr="000F283C" w14:paraId="37014048" w14:textId="77777777" w:rsidTr="000F283C">
        <w:trPr>
          <w:cantSplit/>
          <w:trHeight w:val="397"/>
          <w:jc w:val="center"/>
        </w:trPr>
        <w:tc>
          <w:tcPr>
            <w:tcW w:w="685" w:type="pct"/>
            <w:tcBorders>
              <w:top w:val="single" w:sz="4" w:space="0" w:color="010000"/>
            </w:tcBorders>
            <w:vAlign w:val="center"/>
          </w:tcPr>
          <w:p w14:paraId="287FD88C" w14:textId="77777777" w:rsidR="004A0C46" w:rsidRPr="000F283C" w:rsidRDefault="00000000" w:rsidP="000F283C">
            <w:pPr>
              <w:jc w:val="left"/>
              <w:rPr>
                <w:rFonts w:hint="eastAsia"/>
                <w:color w:val="000000"/>
                <w:sz w:val="21"/>
              </w:rPr>
            </w:pPr>
            <w:r w:rsidRPr="000F283C">
              <w:rPr>
                <w:rFonts w:hint="eastAsia"/>
                <w:color w:val="000000"/>
                <w:kern w:val="0"/>
                <w:sz w:val="21"/>
                <w:lang w:bidi="ar"/>
              </w:rPr>
              <w:t>锂离子电池</w:t>
            </w:r>
          </w:p>
        </w:tc>
        <w:tc>
          <w:tcPr>
            <w:tcW w:w="2625" w:type="pct"/>
            <w:tcBorders>
              <w:top w:val="single" w:sz="4" w:space="0" w:color="010000"/>
            </w:tcBorders>
            <w:vAlign w:val="center"/>
          </w:tcPr>
          <w:p w14:paraId="4BA3341F" w14:textId="77777777" w:rsidR="004A0C46" w:rsidRPr="000F283C" w:rsidRDefault="00000000" w:rsidP="000F283C">
            <w:pPr>
              <w:jc w:val="left"/>
              <w:rPr>
                <w:rFonts w:hint="eastAsia"/>
                <w:color w:val="000000"/>
                <w:sz w:val="21"/>
              </w:rPr>
            </w:pPr>
            <w:r w:rsidRPr="000F283C">
              <w:rPr>
                <w:rFonts w:hint="eastAsia"/>
                <w:color w:val="000000"/>
                <w:kern w:val="0"/>
                <w:sz w:val="21"/>
                <w:lang w:bidi="ar"/>
              </w:rPr>
              <w:t>技术成熟度和产业化程度较高，响应速度快、往返效率较高，设备模块化和标准化程度较好，建设周期较短且选址灵活。其主要限制在于容量会随循环次数和使用年限逐步衰减，同时对热管理、消防安全和全生命周期质保提出较高要求。</w:t>
            </w:r>
          </w:p>
        </w:tc>
        <w:tc>
          <w:tcPr>
            <w:tcW w:w="1690" w:type="pct"/>
            <w:tcBorders>
              <w:top w:val="single" w:sz="4" w:space="0" w:color="010000"/>
            </w:tcBorders>
            <w:vAlign w:val="center"/>
          </w:tcPr>
          <w:p w14:paraId="4F136B1E" w14:textId="77777777" w:rsidR="004A0C46" w:rsidRPr="000F283C" w:rsidRDefault="00000000" w:rsidP="000F283C">
            <w:pPr>
              <w:jc w:val="left"/>
              <w:rPr>
                <w:rFonts w:hint="eastAsia"/>
                <w:color w:val="000000"/>
                <w:sz w:val="21"/>
              </w:rPr>
            </w:pPr>
            <w:r w:rsidRPr="000F283C">
              <w:rPr>
                <w:rFonts w:hint="eastAsia"/>
                <w:color w:val="000000"/>
                <w:kern w:val="0"/>
                <w:sz w:val="21"/>
                <w:lang w:bidi="ar"/>
              </w:rPr>
              <w:t>目前主要用于日内短中时储能，常见于新能源配储、独立储能电站、工商业削峰填谷、户用储能，以及通信设施和重要负荷的备用电源等场景。</w:t>
            </w:r>
          </w:p>
        </w:tc>
      </w:tr>
      <w:tr w:rsidR="004A0C46" w:rsidRPr="000F283C" w14:paraId="077FC311" w14:textId="77777777" w:rsidTr="000F283C">
        <w:trPr>
          <w:cantSplit/>
          <w:trHeight w:val="397"/>
          <w:jc w:val="center"/>
        </w:trPr>
        <w:tc>
          <w:tcPr>
            <w:tcW w:w="685" w:type="pct"/>
            <w:vAlign w:val="center"/>
          </w:tcPr>
          <w:p w14:paraId="460BD097" w14:textId="77777777" w:rsidR="004A0C46" w:rsidRPr="000F283C" w:rsidRDefault="00000000" w:rsidP="000F283C">
            <w:pPr>
              <w:jc w:val="left"/>
              <w:rPr>
                <w:rFonts w:hint="eastAsia"/>
                <w:color w:val="000000"/>
                <w:sz w:val="21"/>
              </w:rPr>
            </w:pPr>
            <w:r w:rsidRPr="000F283C">
              <w:rPr>
                <w:rFonts w:hint="eastAsia"/>
                <w:color w:val="000000"/>
                <w:kern w:val="0"/>
                <w:sz w:val="21"/>
                <w:lang w:bidi="ar"/>
              </w:rPr>
              <w:lastRenderedPageBreak/>
              <w:t>液流电池</w:t>
            </w:r>
          </w:p>
        </w:tc>
        <w:tc>
          <w:tcPr>
            <w:tcW w:w="2625" w:type="pct"/>
            <w:vAlign w:val="center"/>
          </w:tcPr>
          <w:p w14:paraId="4E4E00CE" w14:textId="77777777" w:rsidR="004A0C46" w:rsidRPr="000F283C" w:rsidRDefault="00000000" w:rsidP="000F283C">
            <w:pPr>
              <w:jc w:val="left"/>
              <w:rPr>
                <w:rFonts w:hint="eastAsia"/>
                <w:color w:val="000000"/>
                <w:sz w:val="21"/>
              </w:rPr>
            </w:pPr>
            <w:r w:rsidRPr="000F283C">
              <w:rPr>
                <w:rFonts w:hint="eastAsia"/>
                <w:color w:val="000000"/>
                <w:kern w:val="0"/>
                <w:sz w:val="21"/>
                <w:lang w:bidi="ar"/>
              </w:rPr>
              <w:t>电解液储罐主要决定储能容量，电堆主要决定输出功率，因此功率和能量可以相对独立配置。该技术循环寿命较长、适合深度和频繁充放电，部分水系液流电池的燃烧风险相对较低；但能量密度偏低，系统辅助设备较多，初始投资和占地通常高于锂离子电池。</w:t>
            </w:r>
          </w:p>
        </w:tc>
        <w:tc>
          <w:tcPr>
            <w:tcW w:w="1690" w:type="pct"/>
            <w:vAlign w:val="center"/>
          </w:tcPr>
          <w:p w14:paraId="2181B169" w14:textId="77777777" w:rsidR="004A0C46" w:rsidRPr="000F283C" w:rsidRDefault="00000000" w:rsidP="000F283C">
            <w:pPr>
              <w:jc w:val="left"/>
              <w:rPr>
                <w:rFonts w:hint="eastAsia"/>
                <w:color w:val="000000"/>
                <w:sz w:val="21"/>
              </w:rPr>
            </w:pPr>
            <w:r w:rsidRPr="000F283C">
              <w:rPr>
                <w:rFonts w:hint="eastAsia"/>
                <w:color w:val="000000"/>
                <w:kern w:val="0"/>
                <w:sz w:val="21"/>
                <w:lang w:bidi="ar"/>
              </w:rPr>
              <w:t>更适合</w:t>
            </w:r>
            <w:r w:rsidRPr="000F283C">
              <w:rPr>
                <w:rFonts w:hint="eastAsia"/>
                <w:color w:val="000000"/>
                <w:kern w:val="0"/>
                <w:sz w:val="21"/>
                <w:lang w:bidi="ar"/>
              </w:rPr>
              <w:t>4</w:t>
            </w:r>
            <w:r w:rsidRPr="000F283C">
              <w:rPr>
                <w:rFonts w:hint="eastAsia"/>
                <w:color w:val="000000"/>
                <w:kern w:val="0"/>
                <w:sz w:val="21"/>
                <w:lang w:bidi="ar"/>
              </w:rPr>
              <w:t>小时以上的大规模固定式储能，包括新能源基地长时移峰、独立储能电站、微电网，以及对循环寿命和安全性能要求较高的工业或关键设施场景。</w:t>
            </w:r>
          </w:p>
        </w:tc>
      </w:tr>
      <w:tr w:rsidR="004A0C46" w:rsidRPr="000F283C" w14:paraId="29E99F3E" w14:textId="77777777" w:rsidTr="000F283C">
        <w:trPr>
          <w:cantSplit/>
          <w:trHeight w:val="397"/>
          <w:jc w:val="center"/>
        </w:trPr>
        <w:tc>
          <w:tcPr>
            <w:tcW w:w="685" w:type="pct"/>
            <w:vAlign w:val="center"/>
          </w:tcPr>
          <w:p w14:paraId="4B6B2650" w14:textId="77777777" w:rsidR="004A0C46" w:rsidRPr="000F283C" w:rsidRDefault="00000000" w:rsidP="000F283C">
            <w:pPr>
              <w:jc w:val="left"/>
              <w:rPr>
                <w:rFonts w:hint="eastAsia"/>
                <w:color w:val="000000"/>
                <w:sz w:val="21"/>
              </w:rPr>
            </w:pPr>
            <w:r w:rsidRPr="000F283C">
              <w:rPr>
                <w:rFonts w:hint="eastAsia"/>
                <w:color w:val="000000"/>
                <w:kern w:val="0"/>
                <w:sz w:val="21"/>
                <w:lang w:bidi="ar"/>
              </w:rPr>
              <w:t>压缩空气储能</w:t>
            </w:r>
          </w:p>
        </w:tc>
        <w:tc>
          <w:tcPr>
            <w:tcW w:w="2625" w:type="pct"/>
            <w:vAlign w:val="center"/>
          </w:tcPr>
          <w:p w14:paraId="68A99B4F" w14:textId="77777777" w:rsidR="004A0C46" w:rsidRPr="000F283C" w:rsidRDefault="00000000" w:rsidP="000F283C">
            <w:pPr>
              <w:jc w:val="left"/>
              <w:rPr>
                <w:rFonts w:hint="eastAsia"/>
                <w:color w:val="000000"/>
                <w:sz w:val="21"/>
              </w:rPr>
            </w:pPr>
            <w:r w:rsidRPr="000F283C">
              <w:rPr>
                <w:rFonts w:hint="eastAsia"/>
                <w:color w:val="000000"/>
                <w:kern w:val="0"/>
                <w:sz w:val="21"/>
                <w:lang w:bidi="ar"/>
              </w:rPr>
              <w:t>利用低谷电力将空气压缩并储存在盐穴、人工硐室或其他储气空间中，放电时通过加热和膨胀驱动透平发电。该技术适合大容量、长时和长寿命运行，但对储气条件、核心装备、工程建设和系统效率要求较高，项目建设周期通常较长。</w:t>
            </w:r>
          </w:p>
        </w:tc>
        <w:tc>
          <w:tcPr>
            <w:tcW w:w="1690" w:type="pct"/>
            <w:vAlign w:val="center"/>
          </w:tcPr>
          <w:p w14:paraId="4DB81425" w14:textId="77777777" w:rsidR="004A0C46" w:rsidRPr="000F283C" w:rsidRDefault="00000000" w:rsidP="000F283C">
            <w:pPr>
              <w:jc w:val="left"/>
              <w:rPr>
                <w:rFonts w:hint="eastAsia"/>
                <w:color w:val="000000"/>
                <w:sz w:val="21"/>
              </w:rPr>
            </w:pPr>
            <w:r w:rsidRPr="000F283C">
              <w:rPr>
                <w:rFonts w:hint="eastAsia"/>
                <w:color w:val="000000"/>
                <w:kern w:val="0"/>
                <w:sz w:val="21"/>
                <w:lang w:bidi="ar"/>
              </w:rPr>
              <w:t>主要应用于数十至数百兆瓦级的电网侧长时储能、新能源基地配套和大型调峰电站，可承担日内乃至更长时间尺度的能量搬移、系统调峰和容量支撑。</w:t>
            </w:r>
          </w:p>
        </w:tc>
      </w:tr>
      <w:tr w:rsidR="004A0C46" w:rsidRPr="000F283C" w14:paraId="7002D609" w14:textId="77777777" w:rsidTr="000F283C">
        <w:trPr>
          <w:cantSplit/>
          <w:trHeight w:val="397"/>
          <w:jc w:val="center"/>
        </w:trPr>
        <w:tc>
          <w:tcPr>
            <w:tcW w:w="685" w:type="pct"/>
            <w:vAlign w:val="center"/>
          </w:tcPr>
          <w:p w14:paraId="028ED229" w14:textId="77777777" w:rsidR="004A0C46" w:rsidRPr="000F283C" w:rsidRDefault="00000000" w:rsidP="000F283C">
            <w:pPr>
              <w:jc w:val="left"/>
              <w:rPr>
                <w:rFonts w:hint="eastAsia"/>
                <w:color w:val="000000"/>
                <w:sz w:val="21"/>
              </w:rPr>
            </w:pPr>
            <w:r w:rsidRPr="000F283C">
              <w:rPr>
                <w:rFonts w:hint="eastAsia"/>
                <w:color w:val="000000"/>
                <w:kern w:val="0"/>
                <w:sz w:val="21"/>
                <w:lang w:bidi="ar"/>
              </w:rPr>
              <w:t>飞轮及超级电容</w:t>
            </w:r>
          </w:p>
        </w:tc>
        <w:tc>
          <w:tcPr>
            <w:tcW w:w="2625" w:type="pct"/>
            <w:vAlign w:val="center"/>
          </w:tcPr>
          <w:p w14:paraId="3C21310F" w14:textId="77777777" w:rsidR="004A0C46" w:rsidRPr="000F283C" w:rsidRDefault="00000000" w:rsidP="000F283C">
            <w:pPr>
              <w:jc w:val="left"/>
              <w:rPr>
                <w:rFonts w:hint="eastAsia"/>
                <w:color w:val="000000"/>
                <w:sz w:val="21"/>
              </w:rPr>
            </w:pPr>
            <w:r w:rsidRPr="000F283C">
              <w:rPr>
                <w:rFonts w:hint="eastAsia"/>
                <w:color w:val="000000"/>
                <w:kern w:val="0"/>
                <w:sz w:val="21"/>
                <w:lang w:bidi="ar"/>
              </w:rPr>
              <w:t>两类技术均具有功率密度高、响应速度快和循环次数多等特点，适合高频、快速充放电。其中飞轮储存机械动能，超级电容储存电场能量；两者的能量容量相对有限，持续放电时间通常较短，更偏重功率型服务而非长时间能量搬移。</w:t>
            </w:r>
          </w:p>
        </w:tc>
        <w:tc>
          <w:tcPr>
            <w:tcW w:w="1690" w:type="pct"/>
            <w:vAlign w:val="center"/>
          </w:tcPr>
          <w:p w14:paraId="6063CED6" w14:textId="77777777" w:rsidR="004A0C46" w:rsidRPr="000F283C" w:rsidRDefault="00000000" w:rsidP="000F283C">
            <w:pPr>
              <w:jc w:val="left"/>
              <w:rPr>
                <w:rFonts w:hint="eastAsia"/>
                <w:color w:val="000000"/>
                <w:sz w:val="21"/>
              </w:rPr>
            </w:pPr>
            <w:r w:rsidRPr="000F283C">
              <w:rPr>
                <w:rFonts w:hint="eastAsia"/>
                <w:color w:val="000000"/>
                <w:kern w:val="0"/>
                <w:sz w:val="21"/>
                <w:lang w:bidi="ar"/>
              </w:rPr>
              <w:t>主要用于电网一次调频和快速频率响应、电压及电能质量治理、轨道交通制动能量回收、短时不间断电源，以及重要设备的瞬时功率支撑。</w:t>
            </w:r>
          </w:p>
        </w:tc>
      </w:tr>
      <w:tr w:rsidR="004A0C46" w:rsidRPr="000F283C" w14:paraId="236361F9" w14:textId="77777777" w:rsidTr="000F283C">
        <w:trPr>
          <w:cantSplit/>
          <w:trHeight w:val="397"/>
          <w:jc w:val="center"/>
        </w:trPr>
        <w:tc>
          <w:tcPr>
            <w:tcW w:w="685" w:type="pct"/>
            <w:vAlign w:val="center"/>
          </w:tcPr>
          <w:p w14:paraId="37D9FF7F" w14:textId="77777777" w:rsidR="004A0C46" w:rsidRPr="000F283C" w:rsidRDefault="00000000" w:rsidP="000F283C">
            <w:pPr>
              <w:jc w:val="left"/>
              <w:rPr>
                <w:rFonts w:hint="eastAsia"/>
                <w:color w:val="000000"/>
                <w:sz w:val="21"/>
              </w:rPr>
            </w:pPr>
            <w:r w:rsidRPr="000F283C">
              <w:rPr>
                <w:rFonts w:hint="eastAsia"/>
                <w:color w:val="000000"/>
                <w:kern w:val="0"/>
                <w:sz w:val="21"/>
                <w:lang w:bidi="ar"/>
              </w:rPr>
              <w:t>储热</w:t>
            </w:r>
          </w:p>
        </w:tc>
        <w:tc>
          <w:tcPr>
            <w:tcW w:w="2625" w:type="pct"/>
            <w:vAlign w:val="center"/>
          </w:tcPr>
          <w:p w14:paraId="412B7817" w14:textId="77777777" w:rsidR="004A0C46" w:rsidRPr="000F283C" w:rsidRDefault="00000000" w:rsidP="000F283C">
            <w:pPr>
              <w:jc w:val="left"/>
              <w:rPr>
                <w:rFonts w:hint="eastAsia"/>
                <w:color w:val="000000"/>
                <w:sz w:val="21"/>
              </w:rPr>
            </w:pPr>
            <w:r w:rsidRPr="000F283C">
              <w:rPr>
                <w:rFonts w:hint="eastAsia"/>
                <w:color w:val="000000"/>
                <w:kern w:val="0"/>
                <w:sz w:val="21"/>
                <w:lang w:bidi="ar"/>
              </w:rPr>
              <w:t>将电能或其他形式的能量转化为显热、潜热或热化学能并储存，能够减少不必要的电—热—电转换。储热容量扩展成本相对较低，可覆盖小时级至跨日、跨季调节，但其价值通常取决于是否存在稳定的供热、供冷或工业热负荷。</w:t>
            </w:r>
          </w:p>
        </w:tc>
        <w:tc>
          <w:tcPr>
            <w:tcW w:w="1690" w:type="pct"/>
            <w:vAlign w:val="center"/>
          </w:tcPr>
          <w:p w14:paraId="3BAAD2BD" w14:textId="77777777" w:rsidR="004A0C46" w:rsidRPr="000F283C" w:rsidRDefault="00000000" w:rsidP="000F283C">
            <w:pPr>
              <w:jc w:val="left"/>
              <w:rPr>
                <w:rFonts w:hint="eastAsia"/>
                <w:color w:val="000000"/>
                <w:sz w:val="21"/>
              </w:rPr>
            </w:pPr>
            <w:r w:rsidRPr="000F283C">
              <w:rPr>
                <w:rFonts w:hint="eastAsia"/>
                <w:color w:val="000000"/>
                <w:kern w:val="0"/>
                <w:sz w:val="21"/>
                <w:lang w:bidi="ar"/>
              </w:rPr>
              <w:t>适用于工业蒸汽和工艺热负荷、建筑供热供冷、光热发电配套、多能互补系统，以及需要将用热需求从高峰时段转移至低谷时段的场景。</w:t>
            </w:r>
          </w:p>
        </w:tc>
      </w:tr>
    </w:tbl>
    <w:p w14:paraId="010F0A3F" w14:textId="77777777" w:rsidR="004A0C46" w:rsidRDefault="00000000" w:rsidP="000F283C">
      <w:pPr>
        <w:pStyle w:val="3"/>
        <w:numPr>
          <w:ilvl w:val="0"/>
          <w:numId w:val="0"/>
        </w:numPr>
        <w:spacing w:before="156" w:after="156"/>
        <w:rPr>
          <w:rFonts w:hint="eastAsia"/>
          <w:sz w:val="2"/>
          <w:szCs w:val="2"/>
        </w:rPr>
      </w:pPr>
      <w:bookmarkStart w:id="6" w:name="toc_target_4"/>
      <w:bookmarkStart w:id="7" w:name="_Toc236992641"/>
      <w:r>
        <w:rPr>
          <w:rFonts w:hint="eastAsia"/>
        </w:rPr>
        <w:t xml:space="preserve">1.3 </w:t>
      </w:r>
      <w:r>
        <w:rPr>
          <w:rFonts w:hint="eastAsia"/>
        </w:rPr>
        <w:t>储能系统的基本构成——以电化学储能为例</w:t>
      </w:r>
      <w:bookmarkEnd w:id="6"/>
      <w:bookmarkEnd w:id="7"/>
    </w:p>
    <w:p w14:paraId="3908CCE2" w14:textId="77777777" w:rsidR="004A0C46" w:rsidRDefault="00000000" w:rsidP="000F283C">
      <w:pPr>
        <w:pStyle w:val="a0"/>
        <w:spacing w:before="156"/>
        <w:ind w:firstLine="480"/>
        <w:rPr>
          <w:rFonts w:eastAsia="宋体" w:hint="eastAsia"/>
          <w:sz w:val="2"/>
          <w:szCs w:val="2"/>
        </w:rPr>
      </w:pPr>
      <w:r>
        <w:rPr>
          <w:rFonts w:eastAsia="宋体" w:hint="eastAsia"/>
        </w:rPr>
        <w:t>储能系统由能量存储、功率转换、运行控制、安全保护及工程配套等多个环节共同构成。以目前应用较为广泛的锂离子电池储能系统为例，其主要包括电池系统、电池管理系统（</w:t>
      </w:r>
      <w:r>
        <w:rPr>
          <w:rFonts w:eastAsia="宋体" w:hint="eastAsia"/>
        </w:rPr>
        <w:t>BMS</w:t>
      </w:r>
      <w:r>
        <w:rPr>
          <w:rFonts w:eastAsia="宋体" w:hint="eastAsia"/>
        </w:rPr>
        <w:t>）、储能变流器（</w:t>
      </w:r>
      <w:r>
        <w:rPr>
          <w:rFonts w:eastAsia="宋体" w:hint="eastAsia"/>
        </w:rPr>
        <w:t>PCS</w:t>
      </w:r>
      <w:r>
        <w:rPr>
          <w:rFonts w:eastAsia="宋体" w:hint="eastAsia"/>
        </w:rPr>
        <w:t>）、能量管理系统（</w:t>
      </w:r>
      <w:r>
        <w:rPr>
          <w:rFonts w:eastAsia="宋体" w:hint="eastAsia"/>
        </w:rPr>
        <w:t>EMS</w:t>
      </w:r>
      <w:r>
        <w:rPr>
          <w:rFonts w:eastAsia="宋体" w:hint="eastAsia"/>
        </w:rPr>
        <w:t>），以及热管理、消防、传感、变压器和开关柜等辅助设备。各组成部分分别承担电能存储、状态监测、充放电控制、系统调度和安全保障等功能，共同影响储能系统的运行效率、响应能力和安全水平。</w:t>
      </w:r>
    </w:p>
    <w:p w14:paraId="21A8C436" w14:textId="77777777" w:rsidR="004A0C46" w:rsidRDefault="00000000" w:rsidP="000F283C">
      <w:pPr>
        <w:pStyle w:val="a0"/>
        <w:spacing w:before="156"/>
        <w:ind w:firstLine="480"/>
        <w:rPr>
          <w:rFonts w:eastAsia="宋体" w:hint="eastAsia"/>
          <w:sz w:val="2"/>
          <w:szCs w:val="2"/>
        </w:rPr>
      </w:pPr>
      <w:r>
        <w:rPr>
          <w:rFonts w:eastAsia="宋体" w:hint="eastAsia"/>
        </w:rPr>
        <w:t>其中，电池系统由电芯、模组、电池簇和电池舱等组成，是储存和释放电能的核心载体；</w:t>
      </w:r>
      <w:r>
        <w:rPr>
          <w:rFonts w:eastAsia="宋体" w:hint="eastAsia"/>
        </w:rPr>
        <w:t>BMS</w:t>
      </w:r>
      <w:r>
        <w:rPr>
          <w:rFonts w:eastAsia="宋体" w:hint="eastAsia"/>
        </w:rPr>
        <w:t>负责采集电压、电流和温度等运行数据，估算电池的荷电状态和健康状态，并执行电芯均衡、故障预警及充放电保护；</w:t>
      </w:r>
      <w:r>
        <w:rPr>
          <w:rFonts w:eastAsia="宋体" w:hint="eastAsia"/>
        </w:rPr>
        <w:t>PCS</w:t>
      </w:r>
      <w:r>
        <w:rPr>
          <w:rFonts w:eastAsia="宋体" w:hint="eastAsia"/>
        </w:rPr>
        <w:t>连接电池系统与电网或用电负荷，完成直流电与交流电之间的双向转换，并按照控制指令调节充放电功率；</w:t>
      </w:r>
      <w:r>
        <w:rPr>
          <w:rFonts w:eastAsia="宋体" w:hint="eastAsia"/>
        </w:rPr>
        <w:t>EMS</w:t>
      </w:r>
      <w:r>
        <w:rPr>
          <w:rFonts w:eastAsia="宋体" w:hint="eastAsia"/>
        </w:rPr>
        <w:t>则根据电价、用电负荷、电网调度指令和设备运行状态，制定并调整系统的充放电策略。此外，热管理系统负责控制电池运行温度并维持电芯</w:t>
      </w:r>
      <w:r>
        <w:rPr>
          <w:rFonts w:eastAsia="宋体" w:hint="eastAsia"/>
        </w:rPr>
        <w:lastRenderedPageBreak/>
        <w:t>间的一致性，消防和传感设备用于监测过温、烟气及热失控等异常情况，变压器和开关柜等电气设备则承担升降压、并网和电路保护等功能。</w:t>
      </w:r>
    </w:p>
    <w:p w14:paraId="132C2600" w14:textId="205E5E47" w:rsidR="004A0C46" w:rsidRPr="000F283C" w:rsidRDefault="00000000" w:rsidP="000F283C">
      <w:pPr>
        <w:pStyle w:val="a0"/>
        <w:spacing w:before="156"/>
        <w:ind w:firstLine="480"/>
        <w:rPr>
          <w:rFonts w:eastAsia="宋体" w:hint="eastAsia"/>
        </w:rPr>
      </w:pPr>
      <w:r>
        <w:rPr>
          <w:rFonts w:eastAsia="宋体" w:hint="eastAsia"/>
        </w:rPr>
        <w:t>在实际运行过程中，</w:t>
      </w:r>
      <w:r>
        <w:rPr>
          <w:rFonts w:eastAsia="宋体" w:hint="eastAsia"/>
        </w:rPr>
        <w:t>EMS</w:t>
      </w:r>
      <w:r>
        <w:rPr>
          <w:rFonts w:eastAsia="宋体" w:hint="eastAsia"/>
        </w:rPr>
        <w:t>根据外部调度需求和设备状态制定充放电计划，并向</w:t>
      </w:r>
      <w:r>
        <w:rPr>
          <w:rFonts w:eastAsia="宋体" w:hint="eastAsia"/>
        </w:rPr>
        <w:t>PCS</w:t>
      </w:r>
      <w:r>
        <w:rPr>
          <w:rFonts w:eastAsia="宋体" w:hint="eastAsia"/>
        </w:rPr>
        <w:t>下达功率控制指令；</w:t>
      </w:r>
      <w:r>
        <w:rPr>
          <w:rFonts w:eastAsia="宋体" w:hint="eastAsia"/>
        </w:rPr>
        <w:t>PCS</w:t>
      </w:r>
      <w:r>
        <w:rPr>
          <w:rFonts w:eastAsia="宋体" w:hint="eastAsia"/>
        </w:rPr>
        <w:t>按照指令完成电能转换和充放电控制；</w:t>
      </w:r>
      <w:r>
        <w:rPr>
          <w:rFonts w:eastAsia="宋体" w:hint="eastAsia"/>
        </w:rPr>
        <w:t>BMS</w:t>
      </w:r>
      <w:r>
        <w:rPr>
          <w:rFonts w:eastAsia="宋体" w:hint="eastAsia"/>
        </w:rPr>
        <w:t>持续监测电池运行状态，并在出现过充、过放、过温或电芯异常时采取限功率、报警或停机等保护措施。热管理、消防及其他辅助设备同步运行，共同保障储能系统安全、稳定和高效运行。</w:t>
      </w:r>
    </w:p>
    <w:p w14:paraId="1FBA90FD" w14:textId="77777777" w:rsidR="004A0C46" w:rsidRPr="000F283C" w:rsidRDefault="00000000" w:rsidP="000F283C">
      <w:pPr>
        <w:pStyle w:val="3"/>
        <w:numPr>
          <w:ilvl w:val="0"/>
          <w:numId w:val="0"/>
        </w:numPr>
        <w:spacing w:before="156" w:after="156"/>
        <w:rPr>
          <w:rFonts w:hint="eastAsia"/>
        </w:rPr>
      </w:pPr>
      <w:bookmarkStart w:id="8" w:name="toc_target_5"/>
      <w:bookmarkStart w:id="9" w:name="_Toc236992642"/>
      <w:r w:rsidRPr="000F283C">
        <w:rPr>
          <w:rFonts w:hint="eastAsia"/>
        </w:rPr>
        <w:t xml:space="preserve">1.4 </w:t>
      </w:r>
      <w:r w:rsidRPr="000F283C">
        <w:rPr>
          <w:rFonts w:hint="eastAsia"/>
        </w:rPr>
        <w:t>储能行业的基本指标</w:t>
      </w:r>
      <w:bookmarkEnd w:id="8"/>
      <w:bookmarkEnd w:id="9"/>
    </w:p>
    <w:p w14:paraId="5358FC39" w14:textId="77777777" w:rsidR="004A0C46" w:rsidRDefault="00000000" w:rsidP="00795354">
      <w:pPr>
        <w:pStyle w:val="a0"/>
        <w:spacing w:before="156"/>
        <w:ind w:firstLine="480"/>
        <w:rPr>
          <w:rFonts w:eastAsia="宋体" w:hint="eastAsia"/>
        </w:rPr>
      </w:pPr>
      <w:r>
        <w:rPr>
          <w:rFonts w:eastAsia="宋体" w:hint="eastAsia"/>
        </w:rPr>
        <w:t>评价储能项目时，功率、能量和储能时长用于描述项目的基本规模，循环次数、系统效率、</w:t>
      </w:r>
      <w:r>
        <w:rPr>
          <w:rFonts w:eastAsia="宋体" w:hint="eastAsia"/>
        </w:rPr>
        <w:t>SOC/SOH</w:t>
      </w:r>
      <w:r>
        <w:rPr>
          <w:rFonts w:eastAsia="宋体" w:hint="eastAsia"/>
        </w:rPr>
        <w:t>、可用率和等效利用小时则用于观察项目的实际运行情况。各项指标的具体含义如下：</w:t>
      </w:r>
    </w:p>
    <w:tbl>
      <w:tblPr>
        <w:tblW w:w="560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val="04A0" w:firstRow="1" w:lastRow="0" w:firstColumn="1" w:lastColumn="0" w:noHBand="0" w:noVBand="1"/>
      </w:tblPr>
      <w:tblGrid>
        <w:gridCol w:w="2267"/>
        <w:gridCol w:w="7284"/>
      </w:tblGrid>
      <w:tr w:rsidR="004A0C46" w:rsidRPr="00795354" w14:paraId="49FE3EAE" w14:textId="77777777" w:rsidTr="00795354">
        <w:trPr>
          <w:cantSplit/>
          <w:trHeight w:val="397"/>
          <w:tblHeader/>
          <w:jc w:val="center"/>
        </w:trPr>
        <w:tc>
          <w:tcPr>
            <w:tcW w:w="1187" w:type="pct"/>
            <w:tcBorders>
              <w:top w:val="single" w:sz="12" w:space="0" w:color="010000"/>
              <w:bottom w:val="single" w:sz="4" w:space="0" w:color="010000"/>
            </w:tcBorders>
            <w:vAlign w:val="center"/>
          </w:tcPr>
          <w:p w14:paraId="17D0E708" w14:textId="77777777" w:rsidR="004A0C46" w:rsidRPr="00795354" w:rsidRDefault="00000000" w:rsidP="00795354">
            <w:pPr>
              <w:keepNext/>
              <w:jc w:val="center"/>
              <w:rPr>
                <w:rFonts w:hint="eastAsia"/>
                <w:b/>
                <w:color w:val="000000"/>
                <w:sz w:val="21"/>
              </w:rPr>
            </w:pPr>
            <w:r w:rsidRPr="00795354">
              <w:rPr>
                <w:rFonts w:hint="eastAsia"/>
                <w:b/>
                <w:color w:val="000000"/>
                <w:sz w:val="21"/>
              </w:rPr>
              <w:t>指标</w:t>
            </w:r>
          </w:p>
        </w:tc>
        <w:tc>
          <w:tcPr>
            <w:tcW w:w="3813" w:type="pct"/>
            <w:tcBorders>
              <w:top w:val="single" w:sz="12" w:space="0" w:color="010000"/>
              <w:bottom w:val="single" w:sz="4" w:space="0" w:color="010000"/>
            </w:tcBorders>
            <w:vAlign w:val="center"/>
          </w:tcPr>
          <w:p w14:paraId="443BECF5" w14:textId="77777777" w:rsidR="004A0C46" w:rsidRPr="00795354" w:rsidRDefault="00000000" w:rsidP="00795354">
            <w:pPr>
              <w:keepNext/>
              <w:jc w:val="center"/>
              <w:rPr>
                <w:rFonts w:hint="eastAsia"/>
                <w:b/>
                <w:color w:val="000000"/>
                <w:sz w:val="21"/>
              </w:rPr>
            </w:pPr>
            <w:r w:rsidRPr="00795354">
              <w:rPr>
                <w:rFonts w:hint="eastAsia"/>
                <w:b/>
                <w:color w:val="000000"/>
                <w:sz w:val="21"/>
              </w:rPr>
              <w:t>含义</w:t>
            </w:r>
          </w:p>
        </w:tc>
      </w:tr>
      <w:tr w:rsidR="004A0C46" w:rsidRPr="00795354" w14:paraId="7ADE457E" w14:textId="77777777" w:rsidTr="00795354">
        <w:trPr>
          <w:cantSplit/>
          <w:trHeight w:val="397"/>
          <w:jc w:val="center"/>
        </w:trPr>
        <w:tc>
          <w:tcPr>
            <w:tcW w:w="1187" w:type="pct"/>
            <w:tcBorders>
              <w:top w:val="single" w:sz="4" w:space="0" w:color="010000"/>
            </w:tcBorders>
            <w:vAlign w:val="center"/>
          </w:tcPr>
          <w:p w14:paraId="39B78495" w14:textId="77777777" w:rsidR="004A0C46" w:rsidRPr="00795354" w:rsidRDefault="00000000" w:rsidP="00795354">
            <w:pPr>
              <w:jc w:val="left"/>
              <w:rPr>
                <w:rFonts w:hint="eastAsia"/>
                <w:color w:val="000000"/>
                <w:sz w:val="21"/>
              </w:rPr>
            </w:pPr>
            <w:r w:rsidRPr="00795354">
              <w:rPr>
                <w:rFonts w:hint="eastAsia"/>
                <w:color w:val="000000"/>
                <w:sz w:val="21"/>
              </w:rPr>
              <w:t>功率（</w:t>
            </w:r>
            <w:r w:rsidRPr="00795354">
              <w:rPr>
                <w:rFonts w:hint="eastAsia"/>
                <w:color w:val="000000"/>
                <w:sz w:val="21"/>
              </w:rPr>
              <w:t>MW</w:t>
            </w:r>
            <w:r w:rsidRPr="00795354">
              <w:rPr>
                <w:rFonts w:hint="eastAsia"/>
                <w:color w:val="000000"/>
                <w:sz w:val="21"/>
              </w:rPr>
              <w:t>）</w:t>
            </w:r>
          </w:p>
        </w:tc>
        <w:tc>
          <w:tcPr>
            <w:tcW w:w="3813" w:type="pct"/>
            <w:tcBorders>
              <w:top w:val="single" w:sz="4" w:space="0" w:color="010000"/>
            </w:tcBorders>
            <w:vAlign w:val="center"/>
          </w:tcPr>
          <w:p w14:paraId="50662D22" w14:textId="77777777" w:rsidR="004A0C46" w:rsidRPr="00795354" w:rsidRDefault="00000000" w:rsidP="00795354">
            <w:pPr>
              <w:jc w:val="left"/>
              <w:rPr>
                <w:rFonts w:hint="eastAsia"/>
                <w:color w:val="000000"/>
                <w:sz w:val="21"/>
              </w:rPr>
            </w:pPr>
            <w:r w:rsidRPr="00795354">
              <w:rPr>
                <w:rFonts w:hint="eastAsia"/>
                <w:color w:val="000000"/>
                <w:sz w:val="21"/>
              </w:rPr>
              <w:t>功率反映储能系统在某一时点充电或放电的能力，也就是系统充放电的“速度”。功率越大，系统在单位时间内能够从电网吸收或向电网释放的电能越多。</w:t>
            </w:r>
          </w:p>
        </w:tc>
      </w:tr>
      <w:tr w:rsidR="004A0C46" w:rsidRPr="00795354" w14:paraId="3203EBE4" w14:textId="77777777" w:rsidTr="00795354">
        <w:trPr>
          <w:cantSplit/>
          <w:trHeight w:val="397"/>
          <w:jc w:val="center"/>
        </w:trPr>
        <w:tc>
          <w:tcPr>
            <w:tcW w:w="1187" w:type="pct"/>
            <w:vAlign w:val="center"/>
          </w:tcPr>
          <w:p w14:paraId="3C1CF24D" w14:textId="33482196" w:rsidR="004A0C46" w:rsidRPr="00795354" w:rsidRDefault="00000000" w:rsidP="00795354">
            <w:pPr>
              <w:jc w:val="left"/>
              <w:rPr>
                <w:rFonts w:hint="eastAsia"/>
                <w:color w:val="000000"/>
                <w:sz w:val="21"/>
              </w:rPr>
            </w:pPr>
            <w:r w:rsidRPr="00795354">
              <w:rPr>
                <w:rFonts w:hint="eastAsia"/>
                <w:color w:val="000000"/>
                <w:sz w:val="21"/>
              </w:rPr>
              <w:t>能量（</w:t>
            </w:r>
            <w:r w:rsidRPr="00795354">
              <w:rPr>
                <w:rFonts w:hint="eastAsia"/>
                <w:color w:val="000000"/>
                <w:sz w:val="21"/>
              </w:rPr>
              <w:t>MWh</w:t>
            </w:r>
            <w:r w:rsidRPr="00795354">
              <w:rPr>
                <w:rFonts w:hint="eastAsia"/>
                <w:color w:val="000000"/>
                <w:sz w:val="21"/>
              </w:rPr>
              <w:t>）</w:t>
            </w:r>
            <w:r w:rsidR="00662F6D">
              <w:rPr>
                <w:rFonts w:hint="eastAsia"/>
                <w:color w:val="000000"/>
                <w:sz w:val="21"/>
              </w:rPr>
              <w:t xml:space="preserve"> </w:t>
            </w:r>
          </w:p>
        </w:tc>
        <w:tc>
          <w:tcPr>
            <w:tcW w:w="3813" w:type="pct"/>
            <w:vAlign w:val="center"/>
          </w:tcPr>
          <w:p w14:paraId="3D8853CE" w14:textId="77777777" w:rsidR="004A0C46" w:rsidRPr="00795354" w:rsidRDefault="00000000" w:rsidP="00795354">
            <w:pPr>
              <w:jc w:val="left"/>
              <w:rPr>
                <w:rFonts w:hint="eastAsia"/>
                <w:color w:val="000000"/>
                <w:sz w:val="21"/>
              </w:rPr>
            </w:pPr>
            <w:r w:rsidRPr="00795354">
              <w:rPr>
                <w:rFonts w:hint="eastAsia"/>
                <w:color w:val="000000"/>
                <w:sz w:val="21"/>
              </w:rPr>
              <w:t>能量反映储能系统在额定条件下能够储存和释放的电量，也就是系统的“容量”。在功率相同的情况下，能量越大，系统能够持续放电的时间越长。</w:t>
            </w:r>
          </w:p>
        </w:tc>
      </w:tr>
      <w:tr w:rsidR="004A0C46" w:rsidRPr="00795354" w14:paraId="682DD307" w14:textId="77777777" w:rsidTr="00795354">
        <w:trPr>
          <w:cantSplit/>
          <w:trHeight w:val="397"/>
          <w:jc w:val="center"/>
        </w:trPr>
        <w:tc>
          <w:tcPr>
            <w:tcW w:w="1187" w:type="pct"/>
            <w:vAlign w:val="center"/>
          </w:tcPr>
          <w:p w14:paraId="5B7D4C70" w14:textId="77777777" w:rsidR="004A0C46" w:rsidRPr="00795354" w:rsidRDefault="00000000" w:rsidP="00795354">
            <w:pPr>
              <w:jc w:val="left"/>
              <w:rPr>
                <w:rFonts w:hint="eastAsia"/>
                <w:color w:val="000000"/>
                <w:sz w:val="21"/>
              </w:rPr>
            </w:pPr>
            <w:r w:rsidRPr="00795354">
              <w:rPr>
                <w:rFonts w:hint="eastAsia"/>
                <w:color w:val="000000"/>
                <w:sz w:val="21"/>
              </w:rPr>
              <w:t>储能时长</w:t>
            </w:r>
          </w:p>
        </w:tc>
        <w:tc>
          <w:tcPr>
            <w:tcW w:w="3813" w:type="pct"/>
            <w:vAlign w:val="center"/>
          </w:tcPr>
          <w:p w14:paraId="70EA50E2" w14:textId="77777777" w:rsidR="004A0C46" w:rsidRPr="00795354" w:rsidRDefault="00000000" w:rsidP="00795354">
            <w:pPr>
              <w:jc w:val="left"/>
              <w:rPr>
                <w:rFonts w:hint="eastAsia"/>
                <w:color w:val="000000"/>
                <w:sz w:val="21"/>
              </w:rPr>
            </w:pPr>
            <w:r w:rsidRPr="00795354">
              <w:rPr>
                <w:rFonts w:hint="eastAsia"/>
                <w:color w:val="000000"/>
                <w:sz w:val="21"/>
              </w:rPr>
              <w:t>储能时长是储能系统按照额定功率持续放电的时间，通常用额定能量除以额定功率计算。例如，</w:t>
            </w:r>
            <w:r w:rsidRPr="00795354">
              <w:rPr>
                <w:rFonts w:hint="eastAsia"/>
                <w:color w:val="000000"/>
                <w:sz w:val="21"/>
              </w:rPr>
              <w:t>100MW/200MWh</w:t>
            </w:r>
            <w:r w:rsidRPr="00795354">
              <w:rPr>
                <w:rFonts w:hint="eastAsia"/>
                <w:color w:val="000000"/>
                <w:sz w:val="21"/>
              </w:rPr>
              <w:t>的储能项目，对应的储能时长约为</w:t>
            </w:r>
            <w:r w:rsidRPr="00795354">
              <w:rPr>
                <w:rFonts w:hint="eastAsia"/>
                <w:color w:val="000000"/>
                <w:sz w:val="21"/>
              </w:rPr>
              <w:t>2</w:t>
            </w:r>
            <w:r w:rsidRPr="00795354">
              <w:rPr>
                <w:rFonts w:hint="eastAsia"/>
                <w:color w:val="000000"/>
                <w:sz w:val="21"/>
              </w:rPr>
              <w:t>小时。</w:t>
            </w:r>
          </w:p>
        </w:tc>
      </w:tr>
      <w:tr w:rsidR="004A0C46" w:rsidRPr="00795354" w14:paraId="114E3336" w14:textId="77777777" w:rsidTr="00795354">
        <w:trPr>
          <w:cantSplit/>
          <w:trHeight w:val="397"/>
          <w:jc w:val="center"/>
        </w:trPr>
        <w:tc>
          <w:tcPr>
            <w:tcW w:w="1187" w:type="pct"/>
            <w:vAlign w:val="center"/>
          </w:tcPr>
          <w:p w14:paraId="4105A728" w14:textId="77777777" w:rsidR="004A0C46" w:rsidRPr="00795354" w:rsidRDefault="00000000" w:rsidP="00795354">
            <w:pPr>
              <w:jc w:val="left"/>
              <w:rPr>
                <w:rFonts w:hint="eastAsia"/>
                <w:color w:val="000000"/>
                <w:sz w:val="21"/>
              </w:rPr>
            </w:pPr>
            <w:r w:rsidRPr="00795354">
              <w:rPr>
                <w:rFonts w:hint="eastAsia"/>
                <w:color w:val="000000"/>
                <w:sz w:val="21"/>
              </w:rPr>
              <w:t>循环次数</w:t>
            </w:r>
          </w:p>
        </w:tc>
        <w:tc>
          <w:tcPr>
            <w:tcW w:w="3813" w:type="pct"/>
            <w:vAlign w:val="center"/>
          </w:tcPr>
          <w:p w14:paraId="10EA8DCA" w14:textId="77777777" w:rsidR="004A0C46" w:rsidRPr="00795354" w:rsidRDefault="00000000" w:rsidP="00795354">
            <w:pPr>
              <w:jc w:val="left"/>
              <w:rPr>
                <w:rFonts w:hint="eastAsia"/>
                <w:color w:val="000000"/>
                <w:sz w:val="21"/>
              </w:rPr>
            </w:pPr>
            <w:r w:rsidRPr="00795354">
              <w:rPr>
                <w:rFonts w:hint="eastAsia"/>
                <w:color w:val="000000"/>
                <w:sz w:val="21"/>
              </w:rPr>
              <w:t>循环次数反映储能系统完成充电和放电的使用频率。一次完整充电并放电通常计为一次循环，多次不完整充放电也可以折算为等效完整循环；循环次数越多，通常意味着设备使用强度越高，同时也会加快电池衰减。</w:t>
            </w:r>
          </w:p>
        </w:tc>
      </w:tr>
      <w:tr w:rsidR="004A0C46" w:rsidRPr="00795354" w14:paraId="6759B88C" w14:textId="77777777" w:rsidTr="00795354">
        <w:trPr>
          <w:cantSplit/>
          <w:trHeight w:val="397"/>
          <w:jc w:val="center"/>
        </w:trPr>
        <w:tc>
          <w:tcPr>
            <w:tcW w:w="1187" w:type="pct"/>
            <w:vAlign w:val="center"/>
          </w:tcPr>
          <w:p w14:paraId="000F5445" w14:textId="77777777" w:rsidR="004A0C46" w:rsidRPr="00795354" w:rsidRDefault="00000000" w:rsidP="00795354">
            <w:pPr>
              <w:jc w:val="left"/>
              <w:rPr>
                <w:rFonts w:hint="eastAsia"/>
                <w:color w:val="000000"/>
                <w:sz w:val="21"/>
              </w:rPr>
            </w:pPr>
            <w:r w:rsidRPr="00795354">
              <w:rPr>
                <w:rFonts w:hint="eastAsia"/>
                <w:color w:val="000000"/>
                <w:sz w:val="21"/>
              </w:rPr>
              <w:t>系统效率</w:t>
            </w:r>
          </w:p>
        </w:tc>
        <w:tc>
          <w:tcPr>
            <w:tcW w:w="3813" w:type="pct"/>
            <w:vAlign w:val="center"/>
          </w:tcPr>
          <w:p w14:paraId="672090A3" w14:textId="77777777" w:rsidR="004A0C46" w:rsidRPr="00795354" w:rsidRDefault="00000000" w:rsidP="00795354">
            <w:pPr>
              <w:jc w:val="left"/>
              <w:rPr>
                <w:rFonts w:hint="eastAsia"/>
                <w:color w:val="000000"/>
                <w:sz w:val="21"/>
              </w:rPr>
            </w:pPr>
            <w:r w:rsidRPr="00795354">
              <w:rPr>
                <w:rFonts w:hint="eastAsia"/>
                <w:color w:val="000000"/>
                <w:sz w:val="21"/>
              </w:rPr>
              <w:t>系统效率反映储能系统放出的电量与充入电量之间的比例，用于衡量充放电过程中的电能损耗。例如，系统充入</w:t>
            </w:r>
            <w:r w:rsidRPr="00795354">
              <w:rPr>
                <w:rFonts w:hint="eastAsia"/>
                <w:color w:val="000000"/>
                <w:sz w:val="21"/>
              </w:rPr>
              <w:t>100MWh</w:t>
            </w:r>
            <w:r w:rsidRPr="00795354">
              <w:rPr>
                <w:rFonts w:hint="eastAsia"/>
                <w:color w:val="000000"/>
                <w:sz w:val="21"/>
              </w:rPr>
              <w:t>电量后能够放出</w:t>
            </w:r>
            <w:r w:rsidRPr="00795354">
              <w:rPr>
                <w:rFonts w:hint="eastAsia"/>
                <w:color w:val="000000"/>
                <w:sz w:val="21"/>
              </w:rPr>
              <w:t>90MWh</w:t>
            </w:r>
            <w:r w:rsidRPr="00795354">
              <w:rPr>
                <w:rFonts w:hint="eastAsia"/>
                <w:color w:val="000000"/>
                <w:sz w:val="21"/>
              </w:rPr>
              <w:t>，其充放电效率约为</w:t>
            </w:r>
            <w:r w:rsidRPr="00795354">
              <w:rPr>
                <w:rFonts w:hint="eastAsia"/>
                <w:color w:val="000000"/>
                <w:sz w:val="21"/>
              </w:rPr>
              <w:t>90%</w:t>
            </w:r>
            <w:r w:rsidRPr="00795354">
              <w:rPr>
                <w:rFonts w:hint="eastAsia"/>
                <w:color w:val="000000"/>
                <w:sz w:val="21"/>
              </w:rPr>
              <w:t>。</w:t>
            </w:r>
          </w:p>
        </w:tc>
      </w:tr>
      <w:tr w:rsidR="004A0C46" w:rsidRPr="00795354" w14:paraId="29C971C3" w14:textId="77777777" w:rsidTr="00795354">
        <w:trPr>
          <w:cantSplit/>
          <w:trHeight w:val="397"/>
          <w:jc w:val="center"/>
        </w:trPr>
        <w:tc>
          <w:tcPr>
            <w:tcW w:w="1187" w:type="pct"/>
            <w:vAlign w:val="center"/>
          </w:tcPr>
          <w:p w14:paraId="7809B995" w14:textId="77777777" w:rsidR="004A0C46" w:rsidRPr="00795354" w:rsidRDefault="00000000" w:rsidP="00795354">
            <w:pPr>
              <w:jc w:val="left"/>
              <w:rPr>
                <w:rFonts w:hint="eastAsia"/>
                <w:color w:val="000000"/>
                <w:sz w:val="21"/>
              </w:rPr>
            </w:pPr>
            <w:r w:rsidRPr="00795354">
              <w:rPr>
                <w:rFonts w:hint="eastAsia"/>
                <w:color w:val="000000"/>
                <w:sz w:val="21"/>
              </w:rPr>
              <w:t>SOC/SOH</w:t>
            </w:r>
          </w:p>
        </w:tc>
        <w:tc>
          <w:tcPr>
            <w:tcW w:w="3813" w:type="pct"/>
            <w:vAlign w:val="center"/>
          </w:tcPr>
          <w:p w14:paraId="28218A75" w14:textId="77777777" w:rsidR="004A0C46" w:rsidRPr="00795354" w:rsidRDefault="00000000" w:rsidP="00795354">
            <w:pPr>
              <w:jc w:val="left"/>
              <w:rPr>
                <w:rFonts w:hint="eastAsia"/>
                <w:color w:val="000000"/>
                <w:sz w:val="21"/>
              </w:rPr>
            </w:pPr>
            <w:r w:rsidRPr="00795354">
              <w:rPr>
                <w:rFonts w:hint="eastAsia"/>
                <w:color w:val="000000"/>
                <w:sz w:val="21"/>
              </w:rPr>
              <w:t>SOC</w:t>
            </w:r>
            <w:r w:rsidRPr="00795354">
              <w:rPr>
                <w:rFonts w:hint="eastAsia"/>
                <w:color w:val="000000"/>
                <w:sz w:val="21"/>
              </w:rPr>
              <w:t>表示储能系统当前剩余电量占可用容量的比例，用于判断系统还能充入或释放多少电量；</w:t>
            </w:r>
            <w:r w:rsidRPr="00795354">
              <w:rPr>
                <w:rFonts w:hint="eastAsia"/>
                <w:color w:val="000000"/>
                <w:sz w:val="21"/>
              </w:rPr>
              <w:t>SOH</w:t>
            </w:r>
            <w:r w:rsidRPr="00795354">
              <w:rPr>
                <w:rFonts w:hint="eastAsia"/>
                <w:color w:val="000000"/>
                <w:sz w:val="21"/>
              </w:rPr>
              <w:t>表示电池当前性能相对于初始状态的健康程度，用于观察容量衰减和设备寿命。</w:t>
            </w:r>
          </w:p>
        </w:tc>
      </w:tr>
      <w:tr w:rsidR="004A0C46" w:rsidRPr="00795354" w14:paraId="191BDF09" w14:textId="77777777" w:rsidTr="00795354">
        <w:trPr>
          <w:cantSplit/>
          <w:trHeight w:val="397"/>
          <w:jc w:val="center"/>
        </w:trPr>
        <w:tc>
          <w:tcPr>
            <w:tcW w:w="1187" w:type="pct"/>
            <w:vAlign w:val="center"/>
          </w:tcPr>
          <w:p w14:paraId="301E15B7" w14:textId="77777777" w:rsidR="004A0C46" w:rsidRPr="00795354" w:rsidRDefault="00000000" w:rsidP="00795354">
            <w:pPr>
              <w:jc w:val="left"/>
              <w:rPr>
                <w:rFonts w:hint="eastAsia"/>
                <w:color w:val="000000"/>
                <w:sz w:val="21"/>
              </w:rPr>
            </w:pPr>
            <w:r w:rsidRPr="00795354">
              <w:rPr>
                <w:rFonts w:hint="eastAsia"/>
                <w:color w:val="000000"/>
                <w:sz w:val="21"/>
              </w:rPr>
              <w:t>可用率</w:t>
            </w:r>
          </w:p>
        </w:tc>
        <w:tc>
          <w:tcPr>
            <w:tcW w:w="3813" w:type="pct"/>
            <w:vAlign w:val="center"/>
          </w:tcPr>
          <w:p w14:paraId="0D33D916" w14:textId="77777777" w:rsidR="004A0C46" w:rsidRPr="00795354" w:rsidRDefault="00000000" w:rsidP="00795354">
            <w:pPr>
              <w:jc w:val="left"/>
              <w:rPr>
                <w:rFonts w:hint="eastAsia"/>
                <w:color w:val="000000"/>
                <w:sz w:val="21"/>
              </w:rPr>
            </w:pPr>
            <w:r w:rsidRPr="00795354">
              <w:rPr>
                <w:rFonts w:hint="eastAsia"/>
                <w:color w:val="000000"/>
                <w:sz w:val="21"/>
              </w:rPr>
              <w:t>可用率是指在一定统计期间内，储能系统处于能够正常充放电并接受调度状态的时间比例。设备发生故障、检修时间较长或者部分电池簇退出运行，都会降低项目的可用率。</w:t>
            </w:r>
          </w:p>
        </w:tc>
      </w:tr>
      <w:tr w:rsidR="004A0C46" w:rsidRPr="00795354" w14:paraId="21A64E89" w14:textId="77777777" w:rsidTr="00795354">
        <w:trPr>
          <w:cantSplit/>
          <w:trHeight w:val="397"/>
          <w:jc w:val="center"/>
        </w:trPr>
        <w:tc>
          <w:tcPr>
            <w:tcW w:w="1187" w:type="pct"/>
            <w:vAlign w:val="center"/>
          </w:tcPr>
          <w:p w14:paraId="5D481F07" w14:textId="77777777" w:rsidR="004A0C46" w:rsidRPr="00795354" w:rsidRDefault="00000000" w:rsidP="00795354">
            <w:pPr>
              <w:jc w:val="left"/>
              <w:rPr>
                <w:rFonts w:hint="eastAsia"/>
                <w:color w:val="000000"/>
                <w:sz w:val="21"/>
              </w:rPr>
            </w:pPr>
            <w:r w:rsidRPr="00795354">
              <w:rPr>
                <w:rFonts w:hint="eastAsia"/>
                <w:color w:val="000000"/>
                <w:sz w:val="21"/>
              </w:rPr>
              <w:t>等效利用小时</w:t>
            </w:r>
          </w:p>
        </w:tc>
        <w:tc>
          <w:tcPr>
            <w:tcW w:w="3813" w:type="pct"/>
            <w:vAlign w:val="center"/>
          </w:tcPr>
          <w:p w14:paraId="32DB49AD" w14:textId="77777777" w:rsidR="004A0C46" w:rsidRPr="00795354" w:rsidRDefault="00000000" w:rsidP="00795354">
            <w:pPr>
              <w:jc w:val="left"/>
              <w:rPr>
                <w:rFonts w:hint="eastAsia"/>
                <w:color w:val="000000"/>
                <w:sz w:val="21"/>
              </w:rPr>
            </w:pPr>
            <w:r w:rsidRPr="00795354">
              <w:rPr>
                <w:rFonts w:hint="eastAsia"/>
                <w:color w:val="000000"/>
                <w:sz w:val="21"/>
              </w:rPr>
              <w:t>等效利用小时是将项目一定期间内的实际放电量，折算为按照额定功率连续放电的小时数。例如，额定功率为</w:t>
            </w:r>
            <w:r w:rsidRPr="00795354">
              <w:rPr>
                <w:rFonts w:hint="eastAsia"/>
                <w:color w:val="000000"/>
                <w:sz w:val="21"/>
              </w:rPr>
              <w:t>100MW</w:t>
            </w:r>
            <w:r w:rsidRPr="00795354">
              <w:rPr>
                <w:rFonts w:hint="eastAsia"/>
                <w:color w:val="000000"/>
                <w:sz w:val="21"/>
              </w:rPr>
              <w:t>的项目全年放电</w:t>
            </w:r>
            <w:r w:rsidRPr="00795354">
              <w:rPr>
                <w:rFonts w:hint="eastAsia"/>
                <w:color w:val="000000"/>
                <w:sz w:val="21"/>
              </w:rPr>
              <w:t>10</w:t>
            </w:r>
            <w:r w:rsidRPr="00795354">
              <w:rPr>
                <w:rFonts w:hint="eastAsia"/>
                <w:color w:val="000000"/>
                <w:sz w:val="21"/>
              </w:rPr>
              <w:t>万</w:t>
            </w:r>
            <w:r w:rsidRPr="00795354">
              <w:rPr>
                <w:rFonts w:hint="eastAsia"/>
                <w:color w:val="000000"/>
                <w:sz w:val="21"/>
              </w:rPr>
              <w:t>MWh</w:t>
            </w:r>
            <w:r w:rsidRPr="00795354">
              <w:rPr>
                <w:rFonts w:hint="eastAsia"/>
                <w:color w:val="000000"/>
                <w:sz w:val="21"/>
              </w:rPr>
              <w:t>，其等效利用小时为</w:t>
            </w:r>
            <w:r w:rsidRPr="00795354">
              <w:rPr>
                <w:rFonts w:hint="eastAsia"/>
                <w:color w:val="000000"/>
                <w:sz w:val="21"/>
              </w:rPr>
              <w:t>1,000</w:t>
            </w:r>
            <w:r w:rsidRPr="00795354">
              <w:rPr>
                <w:rFonts w:hint="eastAsia"/>
                <w:color w:val="000000"/>
                <w:sz w:val="21"/>
              </w:rPr>
              <w:t>小时；该指标可以用于比较不同项目的实际调用和利用水平。</w:t>
            </w:r>
          </w:p>
        </w:tc>
      </w:tr>
    </w:tbl>
    <w:p w14:paraId="041FABB3" w14:textId="77777777" w:rsidR="004A0C46" w:rsidRDefault="004A0C46">
      <w:pPr>
        <w:widowControl/>
        <w:jc w:val="left"/>
        <w:rPr>
          <w:rFonts w:ascii="宋体" w:hAnsi="宋体" w:cs="宋体" w:hint="eastAsia"/>
          <w:sz w:val="2"/>
          <w:szCs w:val="2"/>
        </w:rPr>
      </w:pPr>
    </w:p>
    <w:p w14:paraId="4E0AA1E8" w14:textId="77777777" w:rsidR="004A0C46" w:rsidRDefault="004A0C46">
      <w:pPr>
        <w:widowControl/>
        <w:jc w:val="left"/>
        <w:rPr>
          <w:rFonts w:ascii="宋体" w:hAnsi="宋体" w:cs="宋体" w:hint="eastAsia"/>
          <w:sz w:val="2"/>
          <w:szCs w:val="2"/>
        </w:rPr>
      </w:pPr>
    </w:p>
    <w:p w14:paraId="08F21DBF" w14:textId="77777777" w:rsidR="004A0C46" w:rsidRDefault="004A0C46">
      <w:pPr>
        <w:widowControl/>
        <w:jc w:val="left"/>
        <w:rPr>
          <w:rFonts w:ascii="宋体" w:hAnsi="宋体" w:cs="宋体" w:hint="eastAsia"/>
          <w:sz w:val="2"/>
          <w:szCs w:val="2"/>
        </w:rPr>
      </w:pPr>
    </w:p>
    <w:p w14:paraId="4B6BE168" w14:textId="77777777" w:rsidR="004A0C46" w:rsidRDefault="004A0C46">
      <w:pPr>
        <w:widowControl/>
        <w:jc w:val="left"/>
        <w:rPr>
          <w:rFonts w:ascii="宋体" w:hAnsi="宋体" w:cs="宋体" w:hint="eastAsia"/>
          <w:sz w:val="2"/>
          <w:szCs w:val="2"/>
        </w:rPr>
      </w:pPr>
    </w:p>
    <w:p w14:paraId="04B33564" w14:textId="77777777" w:rsidR="004A0C46" w:rsidRDefault="004A0C46">
      <w:pPr>
        <w:widowControl/>
        <w:jc w:val="left"/>
        <w:rPr>
          <w:rFonts w:ascii="宋体" w:hAnsi="宋体" w:cs="宋体" w:hint="eastAsia"/>
          <w:sz w:val="2"/>
          <w:szCs w:val="2"/>
        </w:rPr>
      </w:pPr>
    </w:p>
    <w:p w14:paraId="6FDFA40E" w14:textId="77777777" w:rsidR="004A0C46" w:rsidRDefault="00000000" w:rsidP="00FF56FE">
      <w:pPr>
        <w:pStyle w:val="2"/>
        <w:spacing w:before="156" w:after="156"/>
        <w:rPr>
          <w:rFonts w:ascii="宋体" w:eastAsia="宋体" w:hAnsi="宋体" w:cs="宋体" w:hint="eastAsia"/>
          <w:b/>
          <w:bCs w:val="0"/>
          <w:szCs w:val="21"/>
        </w:rPr>
      </w:pPr>
      <w:bookmarkStart w:id="10" w:name="toc_target_6"/>
      <w:bookmarkStart w:id="11" w:name="_Toc236992643"/>
      <w:r w:rsidRPr="00FF56FE">
        <w:rPr>
          <w:rFonts w:hint="eastAsia"/>
        </w:rPr>
        <w:t>储能产业链结构及各环节比较</w:t>
      </w:r>
      <w:bookmarkEnd w:id="10"/>
      <w:bookmarkEnd w:id="11"/>
    </w:p>
    <w:p w14:paraId="71A59994" w14:textId="77777777" w:rsidR="004A0C46" w:rsidRPr="00592284" w:rsidRDefault="00000000" w:rsidP="00592284">
      <w:pPr>
        <w:pStyle w:val="3"/>
        <w:numPr>
          <w:ilvl w:val="0"/>
          <w:numId w:val="0"/>
        </w:numPr>
        <w:spacing w:before="156" w:after="156"/>
        <w:rPr>
          <w:rFonts w:hint="eastAsia"/>
        </w:rPr>
      </w:pPr>
      <w:bookmarkStart w:id="12" w:name="toc_target_7"/>
      <w:bookmarkStart w:id="13" w:name="_Toc236992644"/>
      <w:r w:rsidRPr="00592284">
        <w:rPr>
          <w:rFonts w:hint="eastAsia"/>
        </w:rPr>
        <w:t xml:space="preserve">2.1 </w:t>
      </w:r>
      <w:r w:rsidRPr="00592284">
        <w:rPr>
          <w:rFonts w:hint="eastAsia"/>
        </w:rPr>
        <w:t>产业链整体结构与价值传导</w:t>
      </w:r>
      <w:bookmarkEnd w:id="12"/>
      <w:bookmarkEnd w:id="13"/>
    </w:p>
    <w:p w14:paraId="7901C390" w14:textId="77777777" w:rsidR="004A0C46" w:rsidRDefault="00000000" w:rsidP="00592284">
      <w:pPr>
        <w:pStyle w:val="a0"/>
        <w:spacing w:before="156"/>
        <w:ind w:firstLine="480"/>
        <w:rPr>
          <w:rFonts w:eastAsia="宋体" w:hint="eastAsia"/>
        </w:rPr>
      </w:pPr>
      <w:r>
        <w:rPr>
          <w:rFonts w:eastAsia="宋体" w:hint="eastAsia"/>
        </w:rPr>
        <w:t>储能产业链可以划分为上游材料和电芯、中游核心部件与系统交付、下游项目应用和资产运营三个层次。上游提供电化学材料和储能载体，中游将电芯、功率转换、控制及安全设备组合为可并网运行的完整系统，下游通过电力市场交易、负荷管理和长期运营把设备能力转化为实际收益。产业链中的价值传导同时沿两个方向展开。碳酸锂、电芯和功率器件等成本变化由上游传递至储能系统和</w:t>
      </w:r>
      <w:r>
        <w:rPr>
          <w:rFonts w:eastAsia="宋体" w:hint="eastAsia"/>
        </w:rPr>
        <w:t>EPC</w:t>
      </w:r>
      <w:r>
        <w:rPr>
          <w:rFonts w:eastAsia="宋体" w:hint="eastAsia"/>
        </w:rPr>
        <w:t>价格；现货价差、辅助服务、容量电价、容量租赁及用户侧电价等收益条件，则从下游反向影响项目投资意愿、招标规模和设备采购价格。</w:t>
      </w:r>
    </w:p>
    <w:p w14:paraId="53B874CE" w14:textId="77777777" w:rsidR="004A0C46" w:rsidRPr="00592284" w:rsidRDefault="00000000" w:rsidP="00592284">
      <w:pPr>
        <w:pStyle w:val="3"/>
        <w:numPr>
          <w:ilvl w:val="0"/>
          <w:numId w:val="0"/>
        </w:numPr>
        <w:spacing w:before="156" w:after="156"/>
        <w:rPr>
          <w:rFonts w:hint="eastAsia"/>
        </w:rPr>
      </w:pPr>
      <w:bookmarkStart w:id="14" w:name="toc_target_8"/>
      <w:bookmarkStart w:id="15" w:name="_Toc236992645"/>
      <w:r w:rsidRPr="00592284">
        <w:rPr>
          <w:rFonts w:hint="eastAsia"/>
        </w:rPr>
        <w:t xml:space="preserve">2.2 </w:t>
      </w:r>
      <w:r w:rsidRPr="00592284">
        <w:rPr>
          <w:rFonts w:hint="eastAsia"/>
        </w:rPr>
        <w:t>上游：原材料、电芯及电池簇</w:t>
      </w:r>
      <w:bookmarkEnd w:id="14"/>
      <w:bookmarkEnd w:id="15"/>
    </w:p>
    <w:p w14:paraId="6665E8A9" w14:textId="77777777" w:rsidR="004A0C46" w:rsidRDefault="00000000" w:rsidP="00592284">
      <w:pPr>
        <w:pStyle w:val="a0"/>
        <w:spacing w:before="156"/>
        <w:ind w:firstLine="480"/>
        <w:rPr>
          <w:rFonts w:eastAsia="宋体" w:hint="eastAsia"/>
        </w:rPr>
      </w:pPr>
      <w:r>
        <w:rPr>
          <w:rFonts w:eastAsia="宋体" w:hint="eastAsia"/>
        </w:rPr>
        <w:t>上游决定储能系统的基础成本和能量载体性能。材料环节与动力电池共用大部分供应链，经营结果容易受到原料价格和扩产周期影响。电芯及电池簇环节则更强调良率、批次一致性、循环寿命、安全性能和规模交付能力。</w:t>
      </w:r>
    </w:p>
    <w:tbl>
      <w:tblPr>
        <w:tblW w:w="5269"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val="04A0" w:firstRow="1" w:lastRow="0" w:firstColumn="1" w:lastColumn="0" w:noHBand="0" w:noVBand="1"/>
      </w:tblPr>
      <w:tblGrid>
        <w:gridCol w:w="985"/>
        <w:gridCol w:w="5498"/>
        <w:gridCol w:w="2501"/>
      </w:tblGrid>
      <w:tr w:rsidR="004A0C46" w:rsidRPr="00592284" w14:paraId="7DF08DD8" w14:textId="77777777" w:rsidTr="00592284">
        <w:trPr>
          <w:cantSplit/>
          <w:trHeight w:val="397"/>
          <w:tblHeader/>
          <w:jc w:val="center"/>
        </w:trPr>
        <w:tc>
          <w:tcPr>
            <w:tcW w:w="548" w:type="pct"/>
            <w:tcBorders>
              <w:top w:val="single" w:sz="12" w:space="0" w:color="010000"/>
              <w:bottom w:val="single" w:sz="4" w:space="0" w:color="010000"/>
            </w:tcBorders>
            <w:vAlign w:val="center"/>
          </w:tcPr>
          <w:p w14:paraId="6E9B95D3" w14:textId="77777777" w:rsidR="004A0C46" w:rsidRPr="00592284" w:rsidRDefault="00000000" w:rsidP="00592284">
            <w:pPr>
              <w:keepNext/>
              <w:jc w:val="center"/>
              <w:rPr>
                <w:rFonts w:hint="eastAsia"/>
                <w:b/>
                <w:color w:val="000000"/>
                <w:sz w:val="21"/>
              </w:rPr>
            </w:pPr>
            <w:r w:rsidRPr="00592284">
              <w:rPr>
                <w:rFonts w:hint="eastAsia"/>
                <w:b/>
                <w:color w:val="000000"/>
                <w:sz w:val="21"/>
              </w:rPr>
              <w:t>环节</w:t>
            </w:r>
          </w:p>
        </w:tc>
        <w:tc>
          <w:tcPr>
            <w:tcW w:w="3060" w:type="pct"/>
            <w:tcBorders>
              <w:top w:val="single" w:sz="12" w:space="0" w:color="010000"/>
              <w:bottom w:val="single" w:sz="4" w:space="0" w:color="010000"/>
            </w:tcBorders>
            <w:vAlign w:val="center"/>
          </w:tcPr>
          <w:p w14:paraId="61CFB836" w14:textId="77777777" w:rsidR="004A0C46" w:rsidRPr="00592284" w:rsidRDefault="00000000" w:rsidP="00592284">
            <w:pPr>
              <w:keepNext/>
              <w:jc w:val="center"/>
              <w:rPr>
                <w:rFonts w:hint="eastAsia"/>
                <w:b/>
                <w:color w:val="000000"/>
                <w:sz w:val="21"/>
              </w:rPr>
            </w:pPr>
            <w:r w:rsidRPr="00592284">
              <w:rPr>
                <w:rFonts w:hint="eastAsia"/>
                <w:b/>
                <w:color w:val="000000"/>
                <w:sz w:val="21"/>
              </w:rPr>
              <w:t>主要技术路线与产品</w:t>
            </w:r>
          </w:p>
        </w:tc>
        <w:tc>
          <w:tcPr>
            <w:tcW w:w="1392" w:type="pct"/>
            <w:tcBorders>
              <w:top w:val="single" w:sz="12" w:space="0" w:color="010000"/>
              <w:bottom w:val="single" w:sz="4" w:space="0" w:color="010000"/>
            </w:tcBorders>
            <w:vAlign w:val="center"/>
          </w:tcPr>
          <w:p w14:paraId="78DAD37E" w14:textId="77777777" w:rsidR="004A0C46" w:rsidRPr="00592284" w:rsidRDefault="00000000" w:rsidP="00592284">
            <w:pPr>
              <w:keepNext/>
              <w:jc w:val="center"/>
              <w:rPr>
                <w:rFonts w:hint="eastAsia"/>
                <w:b/>
                <w:color w:val="000000"/>
                <w:sz w:val="21"/>
              </w:rPr>
            </w:pPr>
            <w:r w:rsidRPr="00592284">
              <w:rPr>
                <w:rFonts w:hint="eastAsia"/>
                <w:b/>
                <w:color w:val="000000"/>
                <w:sz w:val="21"/>
              </w:rPr>
              <w:t>代表性企业</w:t>
            </w:r>
          </w:p>
        </w:tc>
      </w:tr>
      <w:tr w:rsidR="004A0C46" w:rsidRPr="00592284" w14:paraId="622DD1AC" w14:textId="77777777" w:rsidTr="00592284">
        <w:trPr>
          <w:cantSplit/>
          <w:trHeight w:val="397"/>
          <w:jc w:val="center"/>
        </w:trPr>
        <w:tc>
          <w:tcPr>
            <w:tcW w:w="548" w:type="pct"/>
            <w:tcBorders>
              <w:top w:val="single" w:sz="4" w:space="0" w:color="010000"/>
            </w:tcBorders>
            <w:vAlign w:val="center"/>
          </w:tcPr>
          <w:p w14:paraId="107E8817" w14:textId="77777777" w:rsidR="004A0C46" w:rsidRPr="00592284" w:rsidRDefault="00000000" w:rsidP="00592284">
            <w:pPr>
              <w:jc w:val="left"/>
              <w:rPr>
                <w:rFonts w:hint="eastAsia"/>
                <w:color w:val="000000"/>
                <w:sz w:val="21"/>
              </w:rPr>
            </w:pPr>
            <w:r w:rsidRPr="00592284">
              <w:rPr>
                <w:rFonts w:hint="eastAsia"/>
                <w:color w:val="000000"/>
                <w:sz w:val="21"/>
              </w:rPr>
              <w:t>原材料</w:t>
            </w:r>
          </w:p>
        </w:tc>
        <w:tc>
          <w:tcPr>
            <w:tcW w:w="3060" w:type="pct"/>
            <w:tcBorders>
              <w:top w:val="single" w:sz="4" w:space="0" w:color="010000"/>
            </w:tcBorders>
            <w:vAlign w:val="center"/>
          </w:tcPr>
          <w:p w14:paraId="61378E21" w14:textId="77777777" w:rsidR="004A0C46" w:rsidRPr="00592284" w:rsidRDefault="00000000" w:rsidP="00592284">
            <w:pPr>
              <w:jc w:val="left"/>
              <w:rPr>
                <w:rFonts w:hint="eastAsia"/>
                <w:color w:val="000000"/>
                <w:sz w:val="21"/>
              </w:rPr>
            </w:pPr>
            <w:r w:rsidRPr="00592284">
              <w:rPr>
                <w:rFonts w:hint="eastAsia"/>
                <w:color w:val="000000"/>
                <w:sz w:val="21"/>
              </w:rPr>
              <w:t>储能电池所需的原材料与动力电池基本相同，主要包括碳酸锂、磷酸铁锂正极、石墨负极、隔膜、电解液以及铜箔、铝箔等。这些材料共同决定电芯的成本、能量密度、循环寿命和安全性能。</w:t>
            </w:r>
          </w:p>
        </w:tc>
        <w:tc>
          <w:tcPr>
            <w:tcW w:w="1392" w:type="pct"/>
            <w:tcBorders>
              <w:top w:val="single" w:sz="4" w:space="0" w:color="010000"/>
            </w:tcBorders>
            <w:vAlign w:val="center"/>
          </w:tcPr>
          <w:p w14:paraId="2B547589" w14:textId="77777777" w:rsidR="004A0C46" w:rsidRPr="00592284" w:rsidRDefault="00000000" w:rsidP="00592284">
            <w:pPr>
              <w:jc w:val="left"/>
              <w:rPr>
                <w:rFonts w:hint="eastAsia"/>
                <w:color w:val="000000"/>
                <w:sz w:val="21"/>
              </w:rPr>
            </w:pPr>
            <w:r w:rsidRPr="00592284">
              <w:rPr>
                <w:rFonts w:hint="eastAsia"/>
                <w:color w:val="000000"/>
                <w:sz w:val="21"/>
              </w:rPr>
              <w:t>赣锋锂业、天齐锂业、湖南裕能、德方纳米、万润新能、恩捷股份、天赐材料、新宙邦等。</w:t>
            </w:r>
          </w:p>
        </w:tc>
      </w:tr>
      <w:tr w:rsidR="004A0C46" w:rsidRPr="00592284" w14:paraId="2578F2AB" w14:textId="77777777" w:rsidTr="00592284">
        <w:trPr>
          <w:cantSplit/>
          <w:trHeight w:val="397"/>
          <w:jc w:val="center"/>
        </w:trPr>
        <w:tc>
          <w:tcPr>
            <w:tcW w:w="548" w:type="pct"/>
            <w:vAlign w:val="center"/>
          </w:tcPr>
          <w:p w14:paraId="12D1A993" w14:textId="77777777" w:rsidR="004A0C46" w:rsidRPr="00592284" w:rsidRDefault="00000000" w:rsidP="00592284">
            <w:pPr>
              <w:jc w:val="left"/>
              <w:rPr>
                <w:rFonts w:hint="eastAsia"/>
                <w:color w:val="000000"/>
                <w:sz w:val="21"/>
              </w:rPr>
            </w:pPr>
            <w:r w:rsidRPr="00592284">
              <w:rPr>
                <w:rFonts w:hint="eastAsia"/>
                <w:color w:val="000000"/>
                <w:sz w:val="21"/>
              </w:rPr>
              <w:t>电芯与</w:t>
            </w:r>
            <w:r w:rsidRPr="00592284">
              <w:rPr>
                <w:rFonts w:hint="eastAsia"/>
                <w:color w:val="000000"/>
                <w:sz w:val="21"/>
              </w:rPr>
              <w:br/>
            </w:r>
            <w:r w:rsidRPr="00592284">
              <w:rPr>
                <w:rFonts w:hint="eastAsia"/>
                <w:color w:val="000000"/>
                <w:sz w:val="21"/>
              </w:rPr>
              <w:t>电池簇</w:t>
            </w:r>
          </w:p>
        </w:tc>
        <w:tc>
          <w:tcPr>
            <w:tcW w:w="3060" w:type="pct"/>
            <w:vAlign w:val="center"/>
          </w:tcPr>
          <w:p w14:paraId="10632A12" w14:textId="77777777" w:rsidR="004A0C46" w:rsidRPr="00592284" w:rsidRDefault="00000000" w:rsidP="00592284">
            <w:pPr>
              <w:jc w:val="left"/>
              <w:rPr>
                <w:rFonts w:hint="eastAsia"/>
                <w:color w:val="000000"/>
                <w:sz w:val="21"/>
              </w:rPr>
            </w:pPr>
            <w:r w:rsidRPr="00592284">
              <w:rPr>
                <w:rFonts w:hint="eastAsia"/>
                <w:color w:val="000000"/>
                <w:sz w:val="21"/>
              </w:rPr>
              <w:t>电芯是实际储存和释放电能的核心部件，目前以磷酸铁锂方形电芯为主，并向更大容量发展。电芯经过组合后形成模组、电池簇和电池舱，作为储能系统的基本交付单元；钠离子电池和液流电池则在部分长时储能场景中形成补充。</w:t>
            </w:r>
          </w:p>
        </w:tc>
        <w:tc>
          <w:tcPr>
            <w:tcW w:w="1392" w:type="pct"/>
            <w:vAlign w:val="center"/>
          </w:tcPr>
          <w:p w14:paraId="4751BAD2" w14:textId="77777777" w:rsidR="004A0C46" w:rsidRPr="00592284" w:rsidRDefault="00000000" w:rsidP="00592284">
            <w:pPr>
              <w:jc w:val="left"/>
              <w:rPr>
                <w:rFonts w:hint="eastAsia"/>
                <w:color w:val="000000"/>
                <w:sz w:val="21"/>
              </w:rPr>
            </w:pPr>
            <w:r w:rsidRPr="00592284">
              <w:rPr>
                <w:rFonts w:hint="eastAsia"/>
                <w:color w:val="000000"/>
                <w:sz w:val="21"/>
              </w:rPr>
              <w:t>宁德时代、比亚迪、海辰储能、亿纬锂能、瑞浦兰钧、中创新航、国轩高科、远景动力等。</w:t>
            </w:r>
          </w:p>
        </w:tc>
      </w:tr>
    </w:tbl>
    <w:p w14:paraId="6D274692" w14:textId="77777777" w:rsidR="004A0C46" w:rsidRDefault="00000000" w:rsidP="007E5EB5">
      <w:pPr>
        <w:pStyle w:val="a0"/>
        <w:spacing w:before="156"/>
        <w:ind w:firstLine="480"/>
        <w:rPr>
          <w:rFonts w:eastAsia="宋体" w:hint="eastAsia"/>
        </w:rPr>
      </w:pPr>
      <w:r>
        <w:rPr>
          <w:rFonts w:eastAsia="宋体" w:hint="eastAsia"/>
        </w:rPr>
        <w:t>从经营模式看，原材料和电芯企业主要通过产品销售形成收入，资本开支、库存和研发投入相对较高。材料企业需要平衡资源保障、加工能力和价格周期。电芯企业则需要通过一致性、安全、衰减控制、现场运行数据和客户认证支撑长期质保。</w:t>
      </w:r>
    </w:p>
    <w:p w14:paraId="16CB3F96" w14:textId="77777777" w:rsidR="004A0C46" w:rsidRPr="00592284" w:rsidRDefault="00000000" w:rsidP="00592284">
      <w:pPr>
        <w:pStyle w:val="3"/>
        <w:numPr>
          <w:ilvl w:val="0"/>
          <w:numId w:val="0"/>
        </w:numPr>
        <w:spacing w:before="156" w:after="156"/>
        <w:rPr>
          <w:rFonts w:hint="eastAsia"/>
        </w:rPr>
      </w:pPr>
      <w:bookmarkStart w:id="16" w:name="toc_target_9"/>
      <w:bookmarkStart w:id="17" w:name="_Toc236992646"/>
      <w:r w:rsidRPr="00592284">
        <w:rPr>
          <w:rFonts w:hint="eastAsia"/>
        </w:rPr>
        <w:lastRenderedPageBreak/>
        <w:t xml:space="preserve">2.3 </w:t>
      </w:r>
      <w:r w:rsidRPr="00592284">
        <w:rPr>
          <w:rFonts w:hint="eastAsia"/>
        </w:rPr>
        <w:t>中游：核心部件、系统集成与工程交付</w:t>
      </w:r>
      <w:bookmarkEnd w:id="16"/>
      <w:bookmarkEnd w:id="17"/>
    </w:p>
    <w:p w14:paraId="0E530A61" w14:textId="77777777" w:rsidR="004A0C46" w:rsidRDefault="00000000" w:rsidP="00592284">
      <w:pPr>
        <w:pStyle w:val="a0"/>
        <w:spacing w:before="156"/>
        <w:ind w:firstLine="480"/>
        <w:rPr>
          <w:rFonts w:eastAsia="宋体" w:hint="eastAsia"/>
        </w:rPr>
      </w:pPr>
      <w:r>
        <w:rPr>
          <w:rFonts w:eastAsia="宋体" w:hint="eastAsia"/>
        </w:rPr>
        <w:t>中游把电池的储能能力转化为可控制、可并网和可长期运行的完整系统，主要包括</w:t>
      </w:r>
      <w:r>
        <w:rPr>
          <w:rFonts w:eastAsia="宋体" w:hint="eastAsia"/>
        </w:rPr>
        <w:t>PCS</w:t>
      </w:r>
      <w:r>
        <w:rPr>
          <w:rFonts w:eastAsia="宋体" w:hint="eastAsia"/>
        </w:rPr>
        <w:t>、</w:t>
      </w:r>
      <w:r>
        <w:rPr>
          <w:rFonts w:eastAsia="宋体" w:hint="eastAsia"/>
        </w:rPr>
        <w:t>BMS</w:t>
      </w:r>
      <w:r>
        <w:rPr>
          <w:rFonts w:eastAsia="宋体" w:hint="eastAsia"/>
        </w:rPr>
        <w:t>、热管理、消防、系统集成、</w:t>
      </w:r>
      <w:r>
        <w:rPr>
          <w:rFonts w:eastAsia="宋体" w:hint="eastAsia"/>
        </w:rPr>
        <w:t>EMS</w:t>
      </w:r>
      <w:r>
        <w:rPr>
          <w:rFonts w:eastAsia="宋体" w:hint="eastAsia"/>
        </w:rPr>
        <w:t>及</w:t>
      </w:r>
      <w:r>
        <w:rPr>
          <w:rFonts w:eastAsia="宋体" w:hint="eastAsia"/>
        </w:rPr>
        <w:t>EPC</w:t>
      </w:r>
      <w:r>
        <w:rPr>
          <w:rFonts w:eastAsia="宋体" w:hint="eastAsia"/>
        </w:rPr>
        <w:t>。设备匹配、控制精度、系统效率、并网性能和安全设计共同影响项目验收、持续运行及长期质保。</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val="04A0" w:firstRow="1" w:lastRow="0" w:firstColumn="1" w:lastColumn="0" w:noHBand="0" w:noVBand="1"/>
      </w:tblPr>
      <w:tblGrid>
        <w:gridCol w:w="997"/>
        <w:gridCol w:w="4931"/>
        <w:gridCol w:w="2597"/>
      </w:tblGrid>
      <w:tr w:rsidR="004A0C46" w:rsidRPr="00592284" w14:paraId="51AEE8B2" w14:textId="77777777" w:rsidTr="00592284">
        <w:trPr>
          <w:cantSplit/>
          <w:trHeight w:val="397"/>
          <w:tblHeader/>
          <w:jc w:val="center"/>
        </w:trPr>
        <w:tc>
          <w:tcPr>
            <w:tcW w:w="585" w:type="pct"/>
            <w:tcBorders>
              <w:top w:val="single" w:sz="12" w:space="0" w:color="010000"/>
              <w:bottom w:val="single" w:sz="4" w:space="0" w:color="010000"/>
            </w:tcBorders>
            <w:vAlign w:val="center"/>
          </w:tcPr>
          <w:p w14:paraId="22C1D726" w14:textId="77777777" w:rsidR="004A0C46" w:rsidRPr="00592284" w:rsidRDefault="00000000" w:rsidP="00592284">
            <w:pPr>
              <w:keepNext/>
              <w:jc w:val="center"/>
              <w:rPr>
                <w:rFonts w:hint="eastAsia"/>
                <w:b/>
                <w:color w:val="000000"/>
                <w:sz w:val="21"/>
              </w:rPr>
            </w:pPr>
            <w:r w:rsidRPr="00592284">
              <w:rPr>
                <w:rFonts w:hint="eastAsia"/>
                <w:b/>
                <w:color w:val="000000"/>
                <w:sz w:val="21"/>
              </w:rPr>
              <w:t>环节</w:t>
            </w:r>
          </w:p>
        </w:tc>
        <w:tc>
          <w:tcPr>
            <w:tcW w:w="2891" w:type="pct"/>
            <w:tcBorders>
              <w:top w:val="single" w:sz="12" w:space="0" w:color="010000"/>
              <w:bottom w:val="single" w:sz="4" w:space="0" w:color="010000"/>
            </w:tcBorders>
            <w:vAlign w:val="center"/>
          </w:tcPr>
          <w:p w14:paraId="01679138" w14:textId="77777777" w:rsidR="004A0C46" w:rsidRPr="00592284" w:rsidRDefault="00000000" w:rsidP="00592284">
            <w:pPr>
              <w:keepNext/>
              <w:jc w:val="center"/>
              <w:rPr>
                <w:rFonts w:hint="eastAsia"/>
                <w:b/>
                <w:color w:val="000000"/>
                <w:sz w:val="21"/>
              </w:rPr>
            </w:pPr>
            <w:r w:rsidRPr="00592284">
              <w:rPr>
                <w:rFonts w:hint="eastAsia"/>
                <w:b/>
                <w:color w:val="000000"/>
                <w:sz w:val="21"/>
              </w:rPr>
              <w:t>主要技术路线与产品</w:t>
            </w:r>
          </w:p>
        </w:tc>
        <w:tc>
          <w:tcPr>
            <w:tcW w:w="1523" w:type="pct"/>
            <w:tcBorders>
              <w:top w:val="single" w:sz="12" w:space="0" w:color="010000"/>
              <w:bottom w:val="single" w:sz="4" w:space="0" w:color="010000"/>
            </w:tcBorders>
            <w:vAlign w:val="center"/>
          </w:tcPr>
          <w:p w14:paraId="7D3ABE99" w14:textId="77777777" w:rsidR="004A0C46" w:rsidRPr="00592284" w:rsidRDefault="00000000" w:rsidP="00592284">
            <w:pPr>
              <w:keepNext/>
              <w:jc w:val="center"/>
              <w:rPr>
                <w:rFonts w:hint="eastAsia"/>
                <w:b/>
                <w:color w:val="000000"/>
                <w:sz w:val="21"/>
              </w:rPr>
            </w:pPr>
            <w:r w:rsidRPr="00592284">
              <w:rPr>
                <w:rFonts w:hint="eastAsia"/>
                <w:b/>
                <w:color w:val="000000"/>
                <w:sz w:val="21"/>
              </w:rPr>
              <w:t>代表性企业</w:t>
            </w:r>
          </w:p>
        </w:tc>
      </w:tr>
      <w:tr w:rsidR="004A0C46" w:rsidRPr="00592284" w14:paraId="1417419E" w14:textId="77777777" w:rsidTr="00592284">
        <w:trPr>
          <w:cantSplit/>
          <w:trHeight w:val="397"/>
          <w:jc w:val="center"/>
        </w:trPr>
        <w:tc>
          <w:tcPr>
            <w:tcW w:w="585" w:type="pct"/>
            <w:tcBorders>
              <w:top w:val="single" w:sz="4" w:space="0" w:color="010000"/>
            </w:tcBorders>
            <w:vAlign w:val="center"/>
          </w:tcPr>
          <w:p w14:paraId="3E21D672" w14:textId="77777777" w:rsidR="004A0C46" w:rsidRPr="00592284" w:rsidRDefault="00000000" w:rsidP="00592284">
            <w:pPr>
              <w:jc w:val="left"/>
              <w:rPr>
                <w:rFonts w:hint="eastAsia"/>
                <w:color w:val="000000"/>
                <w:sz w:val="21"/>
              </w:rPr>
            </w:pPr>
            <w:r w:rsidRPr="00592284">
              <w:rPr>
                <w:rFonts w:hint="eastAsia"/>
                <w:color w:val="000000"/>
                <w:sz w:val="21"/>
              </w:rPr>
              <w:t>PCS</w:t>
            </w:r>
          </w:p>
        </w:tc>
        <w:tc>
          <w:tcPr>
            <w:tcW w:w="2891" w:type="pct"/>
            <w:tcBorders>
              <w:top w:val="single" w:sz="4" w:space="0" w:color="010000"/>
            </w:tcBorders>
            <w:vAlign w:val="center"/>
          </w:tcPr>
          <w:p w14:paraId="332CAED4" w14:textId="77777777" w:rsidR="004A0C46" w:rsidRPr="00592284" w:rsidRDefault="00000000" w:rsidP="00592284">
            <w:pPr>
              <w:jc w:val="left"/>
              <w:rPr>
                <w:rFonts w:hint="eastAsia"/>
                <w:color w:val="000000"/>
                <w:sz w:val="21"/>
              </w:rPr>
            </w:pPr>
            <w:r w:rsidRPr="00592284">
              <w:rPr>
                <w:rFonts w:hint="eastAsia"/>
                <w:color w:val="000000"/>
                <w:sz w:val="21"/>
              </w:rPr>
              <w:t>储能变流器连接电池与电网，负责完成直流电和交流电之间的双向转换，并按照控制指令调节充放电功率。产品主要分为集中式、组串式和储能一体机，目前正由跟网型向能够主动支撑电网电压和频率的构网型发展。</w:t>
            </w:r>
          </w:p>
        </w:tc>
        <w:tc>
          <w:tcPr>
            <w:tcW w:w="1523" w:type="pct"/>
            <w:tcBorders>
              <w:top w:val="single" w:sz="4" w:space="0" w:color="010000"/>
            </w:tcBorders>
            <w:vAlign w:val="center"/>
          </w:tcPr>
          <w:p w14:paraId="543BC592" w14:textId="77777777" w:rsidR="004A0C46" w:rsidRPr="00592284" w:rsidRDefault="00000000" w:rsidP="00592284">
            <w:pPr>
              <w:jc w:val="left"/>
              <w:rPr>
                <w:rFonts w:hint="eastAsia"/>
                <w:color w:val="000000"/>
                <w:sz w:val="21"/>
              </w:rPr>
            </w:pPr>
            <w:r w:rsidRPr="00592284">
              <w:rPr>
                <w:rFonts w:hint="eastAsia"/>
                <w:color w:val="000000"/>
                <w:sz w:val="21"/>
              </w:rPr>
              <w:t>阳光电源、科华数能、上能电气、南瑞继保、盛弘股份、汇川技术、中车时代电气、许继电气、禾望电气等。</w:t>
            </w:r>
          </w:p>
        </w:tc>
      </w:tr>
      <w:tr w:rsidR="004A0C46" w:rsidRPr="00592284" w14:paraId="5F6D86D6" w14:textId="77777777" w:rsidTr="00592284">
        <w:trPr>
          <w:cantSplit/>
          <w:trHeight w:val="397"/>
          <w:jc w:val="center"/>
        </w:trPr>
        <w:tc>
          <w:tcPr>
            <w:tcW w:w="585" w:type="pct"/>
            <w:vAlign w:val="center"/>
          </w:tcPr>
          <w:p w14:paraId="5B3CFA20" w14:textId="1F3AE471" w:rsidR="004A0C46" w:rsidRPr="00592284" w:rsidRDefault="00000000" w:rsidP="00592284">
            <w:pPr>
              <w:jc w:val="left"/>
              <w:rPr>
                <w:rFonts w:hint="eastAsia"/>
                <w:color w:val="000000"/>
                <w:sz w:val="21"/>
              </w:rPr>
            </w:pPr>
            <w:r w:rsidRPr="00592284">
              <w:rPr>
                <w:rFonts w:hint="eastAsia"/>
                <w:color w:val="000000"/>
                <w:sz w:val="21"/>
              </w:rPr>
              <w:t>BMS</w:t>
            </w:r>
            <w:r w:rsidRPr="00592284">
              <w:rPr>
                <w:rFonts w:hint="eastAsia"/>
                <w:color w:val="000000"/>
                <w:sz w:val="21"/>
              </w:rPr>
              <w:t>、热管理及消防</w:t>
            </w:r>
          </w:p>
        </w:tc>
        <w:tc>
          <w:tcPr>
            <w:tcW w:w="2891" w:type="pct"/>
            <w:vAlign w:val="center"/>
          </w:tcPr>
          <w:p w14:paraId="4D549283" w14:textId="77777777" w:rsidR="004A0C46" w:rsidRPr="00592284" w:rsidRDefault="00000000" w:rsidP="00592284">
            <w:pPr>
              <w:jc w:val="left"/>
              <w:rPr>
                <w:rFonts w:hint="eastAsia"/>
                <w:color w:val="000000"/>
                <w:sz w:val="21"/>
              </w:rPr>
            </w:pPr>
            <w:r w:rsidRPr="00592284">
              <w:rPr>
                <w:rFonts w:hint="eastAsia"/>
                <w:color w:val="000000"/>
                <w:sz w:val="21"/>
              </w:rPr>
              <w:t>BMS</w:t>
            </w:r>
            <w:r w:rsidRPr="00592284">
              <w:rPr>
                <w:rFonts w:hint="eastAsia"/>
                <w:color w:val="000000"/>
                <w:sz w:val="21"/>
              </w:rPr>
              <w:t>持续监测电池的电压、温度和健康状态，并在出现异常时采取预警、限功率或停机保护。热管理系统主要通过液冷控制电池温度，消防系统则负责监测热失控风险，并完成故障隔离和灭火，共同保障储能系统安全运行。</w:t>
            </w:r>
          </w:p>
        </w:tc>
        <w:tc>
          <w:tcPr>
            <w:tcW w:w="1523" w:type="pct"/>
            <w:vAlign w:val="center"/>
          </w:tcPr>
          <w:p w14:paraId="40859337" w14:textId="77777777" w:rsidR="004A0C46" w:rsidRPr="00592284" w:rsidRDefault="00000000" w:rsidP="00592284">
            <w:pPr>
              <w:jc w:val="left"/>
              <w:rPr>
                <w:rFonts w:hint="eastAsia"/>
                <w:color w:val="000000"/>
                <w:sz w:val="21"/>
              </w:rPr>
            </w:pPr>
            <w:r w:rsidRPr="00592284">
              <w:rPr>
                <w:rFonts w:hint="eastAsia"/>
                <w:color w:val="000000"/>
                <w:sz w:val="21"/>
              </w:rPr>
              <w:t>高特电子、协能科技、科工电子，以及宁德时代、比亚迪、阳光电源、海博思创等具备自研体系的企业。</w:t>
            </w:r>
          </w:p>
        </w:tc>
      </w:tr>
      <w:tr w:rsidR="004A0C46" w:rsidRPr="00592284" w14:paraId="4F395AA0" w14:textId="77777777" w:rsidTr="00592284">
        <w:trPr>
          <w:cantSplit/>
          <w:trHeight w:val="397"/>
          <w:jc w:val="center"/>
        </w:trPr>
        <w:tc>
          <w:tcPr>
            <w:tcW w:w="585" w:type="pct"/>
            <w:vAlign w:val="center"/>
          </w:tcPr>
          <w:p w14:paraId="07DAA220" w14:textId="69AFFAF1" w:rsidR="004A0C46" w:rsidRPr="00592284" w:rsidRDefault="00000000" w:rsidP="00592284">
            <w:pPr>
              <w:jc w:val="left"/>
              <w:rPr>
                <w:rFonts w:hint="eastAsia"/>
                <w:color w:val="000000"/>
                <w:sz w:val="21"/>
              </w:rPr>
            </w:pPr>
            <w:r w:rsidRPr="00592284">
              <w:rPr>
                <w:rFonts w:hint="eastAsia"/>
                <w:color w:val="000000"/>
                <w:sz w:val="21"/>
              </w:rPr>
              <w:t>系统集成与</w:t>
            </w:r>
            <w:r w:rsidRPr="00592284">
              <w:rPr>
                <w:rFonts w:hint="eastAsia"/>
                <w:color w:val="000000"/>
                <w:sz w:val="21"/>
              </w:rPr>
              <w:t>EMS</w:t>
            </w:r>
          </w:p>
        </w:tc>
        <w:tc>
          <w:tcPr>
            <w:tcW w:w="2891" w:type="pct"/>
            <w:vAlign w:val="center"/>
          </w:tcPr>
          <w:p w14:paraId="698A6C0E" w14:textId="77777777" w:rsidR="004A0C46" w:rsidRPr="00592284" w:rsidRDefault="00000000" w:rsidP="00592284">
            <w:pPr>
              <w:jc w:val="left"/>
              <w:rPr>
                <w:rFonts w:hint="eastAsia"/>
                <w:color w:val="000000"/>
                <w:sz w:val="21"/>
              </w:rPr>
            </w:pPr>
            <w:r w:rsidRPr="00592284">
              <w:rPr>
                <w:rFonts w:hint="eastAsia"/>
                <w:color w:val="000000"/>
                <w:sz w:val="21"/>
              </w:rPr>
              <w:t>系统集成是将电池、</w:t>
            </w:r>
            <w:r w:rsidRPr="00592284">
              <w:rPr>
                <w:rFonts w:hint="eastAsia"/>
                <w:color w:val="000000"/>
                <w:sz w:val="21"/>
              </w:rPr>
              <w:t>PCS</w:t>
            </w:r>
            <w:r w:rsidRPr="00592284">
              <w:rPr>
                <w:rFonts w:hint="eastAsia"/>
                <w:color w:val="000000"/>
                <w:sz w:val="21"/>
              </w:rPr>
              <w:t>、</w:t>
            </w:r>
            <w:r w:rsidRPr="00592284">
              <w:rPr>
                <w:rFonts w:hint="eastAsia"/>
                <w:color w:val="000000"/>
                <w:sz w:val="21"/>
              </w:rPr>
              <w:t>BMS</w:t>
            </w:r>
            <w:r w:rsidRPr="00592284">
              <w:rPr>
                <w:rFonts w:hint="eastAsia"/>
                <w:color w:val="000000"/>
                <w:sz w:val="21"/>
              </w:rPr>
              <w:t>、热管理和消防等设备组合为能够并网运行的完整储能系统。</w:t>
            </w:r>
            <w:r w:rsidRPr="00592284">
              <w:rPr>
                <w:rFonts w:hint="eastAsia"/>
                <w:color w:val="000000"/>
                <w:sz w:val="21"/>
              </w:rPr>
              <w:t>EMS</w:t>
            </w:r>
            <w:r w:rsidRPr="00592284">
              <w:rPr>
                <w:rFonts w:hint="eastAsia"/>
                <w:color w:val="000000"/>
                <w:sz w:val="21"/>
              </w:rPr>
              <w:t>是系统的运行控制中枢，负责根据电价、负荷、电网指令和设备状态安排充放电，并逐步承担电力交易和收益优化等功能。</w:t>
            </w:r>
          </w:p>
        </w:tc>
        <w:tc>
          <w:tcPr>
            <w:tcW w:w="1523" w:type="pct"/>
            <w:vAlign w:val="center"/>
          </w:tcPr>
          <w:p w14:paraId="7E604B65" w14:textId="77777777" w:rsidR="004A0C46" w:rsidRPr="00592284" w:rsidRDefault="00000000" w:rsidP="00592284">
            <w:pPr>
              <w:jc w:val="left"/>
              <w:rPr>
                <w:rFonts w:hint="eastAsia"/>
                <w:color w:val="000000"/>
                <w:sz w:val="21"/>
              </w:rPr>
            </w:pPr>
            <w:r w:rsidRPr="00592284">
              <w:rPr>
                <w:rFonts w:hint="eastAsia"/>
                <w:color w:val="000000"/>
                <w:sz w:val="21"/>
              </w:rPr>
              <w:t>阳光电源、海博思创、中车株洲所、华为数字能源、远景能源、天合储能、比亚迪、海辰储能等。</w:t>
            </w:r>
          </w:p>
        </w:tc>
      </w:tr>
      <w:tr w:rsidR="004A0C46" w:rsidRPr="00592284" w14:paraId="0F576345" w14:textId="77777777" w:rsidTr="00592284">
        <w:trPr>
          <w:cantSplit/>
          <w:trHeight w:val="397"/>
          <w:jc w:val="center"/>
        </w:trPr>
        <w:tc>
          <w:tcPr>
            <w:tcW w:w="585" w:type="pct"/>
            <w:vAlign w:val="center"/>
          </w:tcPr>
          <w:p w14:paraId="66568C8E" w14:textId="77777777" w:rsidR="004A0C46" w:rsidRPr="00592284" w:rsidRDefault="00000000" w:rsidP="00592284">
            <w:pPr>
              <w:jc w:val="left"/>
              <w:rPr>
                <w:rFonts w:hint="eastAsia"/>
                <w:color w:val="000000"/>
                <w:sz w:val="21"/>
              </w:rPr>
            </w:pPr>
            <w:r w:rsidRPr="00592284">
              <w:rPr>
                <w:rFonts w:hint="eastAsia"/>
                <w:color w:val="000000"/>
                <w:sz w:val="21"/>
              </w:rPr>
              <w:t>EPC</w:t>
            </w:r>
            <w:r w:rsidRPr="00592284">
              <w:rPr>
                <w:rFonts w:hint="eastAsia"/>
                <w:color w:val="000000"/>
                <w:sz w:val="21"/>
              </w:rPr>
              <w:t>与并网</w:t>
            </w:r>
          </w:p>
        </w:tc>
        <w:tc>
          <w:tcPr>
            <w:tcW w:w="2891" w:type="pct"/>
            <w:vAlign w:val="center"/>
          </w:tcPr>
          <w:p w14:paraId="215B1B06" w14:textId="77777777" w:rsidR="004A0C46" w:rsidRPr="00592284" w:rsidRDefault="00000000" w:rsidP="00592284">
            <w:pPr>
              <w:jc w:val="left"/>
              <w:rPr>
                <w:rFonts w:hint="eastAsia"/>
                <w:color w:val="000000"/>
                <w:sz w:val="21"/>
              </w:rPr>
            </w:pPr>
            <w:r w:rsidRPr="00592284">
              <w:rPr>
                <w:rFonts w:hint="eastAsia"/>
                <w:color w:val="000000"/>
                <w:sz w:val="21"/>
              </w:rPr>
              <w:t>EPC</w:t>
            </w:r>
            <w:r w:rsidRPr="00592284">
              <w:rPr>
                <w:rFonts w:hint="eastAsia"/>
                <w:color w:val="000000"/>
                <w:sz w:val="21"/>
              </w:rPr>
              <w:t>是将储能设备建设成为可投入运行电站的工程交付环节，通常涵盖方案设计、设备采购、土建施工、电气安装、系统调试和并网试验。项目只有完成验收和并网后，储能设备才能进入商业运行。</w:t>
            </w:r>
          </w:p>
        </w:tc>
        <w:tc>
          <w:tcPr>
            <w:tcW w:w="1523" w:type="pct"/>
            <w:vAlign w:val="center"/>
          </w:tcPr>
          <w:p w14:paraId="3F287D30" w14:textId="77777777" w:rsidR="004A0C46" w:rsidRPr="00592284" w:rsidRDefault="00000000" w:rsidP="00592284">
            <w:pPr>
              <w:jc w:val="left"/>
              <w:rPr>
                <w:rFonts w:hint="eastAsia"/>
                <w:color w:val="000000"/>
                <w:sz w:val="21"/>
              </w:rPr>
            </w:pPr>
            <w:r w:rsidRPr="00592284">
              <w:rPr>
                <w:rFonts w:hint="eastAsia"/>
                <w:color w:val="000000"/>
                <w:sz w:val="21"/>
              </w:rPr>
              <w:t>中国能建、中国电建、南瑞继保、许继电气、平高电气等。</w:t>
            </w:r>
          </w:p>
        </w:tc>
      </w:tr>
    </w:tbl>
    <w:p w14:paraId="4DE05E70" w14:textId="77777777" w:rsidR="004A0C46" w:rsidRDefault="00000000" w:rsidP="007E5EB5">
      <w:pPr>
        <w:pStyle w:val="a0"/>
        <w:spacing w:before="156"/>
        <w:ind w:firstLine="480"/>
        <w:rPr>
          <w:rFonts w:eastAsia="宋体" w:hint="eastAsia"/>
        </w:rPr>
      </w:pPr>
      <w:r>
        <w:rPr>
          <w:rFonts w:eastAsia="宋体" w:hint="eastAsia"/>
        </w:rPr>
        <w:t>中游标准化程度较高的硬件容易受到价格竞争影响，构网控制、系统效率、安全设计、软件策略、并网认证和长期服务更容易形成持续差异。</w:t>
      </w:r>
      <w:r>
        <w:rPr>
          <w:rFonts w:eastAsia="宋体" w:hint="eastAsia"/>
        </w:rPr>
        <w:t>2024</w:t>
      </w:r>
      <w:r>
        <w:rPr>
          <w:rFonts w:eastAsia="宋体" w:hint="eastAsia"/>
        </w:rPr>
        <w:t>年国内储能系统中标量前十五家约占总规模的</w:t>
      </w:r>
      <w:r>
        <w:rPr>
          <w:rFonts w:eastAsia="宋体" w:hint="eastAsia"/>
        </w:rPr>
        <w:t>57%</w:t>
      </w:r>
      <w:r>
        <w:rPr>
          <w:rFonts w:eastAsia="宋体" w:hint="eastAsia"/>
        </w:rPr>
        <w:t>，同时约</w:t>
      </w:r>
      <w:r>
        <w:rPr>
          <w:rFonts w:eastAsia="宋体" w:hint="eastAsia"/>
        </w:rPr>
        <w:t>76%</w:t>
      </w:r>
      <w:r>
        <w:rPr>
          <w:rFonts w:eastAsia="宋体" w:hint="eastAsia"/>
        </w:rPr>
        <w:t>的企业全年中标不足</w:t>
      </w:r>
      <w:r>
        <w:rPr>
          <w:rFonts w:eastAsia="宋体" w:hint="eastAsia"/>
        </w:rPr>
        <w:t>100MWh</w:t>
      </w:r>
      <w:r>
        <w:rPr>
          <w:rFonts w:eastAsia="宋体" w:hint="eastAsia"/>
        </w:rPr>
        <w:t>。总体上，市场呈现少数头部企业占据较大份额、其余多数企业中标规模相对较小的竞争结构。</w:t>
      </w:r>
    </w:p>
    <w:p w14:paraId="3393DAF6" w14:textId="77777777" w:rsidR="004A0C46" w:rsidRPr="00592284" w:rsidRDefault="00000000" w:rsidP="00592284">
      <w:pPr>
        <w:pStyle w:val="3"/>
        <w:numPr>
          <w:ilvl w:val="0"/>
          <w:numId w:val="0"/>
        </w:numPr>
        <w:spacing w:before="156" w:after="156"/>
        <w:rPr>
          <w:rFonts w:hint="eastAsia"/>
        </w:rPr>
      </w:pPr>
      <w:bookmarkStart w:id="18" w:name="toc_target_10"/>
      <w:bookmarkStart w:id="19" w:name="_Toc236992647"/>
      <w:r w:rsidRPr="00592284">
        <w:rPr>
          <w:rFonts w:hint="eastAsia"/>
        </w:rPr>
        <w:t xml:space="preserve">2.4 </w:t>
      </w:r>
      <w:r w:rsidRPr="00592284">
        <w:rPr>
          <w:rFonts w:hint="eastAsia"/>
        </w:rPr>
        <w:t>下游：项目应用、资产运营与全生命周期服务</w:t>
      </w:r>
      <w:bookmarkEnd w:id="18"/>
      <w:bookmarkEnd w:id="19"/>
    </w:p>
    <w:p w14:paraId="4A43D4E6" w14:textId="77777777" w:rsidR="004A0C46" w:rsidRDefault="00000000" w:rsidP="00592284">
      <w:pPr>
        <w:pStyle w:val="a0"/>
        <w:spacing w:before="156"/>
        <w:ind w:firstLine="480"/>
        <w:rPr>
          <w:rFonts w:eastAsia="宋体" w:hint="eastAsia"/>
        </w:rPr>
      </w:pPr>
      <w:r>
        <w:rPr>
          <w:rFonts w:eastAsia="宋体" w:hint="eastAsia"/>
        </w:rPr>
        <w:t>下游通过具体应用场景将储能能力转化为经济价值，涵盖新能源配储、电网侧独立储能、工商业与数据中心等项目，也包括电力交易、长期运维、检测改造、保险、梯次利用和回收。</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val="04A0" w:firstRow="1" w:lastRow="0" w:firstColumn="1" w:lastColumn="0" w:noHBand="0" w:noVBand="1"/>
      </w:tblPr>
      <w:tblGrid>
        <w:gridCol w:w="1361"/>
        <w:gridCol w:w="4636"/>
        <w:gridCol w:w="3128"/>
      </w:tblGrid>
      <w:tr w:rsidR="004A0C46" w:rsidRPr="00592284" w14:paraId="497608F8" w14:textId="77777777" w:rsidTr="00592284">
        <w:trPr>
          <w:cantSplit/>
          <w:trHeight w:val="397"/>
          <w:tblHeader/>
          <w:jc w:val="center"/>
        </w:trPr>
        <w:tc>
          <w:tcPr>
            <w:tcW w:w="746" w:type="pct"/>
            <w:tcBorders>
              <w:top w:val="single" w:sz="12" w:space="0" w:color="010000"/>
              <w:bottom w:val="single" w:sz="4" w:space="0" w:color="010000"/>
            </w:tcBorders>
            <w:vAlign w:val="center"/>
          </w:tcPr>
          <w:p w14:paraId="274B6AFA" w14:textId="77777777" w:rsidR="004A0C46" w:rsidRPr="00592284" w:rsidRDefault="00000000" w:rsidP="00592284">
            <w:pPr>
              <w:keepNext/>
              <w:jc w:val="center"/>
              <w:rPr>
                <w:rFonts w:hint="eastAsia"/>
                <w:b/>
                <w:color w:val="000000"/>
                <w:sz w:val="21"/>
              </w:rPr>
            </w:pPr>
            <w:r w:rsidRPr="00592284">
              <w:rPr>
                <w:rFonts w:hint="eastAsia"/>
                <w:b/>
                <w:color w:val="000000"/>
                <w:sz w:val="21"/>
              </w:rPr>
              <w:lastRenderedPageBreak/>
              <w:t>环节</w:t>
            </w:r>
          </w:p>
        </w:tc>
        <w:tc>
          <w:tcPr>
            <w:tcW w:w="2540" w:type="pct"/>
            <w:tcBorders>
              <w:top w:val="single" w:sz="12" w:space="0" w:color="010000"/>
              <w:bottom w:val="single" w:sz="4" w:space="0" w:color="010000"/>
            </w:tcBorders>
            <w:vAlign w:val="center"/>
          </w:tcPr>
          <w:p w14:paraId="1353B01F" w14:textId="77777777" w:rsidR="004A0C46" w:rsidRPr="00592284" w:rsidRDefault="00000000" w:rsidP="00592284">
            <w:pPr>
              <w:keepNext/>
              <w:jc w:val="center"/>
              <w:rPr>
                <w:rFonts w:hint="eastAsia"/>
                <w:b/>
                <w:color w:val="000000"/>
                <w:sz w:val="21"/>
              </w:rPr>
            </w:pPr>
            <w:r w:rsidRPr="00592284">
              <w:rPr>
                <w:rFonts w:hint="eastAsia"/>
                <w:b/>
                <w:color w:val="000000"/>
                <w:sz w:val="21"/>
              </w:rPr>
              <w:t>主要技术路线与产品</w:t>
            </w:r>
          </w:p>
        </w:tc>
        <w:tc>
          <w:tcPr>
            <w:tcW w:w="1714" w:type="pct"/>
            <w:tcBorders>
              <w:top w:val="single" w:sz="12" w:space="0" w:color="010000"/>
              <w:bottom w:val="single" w:sz="4" w:space="0" w:color="010000"/>
            </w:tcBorders>
            <w:vAlign w:val="center"/>
          </w:tcPr>
          <w:p w14:paraId="0C984AB0" w14:textId="77777777" w:rsidR="004A0C46" w:rsidRPr="00592284" w:rsidRDefault="00000000" w:rsidP="00592284">
            <w:pPr>
              <w:keepNext/>
              <w:jc w:val="center"/>
              <w:rPr>
                <w:rFonts w:hint="eastAsia"/>
                <w:b/>
                <w:color w:val="000000"/>
                <w:sz w:val="21"/>
              </w:rPr>
            </w:pPr>
            <w:r w:rsidRPr="00592284">
              <w:rPr>
                <w:rFonts w:hint="eastAsia"/>
                <w:b/>
                <w:color w:val="000000"/>
                <w:sz w:val="21"/>
              </w:rPr>
              <w:t>代表性企业</w:t>
            </w:r>
          </w:p>
        </w:tc>
      </w:tr>
      <w:tr w:rsidR="004A0C46" w:rsidRPr="00592284" w14:paraId="239AE38C" w14:textId="77777777" w:rsidTr="00592284">
        <w:trPr>
          <w:cantSplit/>
          <w:trHeight w:val="397"/>
          <w:jc w:val="center"/>
        </w:trPr>
        <w:tc>
          <w:tcPr>
            <w:tcW w:w="746" w:type="pct"/>
            <w:tcBorders>
              <w:top w:val="single" w:sz="4" w:space="0" w:color="010000"/>
            </w:tcBorders>
            <w:vAlign w:val="center"/>
          </w:tcPr>
          <w:p w14:paraId="5042F36D" w14:textId="77777777" w:rsidR="004A0C46" w:rsidRPr="00592284" w:rsidRDefault="00000000" w:rsidP="00592284">
            <w:pPr>
              <w:jc w:val="left"/>
              <w:rPr>
                <w:rFonts w:hint="eastAsia"/>
                <w:color w:val="000000"/>
                <w:sz w:val="21"/>
              </w:rPr>
            </w:pPr>
            <w:r w:rsidRPr="00592284">
              <w:rPr>
                <w:rFonts w:hint="eastAsia"/>
                <w:color w:val="000000"/>
                <w:sz w:val="21"/>
              </w:rPr>
              <w:t>新能源配储</w:t>
            </w:r>
            <w:r w:rsidRPr="00592284">
              <w:rPr>
                <w:rFonts w:hint="eastAsia"/>
                <w:color w:val="000000"/>
                <w:sz w:val="21"/>
              </w:rPr>
              <w:br/>
            </w:r>
            <w:r w:rsidRPr="00592284">
              <w:rPr>
                <w:rFonts w:hint="eastAsia"/>
                <w:color w:val="000000"/>
                <w:sz w:val="21"/>
              </w:rPr>
              <w:t>与独立储能</w:t>
            </w:r>
          </w:p>
        </w:tc>
        <w:tc>
          <w:tcPr>
            <w:tcW w:w="2540" w:type="pct"/>
            <w:tcBorders>
              <w:top w:val="single" w:sz="4" w:space="0" w:color="010000"/>
            </w:tcBorders>
            <w:vAlign w:val="center"/>
          </w:tcPr>
          <w:p w14:paraId="33817491" w14:textId="77777777" w:rsidR="004A0C46" w:rsidRPr="00592284" w:rsidRDefault="00000000" w:rsidP="00592284">
            <w:pPr>
              <w:jc w:val="left"/>
              <w:rPr>
                <w:rFonts w:hint="eastAsia"/>
                <w:color w:val="000000"/>
                <w:sz w:val="21"/>
              </w:rPr>
            </w:pPr>
            <w:r w:rsidRPr="00592284">
              <w:rPr>
                <w:rFonts w:hint="eastAsia"/>
                <w:color w:val="000000"/>
                <w:sz w:val="21"/>
              </w:rPr>
              <w:t>新能源配储通常与风电、光伏项目配套建设，主要用于减少弃风弃光、平滑发电波动和控制交易偏差。独立储能则作为单独的电站接受电网调度，并通过现货交易、辅助服务、容量电价和容量租赁等方式取得收入。</w:t>
            </w:r>
          </w:p>
        </w:tc>
        <w:tc>
          <w:tcPr>
            <w:tcW w:w="1714" w:type="pct"/>
            <w:tcBorders>
              <w:top w:val="single" w:sz="4" w:space="0" w:color="010000"/>
            </w:tcBorders>
            <w:vAlign w:val="center"/>
          </w:tcPr>
          <w:p w14:paraId="08619B99" w14:textId="77777777" w:rsidR="004A0C46" w:rsidRPr="00592284" w:rsidRDefault="00000000" w:rsidP="00592284">
            <w:pPr>
              <w:jc w:val="left"/>
              <w:rPr>
                <w:rFonts w:hint="eastAsia"/>
                <w:color w:val="000000"/>
                <w:sz w:val="21"/>
              </w:rPr>
            </w:pPr>
            <w:r w:rsidRPr="00592284">
              <w:rPr>
                <w:rFonts w:hint="eastAsia"/>
                <w:color w:val="000000"/>
                <w:sz w:val="21"/>
              </w:rPr>
              <w:t>南网储能、中国能建等。南网储能按照资产全生命周期思路管理抽水蓄能和新型储能资产，中国能建覆盖项目规划、设计、建设及投资运营。</w:t>
            </w:r>
          </w:p>
        </w:tc>
      </w:tr>
      <w:tr w:rsidR="004A0C46" w:rsidRPr="00592284" w14:paraId="26DBD553" w14:textId="77777777" w:rsidTr="00592284">
        <w:trPr>
          <w:cantSplit/>
          <w:trHeight w:val="397"/>
          <w:jc w:val="center"/>
        </w:trPr>
        <w:tc>
          <w:tcPr>
            <w:tcW w:w="746" w:type="pct"/>
            <w:vAlign w:val="center"/>
          </w:tcPr>
          <w:p w14:paraId="081836B9" w14:textId="77777777" w:rsidR="004A0C46" w:rsidRPr="00592284" w:rsidRDefault="00000000" w:rsidP="00592284">
            <w:pPr>
              <w:jc w:val="left"/>
              <w:rPr>
                <w:rFonts w:hint="eastAsia"/>
                <w:color w:val="000000"/>
                <w:sz w:val="21"/>
              </w:rPr>
            </w:pPr>
            <w:r w:rsidRPr="00592284">
              <w:rPr>
                <w:rFonts w:hint="eastAsia"/>
                <w:color w:val="000000"/>
                <w:sz w:val="21"/>
              </w:rPr>
              <w:t>工商业与</w:t>
            </w:r>
            <w:r w:rsidRPr="00592284">
              <w:rPr>
                <w:rFonts w:hint="eastAsia"/>
                <w:color w:val="000000"/>
                <w:sz w:val="21"/>
              </w:rPr>
              <w:br/>
            </w:r>
            <w:r w:rsidRPr="00592284">
              <w:rPr>
                <w:rFonts w:hint="eastAsia"/>
                <w:color w:val="000000"/>
                <w:sz w:val="21"/>
              </w:rPr>
              <w:t>数据中心</w:t>
            </w:r>
          </w:p>
        </w:tc>
        <w:tc>
          <w:tcPr>
            <w:tcW w:w="2540" w:type="pct"/>
            <w:vAlign w:val="center"/>
          </w:tcPr>
          <w:p w14:paraId="23F807EA" w14:textId="77777777" w:rsidR="004A0C46" w:rsidRPr="00592284" w:rsidRDefault="00000000" w:rsidP="00592284">
            <w:pPr>
              <w:jc w:val="left"/>
              <w:rPr>
                <w:rFonts w:hint="eastAsia"/>
                <w:color w:val="000000"/>
                <w:sz w:val="21"/>
              </w:rPr>
            </w:pPr>
            <w:r w:rsidRPr="00592284">
              <w:rPr>
                <w:rFonts w:hint="eastAsia"/>
                <w:color w:val="000000"/>
                <w:sz w:val="21"/>
              </w:rPr>
              <w:t>工商业储能通常安装在工厂、园区和商业建筑内，通过低价时段充电、高价时段放电降低用电成本，并参与需量管理和需求响应。数据中心储能除降低用电成本外，还需要在电网故障时提供快速、可靠的备用电源。</w:t>
            </w:r>
          </w:p>
        </w:tc>
        <w:tc>
          <w:tcPr>
            <w:tcW w:w="1714" w:type="pct"/>
            <w:vAlign w:val="center"/>
          </w:tcPr>
          <w:p w14:paraId="7D545207" w14:textId="77777777" w:rsidR="004A0C46" w:rsidRPr="00592284" w:rsidRDefault="00000000" w:rsidP="00592284">
            <w:pPr>
              <w:jc w:val="left"/>
              <w:rPr>
                <w:rFonts w:hint="eastAsia"/>
                <w:color w:val="000000"/>
                <w:sz w:val="21"/>
              </w:rPr>
            </w:pPr>
            <w:r w:rsidRPr="00592284">
              <w:rPr>
                <w:rFonts w:hint="eastAsia"/>
                <w:color w:val="000000"/>
                <w:sz w:val="21"/>
              </w:rPr>
              <w:t>阳光电源、南都电源、双登股份、科士达、科华数据、麦田能源等。</w:t>
            </w:r>
          </w:p>
        </w:tc>
      </w:tr>
      <w:tr w:rsidR="004A0C46" w:rsidRPr="00592284" w14:paraId="6EA57D9E" w14:textId="77777777" w:rsidTr="00592284">
        <w:trPr>
          <w:cantSplit/>
          <w:trHeight w:val="397"/>
          <w:jc w:val="center"/>
        </w:trPr>
        <w:tc>
          <w:tcPr>
            <w:tcW w:w="746" w:type="pct"/>
            <w:vAlign w:val="center"/>
          </w:tcPr>
          <w:p w14:paraId="5A939184" w14:textId="77777777" w:rsidR="004A0C46" w:rsidRPr="00592284" w:rsidRDefault="00000000" w:rsidP="00592284">
            <w:pPr>
              <w:jc w:val="left"/>
              <w:rPr>
                <w:rFonts w:hint="eastAsia"/>
                <w:color w:val="000000"/>
                <w:sz w:val="21"/>
              </w:rPr>
            </w:pPr>
            <w:r w:rsidRPr="00592284">
              <w:rPr>
                <w:rFonts w:hint="eastAsia"/>
                <w:color w:val="000000"/>
                <w:sz w:val="21"/>
              </w:rPr>
              <w:t>交易、运维</w:t>
            </w:r>
            <w:r w:rsidRPr="00592284">
              <w:rPr>
                <w:rFonts w:hint="eastAsia"/>
                <w:color w:val="000000"/>
                <w:sz w:val="21"/>
              </w:rPr>
              <w:br/>
            </w:r>
            <w:r w:rsidRPr="00592284">
              <w:rPr>
                <w:rFonts w:hint="eastAsia"/>
                <w:color w:val="000000"/>
                <w:sz w:val="21"/>
              </w:rPr>
              <w:t>与改造</w:t>
            </w:r>
          </w:p>
        </w:tc>
        <w:tc>
          <w:tcPr>
            <w:tcW w:w="2540" w:type="pct"/>
            <w:vAlign w:val="center"/>
          </w:tcPr>
          <w:p w14:paraId="6A424FEA" w14:textId="77777777" w:rsidR="004A0C46" w:rsidRPr="00592284" w:rsidRDefault="00000000" w:rsidP="00592284">
            <w:pPr>
              <w:jc w:val="left"/>
              <w:rPr>
                <w:rFonts w:hint="eastAsia"/>
                <w:color w:val="000000"/>
                <w:sz w:val="21"/>
              </w:rPr>
            </w:pPr>
            <w:r w:rsidRPr="00592284">
              <w:rPr>
                <w:rFonts w:hint="eastAsia"/>
                <w:color w:val="000000"/>
                <w:sz w:val="21"/>
              </w:rPr>
              <w:t>储能电站投运后，需要持续开展电力交易、设备巡检、容量检测和故障维修，以维持项目的可用率和收益水平。随着设备老化，还可能需要更换电池</w:t>
            </w:r>
            <w:r w:rsidRPr="00592284">
              <w:rPr>
                <w:rFonts w:hint="eastAsia"/>
                <w:color w:val="000000"/>
                <w:sz w:val="21"/>
              </w:rPr>
              <w:t>Pack</w:t>
            </w:r>
            <w:r w:rsidRPr="00592284">
              <w:rPr>
                <w:rFonts w:hint="eastAsia"/>
                <w:color w:val="000000"/>
                <w:sz w:val="21"/>
              </w:rPr>
              <w:t>、升级</w:t>
            </w:r>
            <w:r w:rsidRPr="00592284">
              <w:rPr>
                <w:rFonts w:hint="eastAsia"/>
                <w:color w:val="000000"/>
                <w:sz w:val="21"/>
              </w:rPr>
              <w:t>PCS</w:t>
            </w:r>
            <w:r w:rsidRPr="00592284">
              <w:rPr>
                <w:rFonts w:hint="eastAsia"/>
                <w:color w:val="000000"/>
                <w:sz w:val="21"/>
              </w:rPr>
              <w:t>和</w:t>
            </w:r>
            <w:r w:rsidRPr="00592284">
              <w:rPr>
                <w:rFonts w:hint="eastAsia"/>
                <w:color w:val="000000"/>
                <w:sz w:val="21"/>
              </w:rPr>
              <w:t>EMS</w:t>
            </w:r>
            <w:r w:rsidRPr="00592284">
              <w:rPr>
                <w:rFonts w:hint="eastAsia"/>
                <w:color w:val="000000"/>
                <w:sz w:val="21"/>
              </w:rPr>
              <w:t>，或者改造热管理及消防系统。</w:t>
            </w:r>
          </w:p>
        </w:tc>
        <w:tc>
          <w:tcPr>
            <w:tcW w:w="1714" w:type="pct"/>
            <w:vAlign w:val="center"/>
          </w:tcPr>
          <w:p w14:paraId="0D00B17B" w14:textId="77777777" w:rsidR="004A0C46" w:rsidRPr="00592284" w:rsidRDefault="00000000" w:rsidP="00592284">
            <w:pPr>
              <w:jc w:val="left"/>
              <w:rPr>
                <w:rFonts w:hint="eastAsia"/>
                <w:color w:val="000000"/>
                <w:sz w:val="21"/>
              </w:rPr>
            </w:pPr>
            <w:r w:rsidRPr="00592284">
              <w:rPr>
                <w:rFonts w:hint="eastAsia"/>
                <w:color w:val="000000"/>
                <w:sz w:val="21"/>
              </w:rPr>
              <w:t>高特电子、阳光电源、海博思创、南网储能等。参与者通常依托设备数据、控制软件、现场服务网络或电站运营经验开展持续服务。</w:t>
            </w:r>
          </w:p>
        </w:tc>
      </w:tr>
      <w:tr w:rsidR="004A0C46" w:rsidRPr="00592284" w14:paraId="44465647" w14:textId="77777777" w:rsidTr="00592284">
        <w:trPr>
          <w:cantSplit/>
          <w:trHeight w:val="397"/>
          <w:jc w:val="center"/>
        </w:trPr>
        <w:tc>
          <w:tcPr>
            <w:tcW w:w="746" w:type="pct"/>
            <w:vAlign w:val="center"/>
          </w:tcPr>
          <w:p w14:paraId="5DD1109B" w14:textId="77777777" w:rsidR="004A0C46" w:rsidRPr="00592284" w:rsidRDefault="00000000" w:rsidP="00592284">
            <w:pPr>
              <w:jc w:val="left"/>
              <w:rPr>
                <w:rFonts w:hint="eastAsia"/>
                <w:color w:val="000000"/>
                <w:sz w:val="21"/>
              </w:rPr>
            </w:pPr>
            <w:r w:rsidRPr="00592284">
              <w:rPr>
                <w:rFonts w:hint="eastAsia"/>
                <w:color w:val="000000"/>
                <w:sz w:val="21"/>
              </w:rPr>
              <w:t>回收与</w:t>
            </w:r>
            <w:r w:rsidRPr="00592284">
              <w:rPr>
                <w:rFonts w:hint="eastAsia"/>
                <w:color w:val="000000"/>
                <w:sz w:val="21"/>
              </w:rPr>
              <w:br/>
            </w:r>
            <w:r w:rsidRPr="00592284">
              <w:rPr>
                <w:rFonts w:hint="eastAsia"/>
                <w:color w:val="000000"/>
                <w:sz w:val="21"/>
              </w:rPr>
              <w:t>循环利用</w:t>
            </w:r>
          </w:p>
        </w:tc>
        <w:tc>
          <w:tcPr>
            <w:tcW w:w="2540" w:type="pct"/>
            <w:vAlign w:val="center"/>
          </w:tcPr>
          <w:p w14:paraId="3876EE0A" w14:textId="77777777" w:rsidR="004A0C46" w:rsidRPr="00592284" w:rsidRDefault="00000000" w:rsidP="00592284">
            <w:pPr>
              <w:jc w:val="left"/>
              <w:rPr>
                <w:rFonts w:hint="eastAsia"/>
                <w:color w:val="000000"/>
                <w:sz w:val="21"/>
              </w:rPr>
            </w:pPr>
            <w:r w:rsidRPr="00592284">
              <w:rPr>
                <w:rFonts w:hint="eastAsia"/>
                <w:color w:val="000000"/>
                <w:sz w:val="21"/>
              </w:rPr>
              <w:t>当储能电池容量明显衰减或达到使用年限后，需要经过检测、拆解和分类处理。状态较好的电池可以在要求较低的场景中梯次利用，其余电池则通过材料再生回收锂、镍、钴等有价资源。</w:t>
            </w:r>
          </w:p>
        </w:tc>
        <w:tc>
          <w:tcPr>
            <w:tcW w:w="1714" w:type="pct"/>
            <w:vAlign w:val="center"/>
          </w:tcPr>
          <w:p w14:paraId="4596C668" w14:textId="77777777" w:rsidR="004A0C46" w:rsidRPr="00592284" w:rsidRDefault="00000000" w:rsidP="00592284">
            <w:pPr>
              <w:jc w:val="left"/>
              <w:rPr>
                <w:rFonts w:hint="eastAsia"/>
                <w:color w:val="000000"/>
                <w:sz w:val="21"/>
              </w:rPr>
            </w:pPr>
            <w:r w:rsidRPr="00592284">
              <w:rPr>
                <w:rFonts w:hint="eastAsia"/>
                <w:color w:val="000000"/>
                <w:sz w:val="21"/>
              </w:rPr>
              <w:t>格林美等。格林美已建立多地回收处理网络，并将回收、材料再生和规模化处理相结合。</w:t>
            </w:r>
          </w:p>
        </w:tc>
      </w:tr>
    </w:tbl>
    <w:p w14:paraId="21DEE86E" w14:textId="77777777" w:rsidR="004A0C46" w:rsidRDefault="00000000" w:rsidP="007E5EB5">
      <w:pPr>
        <w:pStyle w:val="a0"/>
        <w:spacing w:before="156"/>
        <w:ind w:firstLine="480"/>
        <w:rPr>
          <w:rFonts w:eastAsia="宋体" w:hint="eastAsia"/>
        </w:rPr>
      </w:pPr>
      <w:r>
        <w:rPr>
          <w:rFonts w:eastAsia="宋体" w:hint="eastAsia"/>
        </w:rPr>
        <w:t>相比之下，下游项目的收入来源比设备制造更加多元，同时更依赖省级市场规则、调度调用和长期运行质量。</w:t>
      </w:r>
    </w:p>
    <w:p w14:paraId="7F8793D5" w14:textId="77777777" w:rsidR="004A0C46" w:rsidRDefault="004A0C46">
      <w:pPr>
        <w:widowControl/>
        <w:jc w:val="left"/>
        <w:rPr>
          <w:rFonts w:ascii="宋体" w:hAnsi="宋体" w:cs="宋体" w:hint="eastAsia"/>
          <w:color w:val="000000"/>
          <w:sz w:val="2"/>
          <w:szCs w:val="2"/>
        </w:rPr>
      </w:pPr>
    </w:p>
    <w:p w14:paraId="0F3F4459" w14:textId="77777777" w:rsidR="004A0C46" w:rsidRDefault="004A0C46">
      <w:pPr>
        <w:rPr>
          <w:rFonts w:ascii="宋体" w:hAnsi="宋体" w:cs="宋体" w:hint="eastAsia"/>
        </w:rPr>
        <w:sectPr w:rsidR="004A0C46">
          <w:footerReference w:type="default" r:id="rId9"/>
          <w:pgSz w:w="11909" w:h="16834"/>
          <w:pgMar w:top="1440" w:right="1800" w:bottom="1440" w:left="1800" w:header="720" w:footer="720" w:gutter="0"/>
          <w:pgNumType w:start="1"/>
          <w:cols w:space="425"/>
          <w:docGrid w:type="lines" w:linePitch="312"/>
        </w:sectPr>
      </w:pPr>
    </w:p>
    <w:p w14:paraId="092DC874" w14:textId="5B7349DC" w:rsidR="004A0C46" w:rsidRPr="00592284" w:rsidRDefault="00000000" w:rsidP="00592284">
      <w:pPr>
        <w:pStyle w:val="2"/>
        <w:spacing w:before="156" w:after="156"/>
        <w:rPr>
          <w:rFonts w:hint="eastAsia"/>
        </w:rPr>
      </w:pPr>
      <w:bookmarkStart w:id="20" w:name="toc_target_11"/>
      <w:bookmarkStart w:id="21" w:name="_Toc236992648"/>
      <w:r w:rsidRPr="00592284">
        <w:rPr>
          <w:rFonts w:hint="eastAsia"/>
        </w:rPr>
        <w:lastRenderedPageBreak/>
        <w:t>国内储能市场发展现状及产业规模</w:t>
      </w:r>
      <w:bookmarkEnd w:id="20"/>
      <w:bookmarkEnd w:id="21"/>
    </w:p>
    <w:p w14:paraId="3C6FAD82" w14:textId="77777777" w:rsidR="004A0C46" w:rsidRPr="00592284" w:rsidRDefault="00000000" w:rsidP="00592284">
      <w:pPr>
        <w:pStyle w:val="3"/>
        <w:numPr>
          <w:ilvl w:val="0"/>
          <w:numId w:val="0"/>
        </w:numPr>
        <w:spacing w:before="156" w:after="156"/>
        <w:rPr>
          <w:rFonts w:hint="eastAsia"/>
        </w:rPr>
      </w:pPr>
      <w:bookmarkStart w:id="22" w:name="toc_target_12"/>
      <w:bookmarkStart w:id="23" w:name="_Toc236992649"/>
      <w:r w:rsidRPr="00592284">
        <w:rPr>
          <w:rFonts w:hint="eastAsia"/>
        </w:rPr>
        <w:t xml:space="preserve">3.1 </w:t>
      </w:r>
      <w:r w:rsidRPr="00592284">
        <w:rPr>
          <w:rFonts w:hint="eastAsia"/>
        </w:rPr>
        <w:t>装机规模</w:t>
      </w:r>
      <w:bookmarkEnd w:id="22"/>
      <w:bookmarkEnd w:id="23"/>
    </w:p>
    <w:p w14:paraId="236023E1" w14:textId="57B84720" w:rsidR="004A0C46" w:rsidRDefault="00000000" w:rsidP="00592284">
      <w:pPr>
        <w:pStyle w:val="a0"/>
        <w:spacing w:before="156"/>
        <w:ind w:firstLine="480"/>
        <w:rPr>
          <w:rFonts w:eastAsia="宋体" w:hint="eastAsia"/>
        </w:rPr>
      </w:pPr>
      <w:r>
        <w:rPr>
          <w:rFonts w:eastAsia="宋体" w:hint="eastAsia"/>
        </w:rPr>
        <w:t>根据中关村储能产业技术联盟（</w:t>
      </w:r>
      <w:r>
        <w:rPr>
          <w:rFonts w:eastAsia="宋体" w:hint="eastAsia"/>
        </w:rPr>
        <w:t>CNESA</w:t>
      </w:r>
      <w:r>
        <w:rPr>
          <w:rFonts w:eastAsia="宋体" w:hint="eastAsia"/>
        </w:rPr>
        <w:t>）</w:t>
      </w:r>
      <w:r>
        <w:rPr>
          <w:rFonts w:eastAsia="宋体" w:hint="eastAsia"/>
        </w:rPr>
        <w:t>Data</w:t>
      </w:r>
      <w:r w:rsidR="007E5EB5">
        <w:rPr>
          <w:rFonts w:eastAsia="宋体" w:hint="eastAsia"/>
        </w:rPr>
        <w:t xml:space="preserve"> </w:t>
      </w:r>
      <w:r>
        <w:rPr>
          <w:rFonts w:eastAsia="宋体" w:hint="eastAsia"/>
        </w:rPr>
        <w:t>Link</w:t>
      </w:r>
      <w:r>
        <w:rPr>
          <w:rFonts w:eastAsia="宋体" w:hint="eastAsia"/>
        </w:rPr>
        <w:t>全球储能数据库的不完全统计，我国新型储能累计装机功率由</w:t>
      </w:r>
      <w:r>
        <w:rPr>
          <w:rFonts w:eastAsia="宋体" w:hint="eastAsia"/>
        </w:rPr>
        <w:t>2022</w:t>
      </w:r>
      <w:r>
        <w:rPr>
          <w:rFonts w:eastAsia="宋体" w:hint="eastAsia"/>
        </w:rPr>
        <w:t>年底的</w:t>
      </w:r>
      <w:r>
        <w:rPr>
          <w:rFonts w:eastAsia="宋体" w:hint="eastAsia"/>
        </w:rPr>
        <w:t>12.7GW</w:t>
      </w:r>
      <w:r>
        <w:rPr>
          <w:rFonts w:eastAsia="宋体" w:hint="eastAsia"/>
        </w:rPr>
        <w:t>增至</w:t>
      </w:r>
      <w:r>
        <w:rPr>
          <w:rFonts w:eastAsia="宋体" w:hint="eastAsia"/>
        </w:rPr>
        <w:t>2023</w:t>
      </w:r>
      <w:r>
        <w:rPr>
          <w:rFonts w:eastAsia="宋体" w:hint="eastAsia"/>
        </w:rPr>
        <w:t>年底的</w:t>
      </w:r>
      <w:r>
        <w:rPr>
          <w:rFonts w:eastAsia="宋体" w:hint="eastAsia"/>
        </w:rPr>
        <w:t>34.5GW</w:t>
      </w:r>
      <w:r>
        <w:rPr>
          <w:rFonts w:eastAsia="宋体" w:hint="eastAsia"/>
        </w:rPr>
        <w:t>、</w:t>
      </w:r>
      <w:r>
        <w:rPr>
          <w:rFonts w:eastAsia="宋体" w:hint="eastAsia"/>
        </w:rPr>
        <w:t>2024</w:t>
      </w:r>
      <w:r>
        <w:rPr>
          <w:rFonts w:eastAsia="宋体" w:hint="eastAsia"/>
        </w:rPr>
        <w:t>年底的</w:t>
      </w:r>
      <w:r>
        <w:rPr>
          <w:rFonts w:eastAsia="宋体" w:hint="eastAsia"/>
        </w:rPr>
        <w:t>78.3GW</w:t>
      </w:r>
      <w:r>
        <w:rPr>
          <w:rFonts w:eastAsia="宋体" w:hint="eastAsia"/>
        </w:rPr>
        <w:t>，并于</w:t>
      </w:r>
      <w:r>
        <w:rPr>
          <w:rFonts w:eastAsia="宋体" w:hint="eastAsia"/>
        </w:rPr>
        <w:t>2025</w:t>
      </w:r>
      <w:r>
        <w:rPr>
          <w:rFonts w:eastAsia="宋体" w:hint="eastAsia"/>
        </w:rPr>
        <w:t>年底达到</w:t>
      </w:r>
      <w:r>
        <w:rPr>
          <w:rFonts w:eastAsia="宋体" w:hint="eastAsia"/>
        </w:rPr>
        <w:t>144.7GW</w:t>
      </w:r>
      <w:r>
        <w:rPr>
          <w:rFonts w:eastAsia="宋体" w:hint="eastAsia"/>
        </w:rPr>
        <w:t>。</w:t>
      </w:r>
      <w:r>
        <w:rPr>
          <w:rFonts w:eastAsia="宋体" w:hint="eastAsia"/>
        </w:rPr>
        <w:t>2022</w:t>
      </w:r>
      <w:r>
        <w:rPr>
          <w:rFonts w:eastAsia="宋体" w:hint="eastAsia"/>
        </w:rPr>
        <w:t>—</w:t>
      </w:r>
      <w:r>
        <w:rPr>
          <w:rFonts w:eastAsia="宋体" w:hint="eastAsia"/>
        </w:rPr>
        <w:t>2025</w:t>
      </w:r>
      <w:r>
        <w:rPr>
          <w:rFonts w:eastAsia="宋体" w:hint="eastAsia"/>
        </w:rPr>
        <w:t>年，累计装机规模扩大至约</w:t>
      </w:r>
      <w:r>
        <w:rPr>
          <w:rFonts w:eastAsia="宋体" w:hint="eastAsia"/>
        </w:rPr>
        <w:t>11.4</w:t>
      </w:r>
      <w:r>
        <w:rPr>
          <w:rFonts w:eastAsia="宋体" w:hint="eastAsia"/>
        </w:rPr>
        <w:t>倍，年均复合增速约</w:t>
      </w:r>
      <w:r>
        <w:rPr>
          <w:rFonts w:eastAsia="宋体" w:hint="eastAsia"/>
        </w:rPr>
        <w:t>125%</w:t>
      </w:r>
      <w:r>
        <w:rPr>
          <w:rFonts w:eastAsia="宋体" w:hint="eastAsia"/>
        </w:rPr>
        <w:t>，显示我国新型储能已由规模化发展初期进入快速扩张阶段。</w:t>
      </w:r>
    </w:p>
    <w:p w14:paraId="3A4D2570" w14:textId="77777777" w:rsidR="004A0C46" w:rsidRDefault="00000000" w:rsidP="00592284">
      <w:pPr>
        <w:pStyle w:val="a0"/>
        <w:spacing w:before="156"/>
        <w:ind w:firstLine="480"/>
        <w:rPr>
          <w:rFonts w:eastAsia="宋体" w:hint="eastAsia"/>
        </w:rPr>
      </w:pPr>
      <w:r>
        <w:rPr>
          <w:rFonts w:eastAsia="宋体" w:hint="eastAsia"/>
        </w:rPr>
        <w:t>展望未来，</w:t>
      </w:r>
      <w:r>
        <w:rPr>
          <w:rFonts w:eastAsia="宋体" w:hint="eastAsia"/>
        </w:rPr>
        <w:t>CNESA</w:t>
      </w:r>
      <w:r>
        <w:rPr>
          <w:rFonts w:eastAsia="宋体" w:hint="eastAsia"/>
        </w:rPr>
        <w:t>预计到</w:t>
      </w:r>
      <w:r>
        <w:rPr>
          <w:rFonts w:eastAsia="宋体" w:hint="eastAsia"/>
        </w:rPr>
        <w:t>2030</w:t>
      </w:r>
      <w:r>
        <w:rPr>
          <w:rFonts w:eastAsia="宋体" w:hint="eastAsia"/>
        </w:rPr>
        <w:t>年中国新型储能累计装机规模将超过</w:t>
      </w:r>
      <w:r>
        <w:rPr>
          <w:rFonts w:eastAsia="宋体" w:hint="eastAsia"/>
        </w:rPr>
        <w:t>370GW</w:t>
      </w:r>
      <w:r>
        <w:rPr>
          <w:rFonts w:eastAsia="宋体" w:hint="eastAsia"/>
        </w:rPr>
        <w:t>，平均储能时长将由</w:t>
      </w:r>
      <w:r>
        <w:rPr>
          <w:rFonts w:eastAsia="宋体" w:hint="eastAsia"/>
        </w:rPr>
        <w:t>2025</w:t>
      </w:r>
      <w:r>
        <w:rPr>
          <w:rFonts w:eastAsia="宋体" w:hint="eastAsia"/>
        </w:rPr>
        <w:t>年的</w:t>
      </w:r>
      <w:r>
        <w:rPr>
          <w:rFonts w:eastAsia="宋体" w:hint="eastAsia"/>
        </w:rPr>
        <w:t>2.58</w:t>
      </w:r>
      <w:r>
        <w:rPr>
          <w:rFonts w:eastAsia="宋体" w:hint="eastAsia"/>
        </w:rPr>
        <w:t>小时提高至</w:t>
      </w:r>
      <w:r>
        <w:rPr>
          <w:rFonts w:eastAsia="宋体" w:hint="eastAsia"/>
        </w:rPr>
        <w:t>3.47</w:t>
      </w:r>
      <w:r>
        <w:rPr>
          <w:rFonts w:eastAsia="宋体" w:hint="eastAsia"/>
        </w:rPr>
        <w:t>小时。与</w:t>
      </w:r>
      <w:r>
        <w:rPr>
          <w:rFonts w:eastAsia="宋体" w:hint="eastAsia"/>
        </w:rPr>
        <w:t>2025</w:t>
      </w:r>
      <w:r>
        <w:rPr>
          <w:rFonts w:eastAsia="宋体" w:hint="eastAsia"/>
        </w:rPr>
        <w:t>年</w:t>
      </w:r>
      <w:r>
        <w:rPr>
          <w:rFonts w:eastAsia="宋体" w:hint="eastAsia"/>
        </w:rPr>
        <w:t>144.7GW</w:t>
      </w:r>
      <w:r>
        <w:rPr>
          <w:rFonts w:eastAsia="宋体" w:hint="eastAsia"/>
        </w:rPr>
        <w:t>的实际装机相比，</w:t>
      </w:r>
      <w:r>
        <w:rPr>
          <w:rFonts w:eastAsia="宋体" w:hint="eastAsia"/>
        </w:rPr>
        <w:t>2030</w:t>
      </w:r>
      <w:r>
        <w:rPr>
          <w:rFonts w:eastAsia="宋体" w:hint="eastAsia"/>
        </w:rPr>
        <w:t>年预测规模达到其</w:t>
      </w:r>
      <w:r>
        <w:rPr>
          <w:rFonts w:eastAsia="宋体" w:hint="eastAsia"/>
        </w:rPr>
        <w:t>2.5</w:t>
      </w:r>
      <w:r>
        <w:rPr>
          <w:rFonts w:eastAsia="宋体" w:hint="eastAsia"/>
        </w:rPr>
        <w:t>倍以上，对应</w:t>
      </w:r>
      <w:r>
        <w:rPr>
          <w:rFonts w:eastAsia="宋体" w:hint="eastAsia"/>
        </w:rPr>
        <w:t>2025</w:t>
      </w:r>
      <w:r>
        <w:rPr>
          <w:rFonts w:eastAsia="宋体" w:hint="eastAsia"/>
        </w:rPr>
        <w:t>—</w:t>
      </w:r>
      <w:r>
        <w:rPr>
          <w:rFonts w:eastAsia="宋体" w:hint="eastAsia"/>
        </w:rPr>
        <w:t>2030</w:t>
      </w:r>
      <w:r>
        <w:rPr>
          <w:rFonts w:eastAsia="宋体" w:hint="eastAsia"/>
        </w:rPr>
        <w:t>年年均复合增速约</w:t>
      </w:r>
      <w:r>
        <w:rPr>
          <w:rFonts w:eastAsia="宋体" w:hint="eastAsia"/>
        </w:rPr>
        <w:t>20.7%</w:t>
      </w:r>
      <w:r>
        <w:rPr>
          <w:rFonts w:eastAsia="宋体" w:hint="eastAsia"/>
        </w:rPr>
        <w:t>，未来五年的累计装机增量预计超过</w:t>
      </w:r>
      <w:r>
        <w:rPr>
          <w:rFonts w:eastAsia="宋体" w:hint="eastAsia"/>
        </w:rPr>
        <w:t>225GW</w:t>
      </w:r>
      <w:r>
        <w:rPr>
          <w:rFonts w:eastAsia="宋体" w:hint="eastAsia"/>
        </w:rPr>
        <w:t>。装机规模和储能时长同步提升，将继续扩大电池、系统集成、核心部件、工程交付及运营服务等环节的市场需求。</w:t>
      </w:r>
    </w:p>
    <w:p w14:paraId="3CA20418" w14:textId="77777777" w:rsidR="004A0C46" w:rsidRDefault="00000000" w:rsidP="00592284">
      <w:pPr>
        <w:pStyle w:val="a0"/>
        <w:spacing w:before="156"/>
        <w:ind w:firstLine="480"/>
        <w:rPr>
          <w:rFonts w:eastAsia="宋体" w:hint="eastAsia"/>
        </w:rPr>
      </w:pPr>
      <w:r>
        <w:rPr>
          <w:rFonts w:eastAsia="宋体" w:hint="eastAsia"/>
        </w:rPr>
        <w:t>上述历史实际值和</w:t>
      </w:r>
      <w:r>
        <w:rPr>
          <w:rFonts w:eastAsia="宋体" w:hint="eastAsia"/>
        </w:rPr>
        <w:t>2030</w:t>
      </w:r>
      <w:r>
        <w:rPr>
          <w:rFonts w:eastAsia="宋体" w:hint="eastAsia"/>
        </w:rPr>
        <w:t>年预测值均采用</w:t>
      </w:r>
      <w:r>
        <w:rPr>
          <w:rFonts w:eastAsia="宋体" w:hint="eastAsia"/>
        </w:rPr>
        <w:t xml:space="preserve">CNESA </w:t>
      </w:r>
      <w:proofErr w:type="spellStart"/>
      <w:r>
        <w:rPr>
          <w:rFonts w:eastAsia="宋体" w:hint="eastAsia"/>
        </w:rPr>
        <w:t>DataLink</w:t>
      </w:r>
      <w:proofErr w:type="spellEnd"/>
      <w:r>
        <w:rPr>
          <w:rFonts w:eastAsia="宋体" w:hint="eastAsia"/>
        </w:rPr>
        <w:t>口径，能够在统一统计边界下观察行业发展趋势。</w:t>
      </w:r>
      <w:r>
        <w:rPr>
          <w:rFonts w:eastAsia="宋体" w:hint="eastAsia"/>
        </w:rPr>
        <w:t>CNESA</w:t>
      </w:r>
      <w:r>
        <w:rPr>
          <w:rFonts w:eastAsia="宋体" w:hint="eastAsia"/>
        </w:rPr>
        <w:t>采用项目数据库不完全统计，其结果与国家能源局公开数据之间的差异主要来自项目纳入范围和统计时点。</w:t>
      </w:r>
    </w:p>
    <w:p w14:paraId="2E83CE5B" w14:textId="77777777" w:rsidR="004A0C46" w:rsidRDefault="00000000">
      <w:pPr>
        <w:keepNext/>
        <w:spacing w:before="120" w:after="120"/>
        <w:jc w:val="center"/>
        <w:rPr>
          <w:rFonts w:ascii="宋体" w:hAnsi="宋体" w:cs="宋体" w:hint="eastAsia"/>
          <w:color w:val="000000"/>
          <w:szCs w:val="21"/>
        </w:rPr>
      </w:pPr>
      <w:r>
        <w:rPr>
          <w:rFonts w:ascii="宋体" w:hAnsi="宋体" w:cs="宋体" w:hint="eastAsia"/>
          <w:noProof/>
          <w:color w:val="000000"/>
          <w:szCs w:val="21"/>
        </w:rPr>
        <w:drawing>
          <wp:inline distT="0" distB="0" distL="114300" distR="114300" wp14:anchorId="622FEB4B" wp14:editId="636281B2">
            <wp:extent cx="5074920" cy="2089150"/>
            <wp:effectExtent l="0" t="0" r="508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074920" cy="2089673"/>
                    </a:xfrm>
                    <a:prstGeom prst="rect">
                      <a:avLst/>
                    </a:prstGeom>
                  </pic:spPr>
                </pic:pic>
              </a:graphicData>
            </a:graphic>
          </wp:inline>
        </w:drawing>
      </w:r>
    </w:p>
    <w:p w14:paraId="11905765" w14:textId="7FC57B12" w:rsidR="004A0C46" w:rsidRDefault="00000000" w:rsidP="00A34D1B">
      <w:pPr>
        <w:pStyle w:val="a6"/>
        <w:rPr>
          <w:rFonts w:hint="eastAsia"/>
        </w:rPr>
      </w:pPr>
      <w:r>
        <w:rPr>
          <w:rFonts w:hint="eastAsia"/>
        </w:rPr>
        <w:t>数据来源：</w:t>
      </w:r>
      <w:r>
        <w:rPr>
          <w:rFonts w:hint="eastAsia"/>
        </w:rPr>
        <w:t xml:space="preserve">CNESA </w:t>
      </w:r>
      <w:proofErr w:type="spellStart"/>
      <w:r>
        <w:rPr>
          <w:rFonts w:hint="eastAsia"/>
        </w:rPr>
        <w:t>DataLink</w:t>
      </w:r>
      <w:proofErr w:type="spellEnd"/>
    </w:p>
    <w:p w14:paraId="69758B77" w14:textId="77777777" w:rsidR="004A0C46" w:rsidRPr="00592284" w:rsidRDefault="00000000" w:rsidP="00592284">
      <w:pPr>
        <w:pStyle w:val="3"/>
        <w:numPr>
          <w:ilvl w:val="0"/>
          <w:numId w:val="0"/>
        </w:numPr>
        <w:spacing w:before="156" w:after="156"/>
        <w:rPr>
          <w:rFonts w:hint="eastAsia"/>
        </w:rPr>
      </w:pPr>
      <w:bookmarkStart w:id="24" w:name="toc_target_13"/>
      <w:bookmarkStart w:id="25" w:name="_Toc236992650"/>
      <w:r w:rsidRPr="00592284">
        <w:rPr>
          <w:rFonts w:hint="eastAsia"/>
        </w:rPr>
        <w:lastRenderedPageBreak/>
        <w:t xml:space="preserve">3.2 </w:t>
      </w:r>
      <w:r w:rsidRPr="00592284">
        <w:rPr>
          <w:rFonts w:hint="eastAsia"/>
        </w:rPr>
        <w:t>应用结构与区域分布</w:t>
      </w:r>
      <w:bookmarkEnd w:id="24"/>
      <w:bookmarkEnd w:id="25"/>
    </w:p>
    <w:p w14:paraId="5D7442E6" w14:textId="77777777" w:rsidR="004A0C46" w:rsidRDefault="00000000" w:rsidP="00592284">
      <w:pPr>
        <w:pStyle w:val="a0"/>
        <w:spacing w:before="156"/>
        <w:ind w:firstLine="480"/>
        <w:rPr>
          <w:rFonts w:eastAsia="宋体" w:hint="eastAsia"/>
        </w:rPr>
      </w:pPr>
      <w:r>
        <w:rPr>
          <w:rFonts w:eastAsia="宋体" w:hint="eastAsia"/>
        </w:rPr>
        <w:t>截至</w:t>
      </w:r>
      <w:r>
        <w:rPr>
          <w:rFonts w:eastAsia="宋体" w:hint="eastAsia"/>
        </w:rPr>
        <w:t>2025</w:t>
      </w:r>
      <w:r>
        <w:rPr>
          <w:rFonts w:eastAsia="宋体" w:hint="eastAsia"/>
        </w:rPr>
        <w:t>年底，独立储能装机占全国已投运新型储能装机的</w:t>
      </w:r>
      <w:r>
        <w:rPr>
          <w:rFonts w:eastAsia="宋体" w:hint="eastAsia"/>
        </w:rPr>
        <w:t>51.2%</w:t>
      </w:r>
      <w:r>
        <w:rPr>
          <w:rFonts w:eastAsia="宋体" w:hint="eastAsia"/>
        </w:rPr>
        <w:t>，已成为大型储能项目的主要建设和运营形态。相较于新能源配建储能，独立储能可以作为相对独立的市场主体接受电网调度，并参与电能量、辅助服务和容量租赁等多类市场。与此同时，其项目收益对接入位置、调度规则、交易能力、融资成本和运营管理水平提出了更高要求。</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val="04A0" w:firstRow="1" w:lastRow="0" w:firstColumn="1" w:lastColumn="0" w:noHBand="0" w:noVBand="1"/>
      </w:tblPr>
      <w:tblGrid>
        <w:gridCol w:w="855"/>
        <w:gridCol w:w="1686"/>
        <w:gridCol w:w="5981"/>
      </w:tblGrid>
      <w:tr w:rsidR="004A0C46" w:rsidRPr="00592284" w14:paraId="58A10A1F" w14:textId="77777777" w:rsidTr="00592284">
        <w:trPr>
          <w:cantSplit/>
          <w:trHeight w:val="397"/>
          <w:tblHeader/>
          <w:jc w:val="center"/>
        </w:trPr>
        <w:tc>
          <w:tcPr>
            <w:tcW w:w="502" w:type="pct"/>
            <w:tcBorders>
              <w:top w:val="single" w:sz="12" w:space="0" w:color="010000"/>
              <w:bottom w:val="single" w:sz="4" w:space="0" w:color="010000"/>
            </w:tcBorders>
            <w:vAlign w:val="center"/>
          </w:tcPr>
          <w:p w14:paraId="50375642" w14:textId="77777777" w:rsidR="004A0C46" w:rsidRPr="00592284" w:rsidRDefault="00000000" w:rsidP="00592284">
            <w:pPr>
              <w:keepNext/>
              <w:jc w:val="center"/>
              <w:rPr>
                <w:rFonts w:hint="eastAsia"/>
                <w:b/>
                <w:color w:val="000000"/>
                <w:sz w:val="21"/>
              </w:rPr>
            </w:pPr>
            <w:r w:rsidRPr="00592284">
              <w:rPr>
                <w:rFonts w:hint="eastAsia"/>
                <w:b/>
                <w:color w:val="000000"/>
                <w:sz w:val="21"/>
              </w:rPr>
              <w:t>区域</w:t>
            </w:r>
          </w:p>
        </w:tc>
        <w:tc>
          <w:tcPr>
            <w:tcW w:w="989" w:type="pct"/>
            <w:tcBorders>
              <w:top w:val="single" w:sz="12" w:space="0" w:color="010000"/>
              <w:bottom w:val="single" w:sz="4" w:space="0" w:color="010000"/>
            </w:tcBorders>
            <w:vAlign w:val="center"/>
          </w:tcPr>
          <w:p w14:paraId="75F5009C" w14:textId="77777777" w:rsidR="004A0C46" w:rsidRPr="00592284" w:rsidRDefault="00000000" w:rsidP="00592284">
            <w:pPr>
              <w:keepNext/>
              <w:jc w:val="center"/>
              <w:rPr>
                <w:rFonts w:hint="eastAsia"/>
                <w:b/>
                <w:color w:val="000000"/>
                <w:sz w:val="21"/>
              </w:rPr>
            </w:pPr>
            <w:r w:rsidRPr="00592284">
              <w:rPr>
                <w:rFonts w:hint="eastAsia"/>
                <w:b/>
                <w:color w:val="000000"/>
                <w:sz w:val="21"/>
              </w:rPr>
              <w:t>2025</w:t>
            </w:r>
            <w:r w:rsidRPr="00592284">
              <w:rPr>
                <w:rFonts w:hint="eastAsia"/>
                <w:b/>
                <w:color w:val="000000"/>
                <w:sz w:val="21"/>
              </w:rPr>
              <w:t>年末累计装机占比</w:t>
            </w:r>
          </w:p>
        </w:tc>
        <w:tc>
          <w:tcPr>
            <w:tcW w:w="3510" w:type="pct"/>
            <w:tcBorders>
              <w:top w:val="single" w:sz="12" w:space="0" w:color="010000"/>
              <w:bottom w:val="single" w:sz="4" w:space="0" w:color="010000"/>
            </w:tcBorders>
            <w:vAlign w:val="center"/>
          </w:tcPr>
          <w:p w14:paraId="53254A52" w14:textId="77777777" w:rsidR="004A0C46" w:rsidRPr="00592284" w:rsidRDefault="00000000" w:rsidP="00592284">
            <w:pPr>
              <w:keepNext/>
              <w:jc w:val="center"/>
              <w:rPr>
                <w:rFonts w:hint="eastAsia"/>
                <w:b/>
                <w:color w:val="000000"/>
                <w:sz w:val="21"/>
              </w:rPr>
            </w:pPr>
            <w:r w:rsidRPr="00592284">
              <w:rPr>
                <w:rFonts w:hint="eastAsia"/>
                <w:b/>
                <w:color w:val="000000"/>
                <w:sz w:val="21"/>
              </w:rPr>
              <w:t>主要发展条件</w:t>
            </w:r>
          </w:p>
        </w:tc>
      </w:tr>
      <w:tr w:rsidR="004A0C46" w:rsidRPr="00592284" w14:paraId="6F602847" w14:textId="77777777" w:rsidTr="00592284">
        <w:trPr>
          <w:cantSplit/>
          <w:trHeight w:val="397"/>
          <w:jc w:val="center"/>
        </w:trPr>
        <w:tc>
          <w:tcPr>
            <w:tcW w:w="502" w:type="pct"/>
            <w:tcBorders>
              <w:top w:val="single" w:sz="4" w:space="0" w:color="010000"/>
            </w:tcBorders>
            <w:vAlign w:val="center"/>
          </w:tcPr>
          <w:p w14:paraId="350E3B67" w14:textId="77777777" w:rsidR="004A0C46" w:rsidRPr="00592284" w:rsidRDefault="00000000" w:rsidP="00592284">
            <w:pPr>
              <w:jc w:val="left"/>
              <w:rPr>
                <w:rFonts w:hint="eastAsia"/>
                <w:color w:val="000000"/>
                <w:sz w:val="21"/>
              </w:rPr>
            </w:pPr>
            <w:r w:rsidRPr="00592284">
              <w:rPr>
                <w:rFonts w:hint="eastAsia"/>
                <w:color w:val="000000"/>
                <w:sz w:val="21"/>
              </w:rPr>
              <w:t>华北</w:t>
            </w:r>
          </w:p>
        </w:tc>
        <w:tc>
          <w:tcPr>
            <w:tcW w:w="989" w:type="pct"/>
            <w:tcBorders>
              <w:top w:val="single" w:sz="4" w:space="0" w:color="010000"/>
            </w:tcBorders>
            <w:vAlign w:val="center"/>
          </w:tcPr>
          <w:p w14:paraId="7E09A6B8" w14:textId="1ACC3028" w:rsidR="004A0C46" w:rsidRPr="00592284" w:rsidRDefault="00000000" w:rsidP="00592284">
            <w:pPr>
              <w:jc w:val="center"/>
              <w:rPr>
                <w:rFonts w:hint="eastAsia"/>
                <w:color w:val="000000"/>
                <w:sz w:val="21"/>
              </w:rPr>
            </w:pPr>
            <w:r w:rsidRPr="00592284">
              <w:rPr>
                <w:rFonts w:hint="eastAsia"/>
                <w:color w:val="000000"/>
                <w:sz w:val="21"/>
              </w:rPr>
              <w:t>32.5%</w:t>
            </w:r>
          </w:p>
        </w:tc>
        <w:tc>
          <w:tcPr>
            <w:tcW w:w="3510" w:type="pct"/>
            <w:tcBorders>
              <w:top w:val="single" w:sz="4" w:space="0" w:color="010000"/>
            </w:tcBorders>
            <w:vAlign w:val="center"/>
          </w:tcPr>
          <w:p w14:paraId="534DEBE9" w14:textId="77777777" w:rsidR="004A0C46" w:rsidRPr="00592284" w:rsidRDefault="00000000" w:rsidP="00592284">
            <w:pPr>
              <w:jc w:val="left"/>
              <w:rPr>
                <w:rFonts w:hint="eastAsia"/>
                <w:color w:val="000000"/>
                <w:sz w:val="21"/>
              </w:rPr>
            </w:pPr>
            <w:r w:rsidRPr="00592284">
              <w:rPr>
                <w:rFonts w:hint="eastAsia"/>
                <w:color w:val="000000"/>
                <w:sz w:val="21"/>
              </w:rPr>
              <w:t>新能源基地和跨区外送通道较为集中，电网调峰及新能源消纳需求较强，内蒙古等省区的新型储能装机规模相对较大。</w:t>
            </w:r>
          </w:p>
        </w:tc>
      </w:tr>
      <w:tr w:rsidR="004A0C46" w:rsidRPr="00592284" w14:paraId="0E5AD655" w14:textId="77777777" w:rsidTr="00592284">
        <w:trPr>
          <w:cantSplit/>
          <w:trHeight w:val="397"/>
          <w:jc w:val="center"/>
        </w:trPr>
        <w:tc>
          <w:tcPr>
            <w:tcW w:w="502" w:type="pct"/>
            <w:vAlign w:val="center"/>
          </w:tcPr>
          <w:p w14:paraId="56F61571" w14:textId="77777777" w:rsidR="004A0C46" w:rsidRPr="00592284" w:rsidRDefault="00000000" w:rsidP="00592284">
            <w:pPr>
              <w:jc w:val="left"/>
              <w:rPr>
                <w:rFonts w:hint="eastAsia"/>
                <w:color w:val="000000"/>
                <w:sz w:val="21"/>
              </w:rPr>
            </w:pPr>
            <w:r w:rsidRPr="00592284">
              <w:rPr>
                <w:rFonts w:hint="eastAsia"/>
                <w:color w:val="000000"/>
                <w:sz w:val="21"/>
              </w:rPr>
              <w:t>西北</w:t>
            </w:r>
          </w:p>
        </w:tc>
        <w:tc>
          <w:tcPr>
            <w:tcW w:w="989" w:type="pct"/>
            <w:vAlign w:val="center"/>
          </w:tcPr>
          <w:p w14:paraId="39A16E63" w14:textId="26603ABC" w:rsidR="004A0C46" w:rsidRPr="00592284" w:rsidRDefault="00000000" w:rsidP="00592284">
            <w:pPr>
              <w:jc w:val="center"/>
              <w:rPr>
                <w:rFonts w:hint="eastAsia"/>
                <w:color w:val="000000"/>
                <w:sz w:val="21"/>
              </w:rPr>
            </w:pPr>
            <w:r w:rsidRPr="00592284">
              <w:rPr>
                <w:rFonts w:hint="eastAsia"/>
                <w:color w:val="000000"/>
                <w:sz w:val="21"/>
              </w:rPr>
              <w:t>28.2%</w:t>
            </w:r>
          </w:p>
        </w:tc>
        <w:tc>
          <w:tcPr>
            <w:tcW w:w="3510" w:type="pct"/>
            <w:vAlign w:val="center"/>
          </w:tcPr>
          <w:p w14:paraId="011499BF" w14:textId="77777777" w:rsidR="004A0C46" w:rsidRPr="00592284" w:rsidRDefault="00000000" w:rsidP="00592284">
            <w:pPr>
              <w:jc w:val="left"/>
              <w:rPr>
                <w:rFonts w:hint="eastAsia"/>
                <w:color w:val="000000"/>
                <w:sz w:val="21"/>
              </w:rPr>
            </w:pPr>
            <w:r w:rsidRPr="00592284">
              <w:rPr>
                <w:rFonts w:hint="eastAsia"/>
                <w:color w:val="000000"/>
                <w:sz w:val="21"/>
              </w:rPr>
              <w:t>风电、光伏资源丰富，大型新能源基地和跨区外送项目持续推进，带动独立储能和长时储能需求增长。</w:t>
            </w:r>
          </w:p>
        </w:tc>
      </w:tr>
      <w:tr w:rsidR="004A0C46" w:rsidRPr="00592284" w14:paraId="1E2A96EF" w14:textId="77777777" w:rsidTr="00592284">
        <w:trPr>
          <w:cantSplit/>
          <w:trHeight w:val="397"/>
          <w:jc w:val="center"/>
        </w:trPr>
        <w:tc>
          <w:tcPr>
            <w:tcW w:w="502" w:type="pct"/>
            <w:vAlign w:val="center"/>
          </w:tcPr>
          <w:p w14:paraId="4DDD3938" w14:textId="77777777" w:rsidR="004A0C46" w:rsidRPr="00592284" w:rsidRDefault="00000000" w:rsidP="00592284">
            <w:pPr>
              <w:jc w:val="left"/>
              <w:rPr>
                <w:rFonts w:hint="eastAsia"/>
                <w:color w:val="000000"/>
                <w:sz w:val="21"/>
              </w:rPr>
            </w:pPr>
            <w:r w:rsidRPr="00592284">
              <w:rPr>
                <w:rFonts w:hint="eastAsia"/>
                <w:color w:val="000000"/>
                <w:sz w:val="21"/>
              </w:rPr>
              <w:t>华东</w:t>
            </w:r>
          </w:p>
        </w:tc>
        <w:tc>
          <w:tcPr>
            <w:tcW w:w="989" w:type="pct"/>
            <w:vAlign w:val="center"/>
          </w:tcPr>
          <w:p w14:paraId="3AE9037B" w14:textId="54BA0DB8" w:rsidR="004A0C46" w:rsidRPr="00592284" w:rsidRDefault="00000000" w:rsidP="00592284">
            <w:pPr>
              <w:jc w:val="center"/>
              <w:rPr>
                <w:rFonts w:hint="eastAsia"/>
                <w:color w:val="000000"/>
                <w:sz w:val="21"/>
              </w:rPr>
            </w:pPr>
            <w:r w:rsidRPr="00592284">
              <w:rPr>
                <w:rFonts w:hint="eastAsia"/>
                <w:color w:val="000000"/>
                <w:sz w:val="21"/>
              </w:rPr>
              <w:t>14.4%</w:t>
            </w:r>
          </w:p>
        </w:tc>
        <w:tc>
          <w:tcPr>
            <w:tcW w:w="3510" w:type="pct"/>
            <w:vAlign w:val="center"/>
          </w:tcPr>
          <w:p w14:paraId="183757A8" w14:textId="77777777" w:rsidR="004A0C46" w:rsidRPr="00592284" w:rsidRDefault="00000000" w:rsidP="00592284">
            <w:pPr>
              <w:jc w:val="left"/>
              <w:rPr>
                <w:rFonts w:hint="eastAsia"/>
                <w:color w:val="000000"/>
                <w:sz w:val="21"/>
              </w:rPr>
            </w:pPr>
            <w:r w:rsidRPr="00592284">
              <w:rPr>
                <w:rFonts w:hint="eastAsia"/>
                <w:color w:val="000000"/>
                <w:sz w:val="21"/>
              </w:rPr>
              <w:t>用电负荷密集，电力现货和辅助服务市场相对活跃，电网侧、工商业及其他用户侧储能场景较为丰富。</w:t>
            </w:r>
          </w:p>
        </w:tc>
      </w:tr>
      <w:tr w:rsidR="004A0C46" w:rsidRPr="00592284" w14:paraId="33E85AE2" w14:textId="77777777" w:rsidTr="00592284">
        <w:trPr>
          <w:cantSplit/>
          <w:trHeight w:val="397"/>
          <w:jc w:val="center"/>
        </w:trPr>
        <w:tc>
          <w:tcPr>
            <w:tcW w:w="502" w:type="pct"/>
            <w:vAlign w:val="center"/>
          </w:tcPr>
          <w:p w14:paraId="62ED0C90" w14:textId="77777777" w:rsidR="004A0C46" w:rsidRPr="00592284" w:rsidRDefault="00000000" w:rsidP="00592284">
            <w:pPr>
              <w:jc w:val="left"/>
              <w:rPr>
                <w:rFonts w:hint="eastAsia"/>
                <w:color w:val="000000"/>
                <w:sz w:val="21"/>
              </w:rPr>
            </w:pPr>
            <w:r w:rsidRPr="00592284">
              <w:rPr>
                <w:rFonts w:hint="eastAsia"/>
                <w:color w:val="000000"/>
                <w:sz w:val="21"/>
              </w:rPr>
              <w:t>南方</w:t>
            </w:r>
          </w:p>
        </w:tc>
        <w:tc>
          <w:tcPr>
            <w:tcW w:w="989" w:type="pct"/>
            <w:vAlign w:val="center"/>
          </w:tcPr>
          <w:p w14:paraId="3B07E3ED" w14:textId="00AD3A5E" w:rsidR="004A0C46" w:rsidRPr="00592284" w:rsidRDefault="00000000" w:rsidP="00592284">
            <w:pPr>
              <w:jc w:val="center"/>
              <w:rPr>
                <w:rFonts w:hint="eastAsia"/>
                <w:color w:val="000000"/>
                <w:sz w:val="21"/>
              </w:rPr>
            </w:pPr>
            <w:r w:rsidRPr="00592284">
              <w:rPr>
                <w:rFonts w:hint="eastAsia"/>
                <w:color w:val="000000"/>
                <w:sz w:val="21"/>
              </w:rPr>
              <w:t>13.1%</w:t>
            </w:r>
          </w:p>
        </w:tc>
        <w:tc>
          <w:tcPr>
            <w:tcW w:w="3510" w:type="pct"/>
            <w:vAlign w:val="center"/>
          </w:tcPr>
          <w:p w14:paraId="38BFDF5A" w14:textId="77777777" w:rsidR="004A0C46" w:rsidRPr="00592284" w:rsidRDefault="00000000" w:rsidP="00592284">
            <w:pPr>
              <w:jc w:val="left"/>
              <w:rPr>
                <w:rFonts w:hint="eastAsia"/>
                <w:color w:val="000000"/>
                <w:sz w:val="21"/>
              </w:rPr>
            </w:pPr>
            <w:r w:rsidRPr="00592284">
              <w:rPr>
                <w:rFonts w:hint="eastAsia"/>
                <w:color w:val="000000"/>
                <w:sz w:val="21"/>
              </w:rPr>
              <w:t>电力市场化程度和工商业用电规模较高，为独立储能、工商业储能和虚拟电厂等应用提供了发展空间。</w:t>
            </w:r>
          </w:p>
        </w:tc>
      </w:tr>
      <w:tr w:rsidR="004A0C46" w:rsidRPr="00592284" w14:paraId="41FD8B0F" w14:textId="77777777" w:rsidTr="00592284">
        <w:trPr>
          <w:cantSplit/>
          <w:trHeight w:val="397"/>
          <w:jc w:val="center"/>
        </w:trPr>
        <w:tc>
          <w:tcPr>
            <w:tcW w:w="502" w:type="pct"/>
            <w:vAlign w:val="center"/>
          </w:tcPr>
          <w:p w14:paraId="73F36C1C" w14:textId="77777777" w:rsidR="004A0C46" w:rsidRPr="00592284" w:rsidRDefault="00000000" w:rsidP="00592284">
            <w:pPr>
              <w:jc w:val="left"/>
              <w:rPr>
                <w:rFonts w:hint="eastAsia"/>
                <w:color w:val="000000"/>
                <w:sz w:val="21"/>
              </w:rPr>
            </w:pPr>
            <w:r w:rsidRPr="00592284">
              <w:rPr>
                <w:rFonts w:hint="eastAsia"/>
                <w:color w:val="000000"/>
                <w:sz w:val="21"/>
              </w:rPr>
              <w:t>华中及东北</w:t>
            </w:r>
          </w:p>
        </w:tc>
        <w:tc>
          <w:tcPr>
            <w:tcW w:w="989" w:type="pct"/>
            <w:vAlign w:val="center"/>
          </w:tcPr>
          <w:p w14:paraId="5C877079" w14:textId="10A4D88E" w:rsidR="004A0C46" w:rsidRPr="00592284" w:rsidRDefault="00000000" w:rsidP="00592284">
            <w:pPr>
              <w:jc w:val="center"/>
              <w:rPr>
                <w:rFonts w:hint="eastAsia"/>
                <w:color w:val="000000"/>
                <w:sz w:val="21"/>
              </w:rPr>
            </w:pPr>
            <w:r w:rsidRPr="00592284">
              <w:rPr>
                <w:rFonts w:hint="eastAsia"/>
                <w:color w:val="000000"/>
                <w:sz w:val="21"/>
              </w:rPr>
              <w:t>11.8%</w:t>
            </w:r>
          </w:p>
        </w:tc>
        <w:tc>
          <w:tcPr>
            <w:tcW w:w="3510" w:type="pct"/>
            <w:vAlign w:val="center"/>
          </w:tcPr>
          <w:p w14:paraId="52F2A700" w14:textId="77777777" w:rsidR="004A0C46" w:rsidRPr="00592284" w:rsidRDefault="00000000" w:rsidP="00592284">
            <w:pPr>
              <w:jc w:val="left"/>
              <w:rPr>
                <w:rFonts w:hint="eastAsia"/>
                <w:color w:val="000000"/>
                <w:sz w:val="21"/>
              </w:rPr>
            </w:pPr>
            <w:r w:rsidRPr="00592284">
              <w:rPr>
                <w:rFonts w:hint="eastAsia"/>
                <w:color w:val="000000"/>
                <w:sz w:val="21"/>
              </w:rPr>
              <w:t>各地区的电源结构、电网约束和调度机制差异较大，收益与当地电价、容量补偿和调用规则高度相关。</w:t>
            </w:r>
          </w:p>
        </w:tc>
      </w:tr>
    </w:tbl>
    <w:p w14:paraId="6131E99B" w14:textId="77777777" w:rsidR="004A0C46" w:rsidRPr="00F27C6B" w:rsidRDefault="00000000" w:rsidP="00F27C6B">
      <w:pPr>
        <w:pStyle w:val="a6"/>
        <w:rPr>
          <w:rFonts w:hint="eastAsia"/>
        </w:rPr>
      </w:pPr>
      <w:r w:rsidRPr="00F27C6B">
        <w:rPr>
          <w:rFonts w:hint="eastAsia"/>
        </w:rPr>
        <w:t>数据来源：国家能源局</w:t>
      </w:r>
    </w:p>
    <w:p w14:paraId="52DBCCA1" w14:textId="77777777" w:rsidR="004A0C46" w:rsidRDefault="00000000" w:rsidP="00F27C6B">
      <w:pPr>
        <w:pStyle w:val="a0"/>
        <w:spacing w:before="156"/>
        <w:ind w:firstLine="480"/>
        <w:rPr>
          <w:rFonts w:eastAsia="宋体" w:hint="eastAsia"/>
        </w:rPr>
      </w:pPr>
      <w:r>
        <w:rPr>
          <w:rFonts w:eastAsia="宋体" w:hint="eastAsia"/>
        </w:rPr>
        <w:t>从区域结构看，华北和西北合计占全国累计装机的</w:t>
      </w:r>
      <w:r>
        <w:rPr>
          <w:rFonts w:eastAsia="宋体" w:hint="eastAsia"/>
        </w:rPr>
        <w:t>60.7%</w:t>
      </w:r>
      <w:r>
        <w:rPr>
          <w:rFonts w:eastAsia="宋体" w:hint="eastAsia"/>
        </w:rPr>
        <w:t>，构成我国新型储能项目最集中的两大区域。</w:t>
      </w:r>
      <w:r>
        <w:rPr>
          <w:rFonts w:eastAsia="宋体" w:hint="eastAsia"/>
        </w:rPr>
        <w:t>2025</w:t>
      </w:r>
      <w:r>
        <w:rPr>
          <w:rFonts w:eastAsia="宋体" w:hint="eastAsia"/>
        </w:rPr>
        <w:t>年，华北和西北新增装机分别为</w:t>
      </w:r>
      <w:r>
        <w:rPr>
          <w:rFonts w:eastAsia="宋体" w:hint="eastAsia"/>
        </w:rPr>
        <w:t>21.88GW</w:t>
      </w:r>
      <w:r>
        <w:rPr>
          <w:rFonts w:eastAsia="宋体" w:hint="eastAsia"/>
        </w:rPr>
        <w:t>和</w:t>
      </w:r>
      <w:r>
        <w:rPr>
          <w:rFonts w:eastAsia="宋体" w:hint="eastAsia"/>
        </w:rPr>
        <w:t>19.66GW</w:t>
      </w:r>
      <w:r>
        <w:rPr>
          <w:rFonts w:eastAsia="宋体" w:hint="eastAsia"/>
        </w:rPr>
        <w:t>，合计约占全国当年新增装机规模的三分之二。</w:t>
      </w:r>
    </w:p>
    <w:p w14:paraId="554616DA" w14:textId="77777777" w:rsidR="004A0C46" w:rsidRPr="00592284" w:rsidRDefault="00000000" w:rsidP="00592284">
      <w:pPr>
        <w:pStyle w:val="3"/>
        <w:numPr>
          <w:ilvl w:val="0"/>
          <w:numId w:val="0"/>
        </w:numPr>
        <w:spacing w:before="156" w:after="156"/>
        <w:rPr>
          <w:rFonts w:hint="eastAsia"/>
        </w:rPr>
      </w:pPr>
      <w:bookmarkStart w:id="26" w:name="toc_target_14"/>
      <w:bookmarkStart w:id="27" w:name="_Toc236992651"/>
      <w:r w:rsidRPr="00592284">
        <w:rPr>
          <w:rFonts w:hint="eastAsia"/>
        </w:rPr>
        <w:t xml:space="preserve">3.3 </w:t>
      </w:r>
      <w:r w:rsidRPr="00592284">
        <w:rPr>
          <w:rFonts w:hint="eastAsia"/>
        </w:rPr>
        <w:t>利用小时与调用水平</w:t>
      </w:r>
      <w:bookmarkEnd w:id="26"/>
      <w:bookmarkEnd w:id="27"/>
    </w:p>
    <w:p w14:paraId="7CE78547" w14:textId="77777777" w:rsidR="004A0C46" w:rsidRDefault="00000000" w:rsidP="00F27C6B">
      <w:pPr>
        <w:pStyle w:val="a0"/>
        <w:spacing w:before="156"/>
        <w:ind w:firstLine="480"/>
        <w:rPr>
          <w:rFonts w:eastAsia="宋体" w:hint="eastAsia"/>
        </w:rPr>
      </w:pPr>
      <w:r>
        <w:rPr>
          <w:rFonts w:eastAsia="宋体" w:hint="eastAsia"/>
        </w:rPr>
        <w:t>等效利用小时是衡量储能项目实际调用程度的重要指标，通常将统计期内的实际放电量折算为储能系统按照额定功率连续运行的小时数。全国新型储能等效利用小时由</w:t>
      </w:r>
      <w:r>
        <w:rPr>
          <w:rFonts w:eastAsia="宋体" w:hint="eastAsia"/>
        </w:rPr>
        <w:t>2023</w:t>
      </w:r>
      <w:r>
        <w:rPr>
          <w:rFonts w:eastAsia="宋体" w:hint="eastAsia"/>
        </w:rPr>
        <w:t>年的</w:t>
      </w:r>
      <w:r>
        <w:rPr>
          <w:rFonts w:eastAsia="宋体" w:hint="eastAsia"/>
        </w:rPr>
        <w:t>611</w:t>
      </w:r>
      <w:r>
        <w:rPr>
          <w:rFonts w:eastAsia="宋体" w:hint="eastAsia"/>
        </w:rPr>
        <w:t>小时提高至</w:t>
      </w:r>
      <w:r>
        <w:rPr>
          <w:rFonts w:eastAsia="宋体" w:hint="eastAsia"/>
        </w:rPr>
        <w:t>2024</w:t>
      </w:r>
      <w:r>
        <w:rPr>
          <w:rFonts w:eastAsia="宋体" w:hint="eastAsia"/>
        </w:rPr>
        <w:t>年的</w:t>
      </w:r>
      <w:r>
        <w:rPr>
          <w:rFonts w:eastAsia="宋体" w:hint="eastAsia"/>
        </w:rPr>
        <w:t>911</w:t>
      </w:r>
      <w:r>
        <w:rPr>
          <w:rFonts w:eastAsia="宋体" w:hint="eastAsia"/>
        </w:rPr>
        <w:t>小时，并于</w:t>
      </w:r>
      <w:r>
        <w:rPr>
          <w:rFonts w:eastAsia="宋体" w:hint="eastAsia"/>
        </w:rPr>
        <w:t>2025</w:t>
      </w:r>
      <w:r>
        <w:rPr>
          <w:rFonts w:eastAsia="宋体" w:hint="eastAsia"/>
        </w:rPr>
        <w:t>年进一步达到</w:t>
      </w:r>
      <w:r>
        <w:rPr>
          <w:rFonts w:eastAsia="宋体" w:hint="eastAsia"/>
        </w:rPr>
        <w:t>1,195</w:t>
      </w:r>
      <w:r>
        <w:rPr>
          <w:rFonts w:eastAsia="宋体" w:hint="eastAsia"/>
        </w:rPr>
        <w:t>小时，连续两年保持增长，反映出新型储能并网调用和整体利用水平持续改善。此外，不同应用场景的调用水平存在明显差异。</w:t>
      </w:r>
      <w:r>
        <w:rPr>
          <w:rFonts w:eastAsia="宋体" w:hint="eastAsia"/>
        </w:rPr>
        <w:t>2024</w:t>
      </w:r>
      <w:r>
        <w:rPr>
          <w:rFonts w:eastAsia="宋体" w:hint="eastAsia"/>
        </w:rPr>
        <w:t>年，新能源配建储能年均等效利用小时约为</w:t>
      </w:r>
      <w:r>
        <w:rPr>
          <w:rFonts w:eastAsia="宋体" w:hint="eastAsia"/>
        </w:rPr>
        <w:t>766</w:t>
      </w:r>
      <w:r>
        <w:rPr>
          <w:rFonts w:eastAsia="宋体" w:hint="eastAsia"/>
        </w:rPr>
        <w:t>小时，独立和共享储能约为</w:t>
      </w:r>
      <w:r>
        <w:rPr>
          <w:rFonts w:eastAsia="宋体" w:hint="eastAsia"/>
        </w:rPr>
        <w:t>995</w:t>
      </w:r>
      <w:r>
        <w:rPr>
          <w:rFonts w:eastAsia="宋体" w:hint="eastAsia"/>
        </w:rPr>
        <w:t>小时，反映出后者的整体利用程度相对较高。</w:t>
      </w:r>
    </w:p>
    <w:p w14:paraId="58F0FE0F" w14:textId="77777777" w:rsidR="004A0C46" w:rsidRDefault="00000000">
      <w:pPr>
        <w:keepNext/>
        <w:spacing w:before="120" w:after="120"/>
        <w:jc w:val="center"/>
        <w:rPr>
          <w:rFonts w:ascii="宋体" w:hAnsi="宋体" w:cs="宋体" w:hint="eastAsia"/>
          <w:color w:val="000000"/>
          <w:szCs w:val="21"/>
        </w:rPr>
      </w:pPr>
      <w:r>
        <w:rPr>
          <w:rFonts w:ascii="宋体" w:hAnsi="宋体" w:cs="宋体" w:hint="eastAsia"/>
          <w:noProof/>
          <w:color w:val="000000"/>
          <w:szCs w:val="21"/>
        </w:rPr>
        <w:lastRenderedPageBreak/>
        <w:drawing>
          <wp:inline distT="0" distB="0" distL="114300" distR="114300" wp14:anchorId="5516879E" wp14:editId="5C5D9F33">
            <wp:extent cx="5074920" cy="2367915"/>
            <wp:effectExtent l="0" t="0" r="5080" b="196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074920" cy="2368296"/>
                    </a:xfrm>
                    <a:prstGeom prst="rect">
                      <a:avLst/>
                    </a:prstGeom>
                  </pic:spPr>
                </pic:pic>
              </a:graphicData>
            </a:graphic>
          </wp:inline>
        </w:drawing>
      </w:r>
    </w:p>
    <w:p w14:paraId="304F7CA9" w14:textId="211F123D" w:rsidR="004A0C46" w:rsidRDefault="00000000" w:rsidP="00A34D1B">
      <w:pPr>
        <w:pStyle w:val="a6"/>
        <w:rPr>
          <w:rFonts w:hint="eastAsia"/>
        </w:rPr>
      </w:pPr>
      <w:r>
        <w:rPr>
          <w:rFonts w:hint="eastAsia"/>
        </w:rPr>
        <w:t>数据来源：国家能源局</w:t>
      </w:r>
    </w:p>
    <w:p w14:paraId="746E38DB" w14:textId="77777777" w:rsidR="004A0C46" w:rsidRPr="00592284" w:rsidRDefault="00000000" w:rsidP="00592284">
      <w:pPr>
        <w:pStyle w:val="3"/>
        <w:numPr>
          <w:ilvl w:val="0"/>
          <w:numId w:val="0"/>
        </w:numPr>
        <w:spacing w:before="156" w:after="156"/>
        <w:rPr>
          <w:rFonts w:hint="eastAsia"/>
        </w:rPr>
      </w:pPr>
      <w:bookmarkStart w:id="28" w:name="toc_target_15"/>
      <w:bookmarkStart w:id="29" w:name="_Toc236992652"/>
      <w:r w:rsidRPr="00592284">
        <w:rPr>
          <w:rFonts w:hint="eastAsia"/>
        </w:rPr>
        <w:t xml:space="preserve">3.4 </w:t>
      </w:r>
      <w:bookmarkEnd w:id="28"/>
      <w:r w:rsidRPr="00592284">
        <w:rPr>
          <w:rFonts w:hint="eastAsia"/>
        </w:rPr>
        <w:t>相关政策</w:t>
      </w:r>
      <w:bookmarkEnd w:id="29"/>
    </w:p>
    <w:p w14:paraId="4388251E" w14:textId="77777777" w:rsidR="004A0C46" w:rsidRDefault="00000000" w:rsidP="00F27C6B">
      <w:pPr>
        <w:pStyle w:val="a0"/>
        <w:spacing w:before="156"/>
        <w:ind w:firstLine="480"/>
        <w:rPr>
          <w:rFonts w:eastAsia="宋体" w:hint="eastAsia"/>
        </w:rPr>
      </w:pPr>
      <w:r>
        <w:rPr>
          <w:rFonts w:eastAsia="宋体" w:hint="eastAsia"/>
        </w:rPr>
        <w:t>国内新型储能正由以配建要求推动的规模扩张，逐步转向以市场交易和容量价值为基础的运行机制。</w:t>
      </w:r>
      <w:r>
        <w:rPr>
          <w:rFonts w:eastAsia="宋体" w:hint="eastAsia"/>
        </w:rPr>
        <w:t>2025</w:t>
      </w:r>
      <w:r>
        <w:rPr>
          <w:rFonts w:eastAsia="宋体" w:hint="eastAsia"/>
        </w:rPr>
        <w:t>年发布的发改价格〔</w:t>
      </w:r>
      <w:r>
        <w:rPr>
          <w:rFonts w:eastAsia="宋体" w:hint="eastAsia"/>
        </w:rPr>
        <w:t>2025</w:t>
      </w:r>
      <w:r>
        <w:rPr>
          <w:rFonts w:eastAsia="宋体" w:hint="eastAsia"/>
        </w:rPr>
        <w:t>〕</w:t>
      </w:r>
      <w:r>
        <w:rPr>
          <w:rFonts w:eastAsia="宋体" w:hint="eastAsia"/>
        </w:rPr>
        <w:t>136</w:t>
      </w:r>
      <w:r>
        <w:rPr>
          <w:rFonts w:eastAsia="宋体" w:hint="eastAsia"/>
        </w:rPr>
        <w:t>号文明确，新能源项目上网电量原则上全部进入电力市场，上网电价通过市场交易形成；同年我国电力现货市场已基本实现全覆盖。新能源电价和出力偏差更多由市场反映后，储能能否通过低充高放、辅助服务和联合交易形成收益，成为项目投资决策的重要因素。</w:t>
      </w:r>
    </w:p>
    <w:p w14:paraId="5904B79B" w14:textId="77777777" w:rsidR="004A0C46" w:rsidRDefault="00000000" w:rsidP="00F27C6B">
      <w:pPr>
        <w:pStyle w:val="a0"/>
        <w:spacing w:before="156"/>
        <w:ind w:firstLine="480"/>
        <w:rPr>
          <w:rFonts w:eastAsia="宋体" w:hint="eastAsia"/>
        </w:rPr>
      </w:pPr>
      <w:r>
        <w:rPr>
          <w:rFonts w:eastAsia="宋体" w:hint="eastAsia"/>
        </w:rPr>
        <w:t>2026</w:t>
      </w:r>
      <w:r>
        <w:rPr>
          <w:rFonts w:eastAsia="宋体" w:hint="eastAsia"/>
        </w:rPr>
        <w:t>年发布的发改价格〔</w:t>
      </w:r>
      <w:r>
        <w:rPr>
          <w:rFonts w:eastAsia="宋体" w:hint="eastAsia"/>
        </w:rPr>
        <w:t>2026</w:t>
      </w:r>
      <w:r>
        <w:rPr>
          <w:rFonts w:eastAsia="宋体" w:hint="eastAsia"/>
        </w:rPr>
        <w:t>〕</w:t>
      </w:r>
      <w:r>
        <w:rPr>
          <w:rFonts w:eastAsia="宋体" w:hint="eastAsia"/>
        </w:rPr>
        <w:t>114</w:t>
      </w:r>
      <w:r>
        <w:rPr>
          <w:rFonts w:eastAsia="宋体" w:hint="eastAsia"/>
        </w:rPr>
        <w:t>号文进一步提出，对符合条件且纳入清单的电网侧独立新型储能，可由各地建立容量电价机制。现货价差、辅助服务、容量电价和容量租赁逐步形成可叠加的收益来源，但具体规则仍由各地区分别制定，项目收益需要结合当地电价、调用频次、接入条件和融资成本进行测算。</w:t>
      </w:r>
    </w:p>
    <w:p w14:paraId="250488A1" w14:textId="77777777" w:rsidR="004A0C46" w:rsidRPr="00592284" w:rsidRDefault="00000000" w:rsidP="00592284">
      <w:pPr>
        <w:pStyle w:val="3"/>
        <w:numPr>
          <w:ilvl w:val="0"/>
          <w:numId w:val="0"/>
        </w:numPr>
        <w:spacing w:before="156" w:after="156"/>
        <w:rPr>
          <w:rFonts w:hint="eastAsia"/>
        </w:rPr>
      </w:pPr>
      <w:bookmarkStart w:id="30" w:name="toc_target_16"/>
      <w:bookmarkStart w:id="31" w:name="_Toc236992653"/>
      <w:r w:rsidRPr="00592284">
        <w:rPr>
          <w:rFonts w:hint="eastAsia"/>
        </w:rPr>
        <w:t xml:space="preserve">3.5 </w:t>
      </w:r>
      <w:bookmarkEnd w:id="30"/>
      <w:r w:rsidRPr="00592284">
        <w:rPr>
          <w:rFonts w:hint="eastAsia"/>
        </w:rPr>
        <w:t>国内储能采购趋势</w:t>
      </w:r>
      <w:bookmarkEnd w:id="31"/>
    </w:p>
    <w:p w14:paraId="39FA61BB" w14:textId="77777777" w:rsidR="004A0C46" w:rsidRDefault="00000000" w:rsidP="00F27C6B">
      <w:pPr>
        <w:pStyle w:val="a0"/>
        <w:spacing w:before="156"/>
        <w:ind w:firstLine="480"/>
        <w:rPr>
          <w:rFonts w:eastAsia="宋体" w:hint="eastAsia"/>
          <w:sz w:val="2"/>
          <w:szCs w:val="2"/>
        </w:rPr>
      </w:pPr>
      <w:r>
        <w:rPr>
          <w:rFonts w:eastAsia="宋体" w:hint="eastAsia"/>
        </w:rPr>
        <w:t>2026</w:t>
      </w:r>
      <w:r>
        <w:rPr>
          <w:rFonts w:eastAsia="宋体" w:hint="eastAsia"/>
        </w:rPr>
        <w:t>年上半年，国内储能系统招标按已披露口径统计的功率规模为</w:t>
      </w:r>
      <w:r>
        <w:rPr>
          <w:rFonts w:eastAsia="宋体" w:hint="eastAsia"/>
        </w:rPr>
        <w:t>24.5GW</w:t>
      </w:r>
      <w:r>
        <w:rPr>
          <w:rFonts w:eastAsia="宋体" w:hint="eastAsia"/>
        </w:rPr>
        <w:t>，能量规模为</w:t>
      </w:r>
      <w:r>
        <w:rPr>
          <w:rFonts w:eastAsia="宋体" w:hint="eastAsia"/>
        </w:rPr>
        <w:t>148.1GWh</w:t>
      </w:r>
      <w:r>
        <w:rPr>
          <w:rFonts w:eastAsia="宋体" w:hint="eastAsia"/>
        </w:rPr>
        <w:t>。其中，集中采购和框架采购的能量规模达到</w:t>
      </w:r>
      <w:r>
        <w:rPr>
          <w:rFonts w:eastAsia="宋体" w:hint="eastAsia"/>
        </w:rPr>
        <w:t>80.6GWh</w:t>
      </w:r>
      <w:r>
        <w:rPr>
          <w:rFonts w:eastAsia="宋体" w:hint="eastAsia"/>
        </w:rPr>
        <w:t>，占招标能量规模的</w:t>
      </w:r>
      <w:r>
        <w:rPr>
          <w:rFonts w:eastAsia="宋体" w:hint="eastAsia"/>
        </w:rPr>
        <w:t>54.4%</w:t>
      </w:r>
      <w:r>
        <w:rPr>
          <w:rFonts w:eastAsia="宋体" w:hint="eastAsia"/>
        </w:rPr>
        <w:t>。集中采购通常由大型能源集团统一技术标准、供应商准入和价格机制，提升了采购价格及供应商竞争情况的透明度，也使大型订单进一步向综合履约能力较强的企业集中。</w:t>
      </w:r>
    </w:p>
    <w:p w14:paraId="55840339" w14:textId="77777777" w:rsidR="004A0C46" w:rsidRDefault="004A0C46">
      <w:pPr>
        <w:rPr>
          <w:rFonts w:ascii="宋体" w:hAnsi="宋体" w:cs="宋体" w:hint="eastAsia"/>
        </w:rPr>
        <w:sectPr w:rsidR="004A0C46">
          <w:pgSz w:w="11906" w:h="16838"/>
          <w:pgMar w:top="1440" w:right="1800" w:bottom="1440" w:left="1800" w:header="720" w:footer="720" w:gutter="0"/>
          <w:cols w:space="425"/>
          <w:docGrid w:type="lines" w:linePitch="312"/>
        </w:sectPr>
      </w:pPr>
    </w:p>
    <w:p w14:paraId="447C75B4" w14:textId="67F02B45" w:rsidR="004A0C46" w:rsidRPr="00592284" w:rsidRDefault="00000000" w:rsidP="00592284">
      <w:pPr>
        <w:pStyle w:val="2"/>
        <w:spacing w:before="156" w:after="156"/>
        <w:rPr>
          <w:rFonts w:hint="eastAsia"/>
        </w:rPr>
      </w:pPr>
      <w:bookmarkStart w:id="32" w:name="toc_target_17"/>
      <w:bookmarkStart w:id="33" w:name="_Toc236992654"/>
      <w:r w:rsidRPr="00592284">
        <w:rPr>
          <w:rFonts w:hint="eastAsia"/>
        </w:rPr>
        <w:lastRenderedPageBreak/>
        <w:t>行业格局、发展趋势及产业机会</w:t>
      </w:r>
      <w:bookmarkEnd w:id="32"/>
      <w:bookmarkEnd w:id="33"/>
    </w:p>
    <w:p w14:paraId="75BC459E" w14:textId="77777777" w:rsidR="004A0C46" w:rsidRPr="00592284" w:rsidRDefault="00000000" w:rsidP="00592284">
      <w:pPr>
        <w:pStyle w:val="3"/>
        <w:numPr>
          <w:ilvl w:val="0"/>
          <w:numId w:val="0"/>
        </w:numPr>
        <w:spacing w:before="156" w:after="156"/>
        <w:rPr>
          <w:rFonts w:hint="eastAsia"/>
        </w:rPr>
      </w:pPr>
      <w:bookmarkStart w:id="34" w:name="toc_target_18"/>
      <w:bookmarkStart w:id="35" w:name="_Toc236992655"/>
      <w:r w:rsidRPr="00592284">
        <w:rPr>
          <w:rFonts w:hint="eastAsia"/>
        </w:rPr>
        <w:t xml:space="preserve">4.1 </w:t>
      </w:r>
      <w:r w:rsidRPr="00592284">
        <w:rPr>
          <w:rFonts w:hint="eastAsia"/>
        </w:rPr>
        <w:t>全球储能电池格局</w:t>
      </w:r>
      <w:bookmarkEnd w:id="34"/>
      <w:bookmarkEnd w:id="35"/>
    </w:p>
    <w:p w14:paraId="50449598" w14:textId="2E7338F4" w:rsidR="004A0C46" w:rsidRPr="007E5EB5" w:rsidRDefault="00000000" w:rsidP="007E5EB5">
      <w:pPr>
        <w:pStyle w:val="a0"/>
        <w:spacing w:before="156"/>
        <w:ind w:firstLine="480"/>
        <w:rPr>
          <w:rFonts w:eastAsiaTheme="minorEastAsia" w:hint="eastAsia"/>
        </w:rPr>
      </w:pPr>
      <w:r w:rsidRPr="007E5EB5">
        <w:rPr>
          <w:rFonts w:ascii="宋体" w:eastAsia="宋体" w:hAnsi="宋体" w:cs="宋体" w:hint="eastAsia"/>
        </w:rPr>
        <w:t>不同机构对储能电池出货量的统计边界并不完全一致。</w:t>
      </w:r>
      <w:proofErr w:type="spellStart"/>
      <w:r w:rsidRPr="007E5EB5">
        <w:t>InfoLink</w:t>
      </w:r>
      <w:proofErr w:type="spellEnd"/>
      <w:r w:rsidRPr="007E5EB5">
        <w:rPr>
          <w:rFonts w:ascii="宋体" w:eastAsia="宋体" w:hAnsi="宋体" w:cs="宋体" w:hint="eastAsia"/>
        </w:rPr>
        <w:t>统计</w:t>
      </w:r>
      <w:r w:rsidRPr="007E5EB5">
        <w:t>2025</w:t>
      </w:r>
      <w:r w:rsidRPr="007E5EB5">
        <w:rPr>
          <w:rFonts w:ascii="宋体" w:eastAsia="宋体" w:hAnsi="宋体" w:cs="宋体" w:hint="eastAsia"/>
        </w:rPr>
        <w:t>年全球储能电芯出货量为</w:t>
      </w:r>
      <w:r w:rsidRPr="007E5EB5">
        <w:t>612GWh</w:t>
      </w:r>
      <w:r w:rsidRPr="007E5EB5">
        <w:rPr>
          <w:rFonts w:ascii="宋体" w:eastAsia="宋体" w:hAnsi="宋体" w:cs="宋体" w:hint="eastAsia"/>
        </w:rPr>
        <w:t>，同比增长</w:t>
      </w:r>
      <w:r w:rsidRPr="007E5EB5">
        <w:t>95%</w:t>
      </w:r>
      <w:r w:rsidRPr="007E5EB5">
        <w:rPr>
          <w:rFonts w:ascii="宋体" w:eastAsia="宋体" w:hAnsi="宋体" w:cs="宋体" w:hint="eastAsia"/>
        </w:rPr>
        <w:t>；</w:t>
      </w:r>
      <w:r w:rsidRPr="007E5EB5">
        <w:t>SNE Research</w:t>
      </w:r>
      <w:r w:rsidRPr="007E5EB5">
        <w:rPr>
          <w:rFonts w:ascii="宋体" w:eastAsia="宋体" w:hAnsi="宋体" w:cs="宋体" w:hint="eastAsia"/>
        </w:rPr>
        <w:t>统计的全球储能系统用锂离子电池出货量为</w:t>
      </w:r>
      <w:r w:rsidRPr="007E5EB5">
        <w:t>550GWh</w:t>
      </w:r>
      <w:r w:rsidRPr="007E5EB5">
        <w:rPr>
          <w:rFonts w:ascii="宋体" w:eastAsia="宋体" w:hAnsi="宋体" w:cs="宋体" w:hint="eastAsia"/>
        </w:rPr>
        <w:t>。前者统计口径相对更宽，两组数据不宜直接比较；下文企业份额和图</w:t>
      </w:r>
      <w:r w:rsidRPr="007E5EB5">
        <w:t>3</w:t>
      </w:r>
      <w:r w:rsidRPr="007E5EB5">
        <w:rPr>
          <w:rFonts w:ascii="宋体" w:eastAsia="宋体" w:hAnsi="宋体" w:cs="宋体" w:hint="eastAsia"/>
        </w:rPr>
        <w:t>统一采用标普信评转引的</w:t>
      </w:r>
      <w:r w:rsidRPr="007E5EB5">
        <w:t>SNE Research</w:t>
      </w:r>
      <w:r w:rsidRPr="007E5EB5">
        <w:rPr>
          <w:rFonts w:ascii="宋体" w:eastAsia="宋体" w:hAnsi="宋体" w:cs="宋体" w:hint="eastAsia"/>
        </w:rPr>
        <w:t>口径。在该口径下，宁德时代、瑞浦兰钧、亿纬锂能、比亚迪和海辰储能分别出货</w:t>
      </w:r>
      <w:r w:rsidRPr="007E5EB5">
        <w:t>167GWh</w:t>
      </w:r>
      <w:r w:rsidRPr="007E5EB5">
        <w:rPr>
          <w:rFonts w:ascii="宋体" w:eastAsia="宋体" w:hAnsi="宋体" w:cs="宋体" w:hint="eastAsia"/>
        </w:rPr>
        <w:t>、</w:t>
      </w:r>
      <w:r w:rsidRPr="007E5EB5">
        <w:t>69GWh</w:t>
      </w:r>
      <w:r w:rsidRPr="007E5EB5">
        <w:rPr>
          <w:rFonts w:ascii="宋体" w:eastAsia="宋体" w:hAnsi="宋体" w:cs="宋体" w:hint="eastAsia"/>
        </w:rPr>
        <w:t>、</w:t>
      </w:r>
      <w:r w:rsidRPr="007E5EB5">
        <w:t>66GWh</w:t>
      </w:r>
      <w:r w:rsidRPr="007E5EB5">
        <w:rPr>
          <w:rFonts w:ascii="宋体" w:eastAsia="宋体" w:hAnsi="宋体" w:cs="宋体" w:hint="eastAsia"/>
        </w:rPr>
        <w:t>、</w:t>
      </w:r>
      <w:r w:rsidRPr="007E5EB5">
        <w:t>48GWh</w:t>
      </w:r>
      <w:r w:rsidRPr="007E5EB5">
        <w:rPr>
          <w:rFonts w:ascii="宋体" w:eastAsia="宋体" w:hAnsi="宋体" w:cs="宋体" w:hint="eastAsia"/>
        </w:rPr>
        <w:t>和</w:t>
      </w:r>
      <w:r w:rsidRPr="007E5EB5">
        <w:t>43GWh</w:t>
      </w:r>
      <w:r w:rsidRPr="007E5EB5">
        <w:rPr>
          <w:rFonts w:ascii="宋体" w:eastAsia="宋体" w:hAnsi="宋体" w:cs="宋体" w:hint="eastAsia"/>
        </w:rPr>
        <w:t>，前五家合计约占全球市场的</w:t>
      </w:r>
      <w:r w:rsidRPr="007E5EB5">
        <w:t>71.5%</w:t>
      </w:r>
      <w:r w:rsidRPr="007E5EB5">
        <w:rPr>
          <w:rFonts w:ascii="宋体" w:eastAsia="宋体" w:hAnsi="宋体" w:cs="宋体" w:hint="eastAsia"/>
        </w:rPr>
        <w:t>。</w:t>
      </w:r>
    </w:p>
    <w:p w14:paraId="722BC115" w14:textId="77777777" w:rsidR="004A0C46" w:rsidRPr="007E5EB5" w:rsidRDefault="00000000" w:rsidP="007E5EB5">
      <w:pPr>
        <w:pStyle w:val="a0"/>
        <w:spacing w:before="156"/>
        <w:ind w:firstLine="480"/>
      </w:pPr>
      <w:r w:rsidRPr="007E5EB5">
        <w:rPr>
          <w:rFonts w:ascii="宋体" w:eastAsia="宋体" w:hAnsi="宋体" w:cs="宋体" w:hint="eastAsia"/>
        </w:rPr>
        <w:t>从企业分布看，宁德时代单家市场份额超过</w:t>
      </w:r>
      <w:r w:rsidRPr="007E5EB5">
        <w:t>30%</w:t>
      </w:r>
      <w:r w:rsidRPr="007E5EB5">
        <w:rPr>
          <w:rFonts w:ascii="宋体" w:eastAsia="宋体" w:hAnsi="宋体" w:cs="宋体" w:hint="eastAsia"/>
        </w:rPr>
        <w:t>，与第二梯队之间仍保持较大差距；瑞浦兰钧和亿纬锂能的份额均在</w:t>
      </w:r>
      <w:r w:rsidRPr="007E5EB5">
        <w:t>12%</w:t>
      </w:r>
      <w:r w:rsidRPr="007E5EB5">
        <w:rPr>
          <w:rFonts w:ascii="宋体" w:eastAsia="宋体" w:hAnsi="宋体" w:cs="宋体" w:hint="eastAsia"/>
        </w:rPr>
        <w:t>左右，构成第二梯队；比亚迪和海辰储能的份额接近</w:t>
      </w:r>
      <w:r w:rsidRPr="007E5EB5">
        <w:t>8%—9%</w:t>
      </w:r>
      <w:r w:rsidRPr="007E5EB5">
        <w:rPr>
          <w:rFonts w:ascii="宋体" w:eastAsia="宋体" w:hAnsi="宋体" w:cs="宋体" w:hint="eastAsia"/>
        </w:rPr>
        <w:t>。前五家均为中国企业，反映出中国厂商在储能电芯规模化制造、产品迭代和全球项目供货方面已占据主要市场份额。</w:t>
      </w:r>
    </w:p>
    <w:p w14:paraId="139B2CCE" w14:textId="77777777" w:rsidR="004A0C46" w:rsidRDefault="00000000">
      <w:pPr>
        <w:keepNext/>
        <w:spacing w:before="120" w:after="120"/>
        <w:jc w:val="center"/>
        <w:rPr>
          <w:rFonts w:ascii="宋体" w:hAnsi="宋体" w:cs="宋体" w:hint="eastAsia"/>
          <w:color w:val="000000"/>
          <w:szCs w:val="21"/>
        </w:rPr>
      </w:pPr>
      <w:r>
        <w:rPr>
          <w:rFonts w:ascii="宋体" w:hAnsi="宋体" w:cs="宋体" w:hint="eastAsia"/>
          <w:noProof/>
          <w:color w:val="000000"/>
          <w:szCs w:val="21"/>
        </w:rPr>
        <w:drawing>
          <wp:inline distT="0" distB="0" distL="114300" distR="114300" wp14:anchorId="0EB14976" wp14:editId="425BF6DA">
            <wp:extent cx="5074920" cy="2706370"/>
            <wp:effectExtent l="0" t="0" r="508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074920" cy="2706624"/>
                    </a:xfrm>
                    <a:prstGeom prst="rect">
                      <a:avLst/>
                    </a:prstGeom>
                  </pic:spPr>
                </pic:pic>
              </a:graphicData>
            </a:graphic>
          </wp:inline>
        </w:drawing>
      </w:r>
    </w:p>
    <w:p w14:paraId="3C238B21" w14:textId="33A54570" w:rsidR="004A0C46" w:rsidRPr="00A34D1B" w:rsidRDefault="00000000" w:rsidP="00A34D1B">
      <w:pPr>
        <w:pStyle w:val="a6"/>
        <w:rPr>
          <w:rFonts w:hint="eastAsia"/>
        </w:rPr>
      </w:pPr>
      <w:r>
        <w:rPr>
          <w:rFonts w:hint="eastAsia"/>
        </w:rPr>
        <w:t>数据来源：标普信评（据</w:t>
      </w:r>
      <w:r>
        <w:rPr>
          <w:rFonts w:hint="eastAsia"/>
        </w:rPr>
        <w:t>SNE Research</w:t>
      </w:r>
      <w:r>
        <w:rPr>
          <w:rFonts w:hint="eastAsia"/>
        </w:rPr>
        <w:t>整理）</w:t>
      </w:r>
    </w:p>
    <w:p w14:paraId="3A9D400A" w14:textId="77777777" w:rsidR="004A0C46" w:rsidRPr="00592284" w:rsidRDefault="00000000" w:rsidP="00592284">
      <w:pPr>
        <w:pStyle w:val="3"/>
        <w:numPr>
          <w:ilvl w:val="0"/>
          <w:numId w:val="0"/>
        </w:numPr>
        <w:spacing w:before="156" w:after="156"/>
        <w:rPr>
          <w:rFonts w:hint="eastAsia"/>
        </w:rPr>
      </w:pPr>
      <w:bookmarkStart w:id="36" w:name="toc_target_19"/>
      <w:bookmarkStart w:id="37" w:name="_Toc236992656"/>
      <w:r w:rsidRPr="00592284">
        <w:rPr>
          <w:rFonts w:hint="eastAsia"/>
        </w:rPr>
        <w:t xml:space="preserve">4.2 </w:t>
      </w:r>
      <w:r w:rsidRPr="00592284">
        <w:rPr>
          <w:rFonts w:hint="eastAsia"/>
        </w:rPr>
        <w:t>成本曲线的阶段性变化</w:t>
      </w:r>
      <w:bookmarkEnd w:id="36"/>
      <w:bookmarkEnd w:id="37"/>
    </w:p>
    <w:p w14:paraId="3DAE8B50" w14:textId="77777777" w:rsidR="004A0C46" w:rsidRDefault="00000000" w:rsidP="00F27C6B">
      <w:pPr>
        <w:pStyle w:val="a0"/>
        <w:spacing w:before="156"/>
        <w:ind w:firstLine="480"/>
        <w:rPr>
          <w:rFonts w:eastAsia="宋体" w:hint="eastAsia"/>
        </w:rPr>
      </w:pPr>
      <w:r>
        <w:rPr>
          <w:rFonts w:eastAsia="宋体" w:hint="eastAsia"/>
        </w:rPr>
        <w:t>从整体趋势看，国内储能系统中标价格在</w:t>
      </w:r>
      <w:r>
        <w:rPr>
          <w:rFonts w:eastAsia="宋体" w:hint="eastAsia"/>
        </w:rPr>
        <w:t>2023</w:t>
      </w:r>
      <w:r>
        <w:rPr>
          <w:rFonts w:eastAsia="宋体" w:hint="eastAsia"/>
        </w:rPr>
        <w:t>—</w:t>
      </w:r>
      <w:r>
        <w:rPr>
          <w:rFonts w:eastAsia="宋体" w:hint="eastAsia"/>
        </w:rPr>
        <w:t>2025</w:t>
      </w:r>
      <w:r>
        <w:rPr>
          <w:rFonts w:eastAsia="宋体" w:hint="eastAsia"/>
        </w:rPr>
        <w:t>年持续下降，</w:t>
      </w:r>
      <w:r>
        <w:rPr>
          <w:rFonts w:eastAsia="宋体" w:hint="eastAsia"/>
        </w:rPr>
        <w:t>2</w:t>
      </w:r>
      <w:r>
        <w:rPr>
          <w:rFonts w:eastAsia="宋体" w:hint="eastAsia"/>
        </w:rPr>
        <w:t>小时储能系统均价由约</w:t>
      </w:r>
      <w:r>
        <w:rPr>
          <w:rFonts w:eastAsia="宋体" w:hint="eastAsia"/>
        </w:rPr>
        <w:t>1.24</w:t>
      </w:r>
      <w:r>
        <w:rPr>
          <w:rFonts w:eastAsia="宋体" w:hint="eastAsia"/>
        </w:rPr>
        <w:t>元</w:t>
      </w:r>
      <w:r>
        <w:rPr>
          <w:rFonts w:eastAsia="宋体" w:hint="eastAsia"/>
        </w:rPr>
        <w:t>/</w:t>
      </w:r>
      <w:proofErr w:type="spellStart"/>
      <w:r>
        <w:rPr>
          <w:rFonts w:eastAsia="宋体" w:hint="eastAsia"/>
        </w:rPr>
        <w:t>Wh</w:t>
      </w:r>
      <w:proofErr w:type="spellEnd"/>
      <w:r>
        <w:rPr>
          <w:rFonts w:eastAsia="宋体" w:hint="eastAsia"/>
        </w:rPr>
        <w:t>降至约</w:t>
      </w:r>
      <w:r>
        <w:rPr>
          <w:rFonts w:eastAsia="宋体" w:hint="eastAsia"/>
        </w:rPr>
        <w:t>0.55</w:t>
      </w:r>
      <w:r>
        <w:rPr>
          <w:rFonts w:eastAsia="宋体" w:hint="eastAsia"/>
        </w:rPr>
        <w:t>元</w:t>
      </w:r>
      <w:r>
        <w:rPr>
          <w:rFonts w:eastAsia="宋体" w:hint="eastAsia"/>
        </w:rPr>
        <w:t>/</w:t>
      </w:r>
      <w:proofErr w:type="spellStart"/>
      <w:r>
        <w:rPr>
          <w:rFonts w:eastAsia="宋体" w:hint="eastAsia"/>
        </w:rPr>
        <w:t>Wh</w:t>
      </w:r>
      <w:proofErr w:type="spellEnd"/>
      <w:r>
        <w:rPr>
          <w:rFonts w:eastAsia="宋体" w:hint="eastAsia"/>
        </w:rPr>
        <w:t>。具体来看，</w:t>
      </w:r>
      <w:r>
        <w:rPr>
          <w:rFonts w:eastAsia="宋体" w:hint="eastAsia"/>
        </w:rPr>
        <w:t>2</w:t>
      </w:r>
      <w:r>
        <w:rPr>
          <w:rFonts w:eastAsia="宋体" w:hint="eastAsia"/>
        </w:rPr>
        <w:t>小时系统平均中标价格由</w:t>
      </w:r>
      <w:r>
        <w:rPr>
          <w:rFonts w:eastAsia="宋体" w:hint="eastAsia"/>
        </w:rPr>
        <w:t>2024</w:t>
      </w:r>
      <w:r>
        <w:rPr>
          <w:rFonts w:eastAsia="宋体" w:hint="eastAsia"/>
        </w:rPr>
        <w:t>年的</w:t>
      </w:r>
      <w:r>
        <w:rPr>
          <w:rFonts w:eastAsia="宋体" w:hint="eastAsia"/>
        </w:rPr>
        <w:t>628.25</w:t>
      </w:r>
      <w:r>
        <w:rPr>
          <w:rFonts w:eastAsia="宋体" w:hint="eastAsia"/>
        </w:rPr>
        <w:t>元</w:t>
      </w:r>
      <w:r>
        <w:rPr>
          <w:rFonts w:eastAsia="宋体" w:hint="eastAsia"/>
        </w:rPr>
        <w:t>/kWh</w:t>
      </w:r>
      <w:r>
        <w:rPr>
          <w:rFonts w:eastAsia="宋体" w:hint="eastAsia"/>
        </w:rPr>
        <w:t>降至</w:t>
      </w:r>
      <w:r>
        <w:rPr>
          <w:rFonts w:eastAsia="宋体" w:hint="eastAsia"/>
        </w:rPr>
        <w:t>2025</w:t>
      </w:r>
      <w:r>
        <w:rPr>
          <w:rFonts w:eastAsia="宋体" w:hint="eastAsia"/>
        </w:rPr>
        <w:t>年的</w:t>
      </w:r>
      <w:r>
        <w:rPr>
          <w:rFonts w:eastAsia="宋体" w:hint="eastAsia"/>
        </w:rPr>
        <w:t>553.94</w:t>
      </w:r>
      <w:r>
        <w:rPr>
          <w:rFonts w:eastAsia="宋体" w:hint="eastAsia"/>
        </w:rPr>
        <w:t>元</w:t>
      </w:r>
      <w:r>
        <w:rPr>
          <w:rFonts w:eastAsia="宋体" w:hint="eastAsia"/>
        </w:rPr>
        <w:t>/kWh</w:t>
      </w:r>
      <w:r>
        <w:rPr>
          <w:rFonts w:eastAsia="宋体" w:hint="eastAsia"/>
        </w:rPr>
        <w:t>，</w:t>
      </w:r>
      <w:r>
        <w:rPr>
          <w:rFonts w:eastAsia="宋体" w:hint="eastAsia"/>
        </w:rPr>
        <w:t>2026</w:t>
      </w:r>
      <w:r>
        <w:rPr>
          <w:rFonts w:eastAsia="宋体" w:hint="eastAsia"/>
        </w:rPr>
        <w:t>年上半年回升至</w:t>
      </w:r>
      <w:r>
        <w:rPr>
          <w:rFonts w:eastAsia="宋体" w:hint="eastAsia"/>
        </w:rPr>
        <w:t>602.1</w:t>
      </w:r>
      <w:r>
        <w:rPr>
          <w:rFonts w:eastAsia="宋体" w:hint="eastAsia"/>
        </w:rPr>
        <w:t>元</w:t>
      </w:r>
      <w:r>
        <w:rPr>
          <w:rFonts w:eastAsia="宋体" w:hint="eastAsia"/>
        </w:rPr>
        <w:t>/kWh</w:t>
      </w:r>
      <w:r>
        <w:rPr>
          <w:rFonts w:eastAsia="宋体" w:hint="eastAsia"/>
        </w:rPr>
        <w:t>；同期，</w:t>
      </w:r>
      <w:r>
        <w:rPr>
          <w:rFonts w:eastAsia="宋体" w:hint="eastAsia"/>
        </w:rPr>
        <w:t>4</w:t>
      </w:r>
      <w:r>
        <w:rPr>
          <w:rFonts w:eastAsia="宋体" w:hint="eastAsia"/>
        </w:rPr>
        <w:t>小时系统平均中标价格由</w:t>
      </w:r>
      <w:r>
        <w:rPr>
          <w:rFonts w:eastAsia="宋体" w:hint="eastAsia"/>
        </w:rPr>
        <w:t>610.40</w:t>
      </w:r>
      <w:r>
        <w:rPr>
          <w:rFonts w:eastAsia="宋体" w:hint="eastAsia"/>
        </w:rPr>
        <w:t>元</w:t>
      </w:r>
      <w:r>
        <w:rPr>
          <w:rFonts w:eastAsia="宋体" w:hint="eastAsia"/>
        </w:rPr>
        <w:t>/kWh</w:t>
      </w:r>
      <w:r>
        <w:rPr>
          <w:rFonts w:eastAsia="宋体" w:hint="eastAsia"/>
        </w:rPr>
        <w:t>降至</w:t>
      </w:r>
      <w:r>
        <w:rPr>
          <w:rFonts w:eastAsia="宋体" w:hint="eastAsia"/>
        </w:rPr>
        <w:lastRenderedPageBreak/>
        <w:t>478.69</w:t>
      </w:r>
      <w:r>
        <w:rPr>
          <w:rFonts w:eastAsia="宋体" w:hint="eastAsia"/>
        </w:rPr>
        <w:t>元</w:t>
      </w:r>
      <w:r>
        <w:rPr>
          <w:rFonts w:eastAsia="宋体" w:hint="eastAsia"/>
        </w:rPr>
        <w:t>/kWh</w:t>
      </w:r>
      <w:r>
        <w:rPr>
          <w:rFonts w:eastAsia="宋体" w:hint="eastAsia"/>
        </w:rPr>
        <w:t>，随后回升至</w:t>
      </w:r>
      <w:r>
        <w:rPr>
          <w:rFonts w:eastAsia="宋体" w:hint="eastAsia"/>
        </w:rPr>
        <w:t>541.3</w:t>
      </w:r>
      <w:r>
        <w:rPr>
          <w:rFonts w:eastAsia="宋体" w:hint="eastAsia"/>
        </w:rPr>
        <w:t>元</w:t>
      </w:r>
      <w:r>
        <w:rPr>
          <w:rFonts w:eastAsia="宋体" w:hint="eastAsia"/>
        </w:rPr>
        <w:t>/kWh</w:t>
      </w:r>
      <w:r>
        <w:rPr>
          <w:rFonts w:eastAsia="宋体" w:hint="eastAsia"/>
        </w:rPr>
        <w:t>。在全时间段，</w:t>
      </w:r>
      <w:r>
        <w:rPr>
          <w:rFonts w:eastAsia="宋体" w:hint="eastAsia"/>
        </w:rPr>
        <w:t>4</w:t>
      </w:r>
      <w:r>
        <w:rPr>
          <w:rFonts w:eastAsia="宋体" w:hint="eastAsia"/>
        </w:rPr>
        <w:t>小时储能系统的单位能量中标价格整体低于</w:t>
      </w:r>
      <w:r>
        <w:rPr>
          <w:rFonts w:eastAsia="宋体" w:hint="eastAsia"/>
        </w:rPr>
        <w:t>2</w:t>
      </w:r>
      <w:r>
        <w:rPr>
          <w:rFonts w:eastAsia="宋体" w:hint="eastAsia"/>
        </w:rPr>
        <w:t>小时系统。</w:t>
      </w:r>
    </w:p>
    <w:p w14:paraId="2DE08CA4" w14:textId="5A41A09E" w:rsidR="004A0C46" w:rsidRPr="00F27C6B" w:rsidRDefault="00000000" w:rsidP="00F27C6B">
      <w:pPr>
        <w:pStyle w:val="a0"/>
        <w:spacing w:before="156"/>
        <w:ind w:firstLine="480"/>
        <w:rPr>
          <w:rFonts w:eastAsia="宋体" w:hint="eastAsia"/>
        </w:rPr>
      </w:pPr>
      <w:r>
        <w:rPr>
          <w:rFonts w:eastAsia="宋体" w:hint="eastAsia"/>
        </w:rPr>
        <w:t>总体来看，国内储能系统中标价格经历了由持续下降向阶段性回升的变化。不同项目在电芯规格、</w:t>
      </w:r>
      <w:r>
        <w:rPr>
          <w:rFonts w:eastAsia="宋体" w:hint="eastAsia"/>
        </w:rPr>
        <w:t>PCS</w:t>
      </w:r>
      <w:r>
        <w:rPr>
          <w:rFonts w:eastAsia="宋体" w:hint="eastAsia"/>
        </w:rPr>
        <w:t>及变压器配置、构网功能、液冷与消防方案、质保年限和采购范围等方面存在差异，平均中标价格主要用于观察行业价格变化方向。</w:t>
      </w:r>
    </w:p>
    <w:p w14:paraId="1A8048BF" w14:textId="77777777" w:rsidR="004A0C46" w:rsidRDefault="00000000">
      <w:pPr>
        <w:keepNext/>
        <w:spacing w:before="120" w:after="120"/>
        <w:jc w:val="center"/>
        <w:rPr>
          <w:rFonts w:ascii="宋体" w:hAnsi="宋体" w:cs="宋体" w:hint="eastAsia"/>
          <w:color w:val="000000"/>
          <w:szCs w:val="21"/>
        </w:rPr>
      </w:pPr>
      <w:r>
        <w:rPr>
          <w:rFonts w:ascii="宋体" w:hAnsi="宋体" w:cs="宋体" w:hint="eastAsia"/>
          <w:noProof/>
          <w:color w:val="000000"/>
          <w:szCs w:val="21"/>
        </w:rPr>
        <w:drawing>
          <wp:inline distT="0" distB="0" distL="114300" distR="114300" wp14:anchorId="5D19F1DE" wp14:editId="4760C856">
            <wp:extent cx="5074920" cy="2367915"/>
            <wp:effectExtent l="0" t="0" r="5080" b="196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074920" cy="2368296"/>
                    </a:xfrm>
                    <a:prstGeom prst="rect">
                      <a:avLst/>
                    </a:prstGeom>
                  </pic:spPr>
                </pic:pic>
              </a:graphicData>
            </a:graphic>
          </wp:inline>
        </w:drawing>
      </w:r>
    </w:p>
    <w:p w14:paraId="467380B5" w14:textId="2BC530E7" w:rsidR="004A0C46" w:rsidRDefault="00000000" w:rsidP="00A34D1B">
      <w:pPr>
        <w:pStyle w:val="a6"/>
        <w:rPr>
          <w:rFonts w:hint="eastAsia"/>
        </w:rPr>
      </w:pPr>
      <w:r>
        <w:rPr>
          <w:rFonts w:hint="eastAsia"/>
        </w:rPr>
        <w:t>数据来源：</w:t>
      </w:r>
      <w:r>
        <w:rPr>
          <w:rFonts w:hint="eastAsia"/>
        </w:rPr>
        <w:t xml:space="preserve">CNESA </w:t>
      </w:r>
      <w:proofErr w:type="spellStart"/>
      <w:r>
        <w:rPr>
          <w:rFonts w:hint="eastAsia"/>
        </w:rPr>
        <w:t>DataLink</w:t>
      </w:r>
      <w:proofErr w:type="spellEnd"/>
      <w:r>
        <w:rPr>
          <w:rFonts w:hint="eastAsia"/>
        </w:rPr>
        <w:t>（</w:t>
      </w:r>
      <w:r>
        <w:rPr>
          <w:rFonts w:hint="eastAsia"/>
        </w:rPr>
        <w:t>2026</w:t>
      </w:r>
      <w:r>
        <w:rPr>
          <w:rFonts w:hint="eastAsia"/>
        </w:rPr>
        <w:t>年为上半年数据）</w:t>
      </w:r>
    </w:p>
    <w:p w14:paraId="0FD2B9BC" w14:textId="77777777" w:rsidR="004A0C46" w:rsidRPr="00592284" w:rsidRDefault="00000000" w:rsidP="00592284">
      <w:pPr>
        <w:pStyle w:val="3"/>
        <w:numPr>
          <w:ilvl w:val="0"/>
          <w:numId w:val="0"/>
        </w:numPr>
        <w:spacing w:before="156" w:after="156"/>
        <w:rPr>
          <w:rFonts w:hint="eastAsia"/>
        </w:rPr>
      </w:pPr>
      <w:bookmarkStart w:id="38" w:name="toc_target_20"/>
      <w:bookmarkStart w:id="39" w:name="_Toc236992657"/>
      <w:r w:rsidRPr="00592284">
        <w:rPr>
          <w:rFonts w:hint="eastAsia"/>
        </w:rPr>
        <w:t xml:space="preserve">4.3 </w:t>
      </w:r>
      <w:r w:rsidRPr="00592284">
        <w:rPr>
          <w:rFonts w:hint="eastAsia"/>
        </w:rPr>
        <w:t>产业链价值迁移与业务机会</w:t>
      </w:r>
      <w:bookmarkEnd w:id="38"/>
      <w:bookmarkEnd w:id="39"/>
    </w:p>
    <w:p w14:paraId="2E9DF7A8" w14:textId="1F17E91F" w:rsidR="004A0C46" w:rsidRPr="00A34D1B" w:rsidRDefault="00000000" w:rsidP="00A34D1B">
      <w:pPr>
        <w:pStyle w:val="a0"/>
        <w:spacing w:before="156"/>
        <w:ind w:firstLine="480"/>
        <w:rPr>
          <w:rFonts w:eastAsia="宋体" w:hint="eastAsia"/>
        </w:rPr>
      </w:pPr>
      <w:r>
        <w:rPr>
          <w:rFonts w:eastAsia="宋体" w:hint="eastAsia"/>
        </w:rPr>
        <w:t>综合前述装机规模扩张、系统价格下降、大容量电芯加快应用、储能时长延长以及电力市场化程度提高等趋势，储能产业链的业务机会正在发生变化。新增装机仍将带动电芯、</w:t>
      </w:r>
      <w:r>
        <w:rPr>
          <w:rFonts w:eastAsia="宋体" w:hint="eastAsia"/>
        </w:rPr>
        <w:t>PCS</w:t>
      </w:r>
      <w:r>
        <w:rPr>
          <w:rFonts w:eastAsia="宋体" w:hint="eastAsia"/>
        </w:rPr>
        <w:t>、</w:t>
      </w:r>
      <w:r>
        <w:rPr>
          <w:rFonts w:eastAsia="宋体" w:hint="eastAsia"/>
        </w:rPr>
        <w:t>BMS</w:t>
      </w:r>
      <w:r>
        <w:rPr>
          <w:rFonts w:eastAsia="宋体" w:hint="eastAsia"/>
        </w:rPr>
        <w:t>、</w:t>
      </w:r>
      <w:r>
        <w:rPr>
          <w:rFonts w:eastAsia="宋体" w:hint="eastAsia"/>
        </w:rPr>
        <w:t>EMS</w:t>
      </w:r>
      <w:r>
        <w:rPr>
          <w:rFonts w:eastAsia="宋体" w:hint="eastAsia"/>
        </w:rPr>
        <w:t>和系统集成等传统环节的需求增长，但标准化硬件的价格竞争和产品同质化，使单纯依靠扩大产能获得收益的难度有所提高。中关村储能产业技术联盟提出，储能行业的竞争正在由以硬件成本为核心的单一维度，转向围绕全生命周期价值创造能力的多维竞争，新增价值和差异化能力也将进一步向工程实施和运营环节延伸；标普信评同样认为，随着行业由价格竞争转向价值竞争，产品性能、安全性、循环寿命等因素将逐步成为企业竞争的重点。</w:t>
      </w:r>
    </w:p>
    <w:p w14:paraId="1FBA3462" w14:textId="1E74876F" w:rsidR="004A0C46" w:rsidRPr="00A34D1B" w:rsidRDefault="00000000" w:rsidP="00A34D1B">
      <w:pPr>
        <w:pStyle w:val="a0"/>
        <w:spacing w:before="156"/>
        <w:ind w:firstLine="480"/>
        <w:rPr>
          <w:rFonts w:eastAsia="宋体" w:hint="eastAsia"/>
        </w:rPr>
      </w:pPr>
      <w:r w:rsidRPr="00A34D1B">
        <w:rPr>
          <w:rFonts w:ascii="宋体" w:eastAsia="宋体" w:hAnsi="宋体" w:cs="宋体" w:hint="eastAsia"/>
        </w:rPr>
        <w:t>在设备</w:t>
      </w:r>
      <w:r>
        <w:rPr>
          <w:rFonts w:eastAsia="宋体" w:hint="eastAsia"/>
        </w:rPr>
        <w:t>制造和系统集成环节，机会将更多集中于能够适应大型化、长时化和复杂电网环境的高可靠产品与整体解决方案。标普信评将长时储能和构网型储能列为具有技术溢价和较强需求支撑的高价值产品，并指出相关产品具有相对更强</w:t>
      </w:r>
      <w:r>
        <w:rPr>
          <w:rFonts w:eastAsia="宋体" w:hint="eastAsia"/>
        </w:rPr>
        <w:lastRenderedPageBreak/>
        <w:t>的议价和成本消化能力。这意味着，产业链的竞争重点将由单一电芯容量或设备报价，逐步转向电芯一致性和衰减控制、构网型</w:t>
      </w:r>
      <w:r>
        <w:rPr>
          <w:rFonts w:eastAsia="宋体" w:hint="eastAsia"/>
        </w:rPr>
        <w:t>PCS</w:t>
      </w:r>
      <w:r>
        <w:rPr>
          <w:rFonts w:eastAsia="宋体" w:hint="eastAsia"/>
        </w:rPr>
        <w:t>、电池与能量管理系统协同、热管理和消防设计、系统效率以及长期质保等综合能力。能够将上述能力整合为经过并网验证、具备稳定交付记录并能够承担长期性能责任的企业，更容易在大型独立储能、四小时以上项目和海外大型项目中形成差异化优势。</w:t>
      </w:r>
    </w:p>
    <w:p w14:paraId="35A9F524" w14:textId="03EDE4EC" w:rsidR="004A0C46" w:rsidRPr="00A34D1B" w:rsidRDefault="00000000" w:rsidP="00A34D1B">
      <w:pPr>
        <w:pStyle w:val="a0"/>
        <w:spacing w:before="156"/>
        <w:ind w:firstLine="480"/>
        <w:rPr>
          <w:rFonts w:eastAsia="宋体" w:hint="eastAsia"/>
        </w:rPr>
      </w:pPr>
      <w:r>
        <w:rPr>
          <w:rFonts w:eastAsia="宋体" w:hint="eastAsia"/>
        </w:rPr>
        <w:t>在工程交付和电站运营环节，随着电力市场化改革持续推进，储能项目的收益结构正由相对单一或区域化的收益机制，逐步扩展至电能量交易、辅助服务、容量补偿和容量租赁等多元化组合。项目收益越来越取决于选址、充放电策略、市场申报、设备衰减控制和可用率管理，因而具备负荷及电价预测、交易决策、智能调度和长期运行分析能力的</w:t>
      </w:r>
      <w:r>
        <w:rPr>
          <w:rFonts w:eastAsia="宋体" w:hint="eastAsia"/>
        </w:rPr>
        <w:t>EMS</w:t>
      </w:r>
      <w:r>
        <w:rPr>
          <w:rFonts w:eastAsia="宋体" w:hint="eastAsia"/>
        </w:rPr>
        <w:t>及运营服务商，将在储能资产收益优化中承担更重要的作用。</w:t>
      </w:r>
      <w:r>
        <w:rPr>
          <w:rFonts w:eastAsia="宋体" w:hint="eastAsia"/>
        </w:rPr>
        <w:t>CNESA</w:t>
      </w:r>
      <w:r>
        <w:rPr>
          <w:rFonts w:eastAsia="宋体" w:hint="eastAsia"/>
        </w:rPr>
        <w:t>进一步提出，运营技术正在成为决定储能资产回报能力的关键因素；随着容量、现货和辅助服务机制逐步完善，部分具备稳定收益合同、良好运行记录和持续调用能力的储能资产，开始呈现基础设施类资产的现金流特征。中国能建和南网储能披露的业务实践也显示，行业参与者正在分别发展规划、设计、建设、运维一体化能力，以及覆盖设计源头和日常运维的资产全生命周期管理体系。对于具备项目资源和综合交付能力的企业，向项目开发、</w:t>
      </w:r>
      <w:r>
        <w:rPr>
          <w:rFonts w:eastAsia="宋体" w:hint="eastAsia"/>
        </w:rPr>
        <w:t>EPC</w:t>
      </w:r>
      <w:r>
        <w:rPr>
          <w:rFonts w:eastAsia="宋体" w:hint="eastAsia"/>
        </w:rPr>
        <w:t>、交易运营和资产管理延伸，有助于扩大单个项目的业务价值并形成持续收入；专业化企业则可以围绕构网控制、数字化运营、安全检测和运维服务形成差异化能力。</w:t>
      </w:r>
    </w:p>
    <w:p w14:paraId="6971464E" w14:textId="77777777" w:rsidR="00A34D1B" w:rsidRDefault="00000000" w:rsidP="00F27C6B">
      <w:pPr>
        <w:pStyle w:val="a0"/>
        <w:spacing w:before="156"/>
        <w:ind w:firstLine="480"/>
        <w:rPr>
          <w:rFonts w:eastAsia="宋体"/>
        </w:rPr>
      </w:pPr>
      <w:r>
        <w:rPr>
          <w:rFonts w:eastAsia="宋体" w:hint="eastAsia"/>
        </w:rPr>
        <w:t>随着早期项目逐步进入容量衰减、设备升级和质保调整阶段，储能后市场也将由日常运维延伸至容量检测、系统改造、设备更换、控制策略升级和退役电池处理。已有行业研究已将存量电站改造、长期服务和电池回收列为储能产业链的后续发展方向，格林美等企业的规模化退役电池回收业务也表明，回收环节已经具备一定的产业化基础。与此同时，海外市场对并网认证、碳足迹、电池护照、本地化供应链和长期售后服务提出了更高要求。标普信评认为，具备核心技术、国际绿色标准适配能力和海外本地化产能布局的企业，更有机会在全球储能市场获得持续订单。</w:t>
      </w:r>
    </w:p>
    <w:p w14:paraId="542E36C6" w14:textId="42DE690F" w:rsidR="004A0C46" w:rsidRDefault="00000000" w:rsidP="00F27C6B">
      <w:pPr>
        <w:pStyle w:val="a0"/>
        <w:spacing w:before="156"/>
        <w:ind w:firstLine="480"/>
        <w:rPr>
          <w:rFonts w:eastAsia="宋体" w:hint="eastAsia"/>
        </w:rPr>
      </w:pPr>
      <w:r>
        <w:rPr>
          <w:rFonts w:eastAsia="宋体" w:hint="eastAsia"/>
        </w:rPr>
        <w:lastRenderedPageBreak/>
        <w:t>综合来看，当前较为明确的机会主要集中在高可靠长时储能系统、构网型控制、数字化运营以及海外本地化交付；随着存量装机逐步成熟，检测改造、长期运维和合规回收等后市场业务也将形成新的增长空间。</w:t>
      </w:r>
    </w:p>
    <w:p w14:paraId="4D1BC4B9" w14:textId="77777777" w:rsidR="004A0C46" w:rsidRDefault="004A0C46">
      <w:pPr>
        <w:rPr>
          <w:rFonts w:ascii="宋体" w:hAnsi="宋体" w:cs="宋体" w:hint="eastAsia"/>
        </w:rPr>
        <w:sectPr w:rsidR="004A0C46">
          <w:pgSz w:w="11906" w:h="16838"/>
          <w:pgMar w:top="1440" w:right="1800" w:bottom="1440" w:left="1800" w:header="720" w:footer="720" w:gutter="0"/>
          <w:cols w:space="425"/>
          <w:docGrid w:type="lines" w:linePitch="312"/>
        </w:sectPr>
      </w:pPr>
    </w:p>
    <w:p w14:paraId="3D56DA74" w14:textId="3C909CFC" w:rsidR="004A0C46" w:rsidRPr="00592284" w:rsidRDefault="00000000" w:rsidP="00592284">
      <w:pPr>
        <w:pStyle w:val="2"/>
        <w:spacing w:before="156" w:after="156"/>
        <w:rPr>
          <w:rFonts w:hint="eastAsia"/>
        </w:rPr>
      </w:pPr>
      <w:bookmarkStart w:id="40" w:name="toc_target_21"/>
      <w:bookmarkStart w:id="41" w:name="_Toc236992658"/>
      <w:r w:rsidRPr="00592284">
        <w:rPr>
          <w:rFonts w:hint="eastAsia"/>
        </w:rPr>
        <w:lastRenderedPageBreak/>
        <w:t>国内储能企业出海情况</w:t>
      </w:r>
      <w:bookmarkEnd w:id="40"/>
      <w:bookmarkEnd w:id="41"/>
    </w:p>
    <w:p w14:paraId="48076789" w14:textId="77777777" w:rsidR="004A0C46" w:rsidRPr="00592284" w:rsidRDefault="00000000" w:rsidP="00592284">
      <w:pPr>
        <w:pStyle w:val="3"/>
        <w:numPr>
          <w:ilvl w:val="0"/>
          <w:numId w:val="0"/>
        </w:numPr>
        <w:spacing w:before="156" w:after="156"/>
        <w:rPr>
          <w:rFonts w:hint="eastAsia"/>
        </w:rPr>
      </w:pPr>
      <w:bookmarkStart w:id="42" w:name="toc_target_22"/>
      <w:bookmarkStart w:id="43" w:name="_Toc236992659"/>
      <w:r w:rsidRPr="00592284">
        <w:rPr>
          <w:rFonts w:hint="eastAsia"/>
        </w:rPr>
        <w:t xml:space="preserve">5.1 </w:t>
      </w:r>
      <w:r w:rsidRPr="00592284">
        <w:rPr>
          <w:rFonts w:hint="eastAsia"/>
        </w:rPr>
        <w:t>出海规模、订单和主要模式</w:t>
      </w:r>
      <w:bookmarkEnd w:id="42"/>
      <w:bookmarkEnd w:id="43"/>
    </w:p>
    <w:p w14:paraId="5F1BD2FA" w14:textId="77777777" w:rsidR="004A0C46" w:rsidRDefault="00000000" w:rsidP="00F27C6B">
      <w:pPr>
        <w:pStyle w:val="a0"/>
        <w:spacing w:before="156"/>
        <w:ind w:firstLine="480"/>
        <w:rPr>
          <w:rFonts w:eastAsia="宋体" w:hint="eastAsia"/>
        </w:rPr>
      </w:pPr>
      <w:r>
        <w:rPr>
          <w:rFonts w:eastAsia="宋体" w:hint="eastAsia"/>
        </w:rPr>
        <w:t xml:space="preserve">CNESA </w:t>
      </w:r>
      <w:proofErr w:type="spellStart"/>
      <w:r>
        <w:rPr>
          <w:rFonts w:eastAsia="宋体" w:hint="eastAsia"/>
        </w:rPr>
        <w:t>DataLink</w:t>
      </w:r>
      <w:proofErr w:type="spellEnd"/>
      <w:r>
        <w:rPr>
          <w:rFonts w:eastAsia="宋体" w:hint="eastAsia"/>
        </w:rPr>
        <w:t>不完全统计显示，</w:t>
      </w:r>
      <w:r>
        <w:rPr>
          <w:rFonts w:eastAsia="宋体" w:hint="eastAsia"/>
        </w:rPr>
        <w:t>2025</w:t>
      </w:r>
      <w:r>
        <w:rPr>
          <w:rFonts w:eastAsia="宋体" w:hint="eastAsia"/>
        </w:rPr>
        <w:t>年中国储能企业新增海外订单约</w:t>
      </w:r>
      <w:r>
        <w:rPr>
          <w:rFonts w:eastAsia="宋体" w:hint="eastAsia"/>
        </w:rPr>
        <w:t>366GWh</w:t>
      </w:r>
      <w:r>
        <w:rPr>
          <w:rFonts w:eastAsia="宋体" w:hint="eastAsia"/>
        </w:rPr>
        <w:t>，同比增长</w:t>
      </w:r>
      <w:r>
        <w:rPr>
          <w:rFonts w:eastAsia="宋体" w:hint="eastAsia"/>
        </w:rPr>
        <w:t>144%</w:t>
      </w:r>
      <w:r>
        <w:rPr>
          <w:rFonts w:eastAsia="宋体" w:hint="eastAsia"/>
        </w:rPr>
        <w:t>，订单覆盖</w:t>
      </w:r>
      <w:r>
        <w:rPr>
          <w:rFonts w:eastAsia="宋体" w:hint="eastAsia"/>
        </w:rPr>
        <w:t>60</w:t>
      </w:r>
      <w:r>
        <w:rPr>
          <w:rFonts w:eastAsia="宋体" w:hint="eastAsia"/>
        </w:rPr>
        <w:t>多个国家和地区。具体的出海模式以及其业务特点如下：</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val="04A0" w:firstRow="1" w:lastRow="0" w:firstColumn="1" w:lastColumn="0" w:noHBand="0" w:noVBand="1"/>
      </w:tblPr>
      <w:tblGrid>
        <w:gridCol w:w="905"/>
        <w:gridCol w:w="7617"/>
      </w:tblGrid>
      <w:tr w:rsidR="004A0C46" w:rsidRPr="00F27C6B" w14:paraId="767CBBE1" w14:textId="77777777" w:rsidTr="00F27C6B">
        <w:trPr>
          <w:cantSplit/>
          <w:trHeight w:val="397"/>
          <w:tblHeader/>
          <w:jc w:val="center"/>
        </w:trPr>
        <w:tc>
          <w:tcPr>
            <w:tcW w:w="531" w:type="pct"/>
            <w:tcBorders>
              <w:top w:val="single" w:sz="12" w:space="0" w:color="010000"/>
              <w:bottom w:val="single" w:sz="4" w:space="0" w:color="010000"/>
            </w:tcBorders>
            <w:vAlign w:val="center"/>
          </w:tcPr>
          <w:p w14:paraId="4979A35A" w14:textId="77777777" w:rsidR="004A0C46" w:rsidRPr="00F27C6B" w:rsidRDefault="00000000" w:rsidP="00F27C6B">
            <w:pPr>
              <w:keepNext/>
              <w:jc w:val="center"/>
              <w:rPr>
                <w:rFonts w:hint="eastAsia"/>
                <w:b/>
                <w:color w:val="000000"/>
                <w:sz w:val="21"/>
              </w:rPr>
            </w:pPr>
            <w:r w:rsidRPr="00F27C6B">
              <w:rPr>
                <w:rFonts w:hint="eastAsia"/>
                <w:b/>
                <w:color w:val="000000"/>
                <w:sz w:val="21"/>
              </w:rPr>
              <w:t>出海模式</w:t>
            </w:r>
          </w:p>
        </w:tc>
        <w:tc>
          <w:tcPr>
            <w:tcW w:w="4469" w:type="pct"/>
            <w:tcBorders>
              <w:top w:val="single" w:sz="12" w:space="0" w:color="010000"/>
              <w:bottom w:val="single" w:sz="4" w:space="0" w:color="010000"/>
            </w:tcBorders>
            <w:vAlign w:val="center"/>
          </w:tcPr>
          <w:p w14:paraId="5A7C8810" w14:textId="77777777" w:rsidR="004A0C46" w:rsidRPr="00F27C6B" w:rsidRDefault="00000000" w:rsidP="00F27C6B">
            <w:pPr>
              <w:keepNext/>
              <w:jc w:val="center"/>
              <w:rPr>
                <w:rFonts w:hint="eastAsia"/>
                <w:b/>
                <w:color w:val="000000"/>
                <w:sz w:val="21"/>
              </w:rPr>
            </w:pPr>
            <w:r w:rsidRPr="00F27C6B">
              <w:rPr>
                <w:rFonts w:hint="eastAsia"/>
                <w:b/>
                <w:color w:val="000000"/>
                <w:sz w:val="21"/>
              </w:rPr>
              <w:t>具体业务方式及主要特点</w:t>
            </w:r>
          </w:p>
        </w:tc>
      </w:tr>
      <w:tr w:rsidR="004A0C46" w:rsidRPr="00F27C6B" w14:paraId="06B8909D" w14:textId="77777777" w:rsidTr="00F27C6B">
        <w:trPr>
          <w:cantSplit/>
          <w:trHeight w:val="397"/>
          <w:jc w:val="center"/>
        </w:trPr>
        <w:tc>
          <w:tcPr>
            <w:tcW w:w="531" w:type="pct"/>
            <w:tcBorders>
              <w:top w:val="single" w:sz="4" w:space="0" w:color="010000"/>
            </w:tcBorders>
            <w:vAlign w:val="center"/>
          </w:tcPr>
          <w:p w14:paraId="2A40A06C" w14:textId="77777777" w:rsidR="004A0C46" w:rsidRPr="00F27C6B" w:rsidRDefault="00000000" w:rsidP="00F27C6B">
            <w:pPr>
              <w:jc w:val="left"/>
              <w:rPr>
                <w:rFonts w:hint="eastAsia"/>
                <w:color w:val="000000"/>
                <w:sz w:val="21"/>
              </w:rPr>
            </w:pPr>
            <w:r w:rsidRPr="00F27C6B">
              <w:rPr>
                <w:rFonts w:hint="eastAsia"/>
                <w:color w:val="000000"/>
                <w:sz w:val="21"/>
              </w:rPr>
              <w:t>电芯或设备出口</w:t>
            </w:r>
          </w:p>
        </w:tc>
        <w:tc>
          <w:tcPr>
            <w:tcW w:w="4469" w:type="pct"/>
            <w:tcBorders>
              <w:top w:val="single" w:sz="4" w:space="0" w:color="010000"/>
            </w:tcBorders>
            <w:vAlign w:val="center"/>
          </w:tcPr>
          <w:p w14:paraId="0C57287A" w14:textId="77777777" w:rsidR="004A0C46" w:rsidRPr="00F27C6B" w:rsidRDefault="00000000" w:rsidP="00F27C6B">
            <w:pPr>
              <w:jc w:val="left"/>
              <w:rPr>
                <w:rFonts w:hint="eastAsia"/>
                <w:color w:val="000000"/>
                <w:sz w:val="21"/>
              </w:rPr>
            </w:pPr>
            <w:r w:rsidRPr="00F27C6B">
              <w:rPr>
                <w:rFonts w:hint="eastAsia"/>
                <w:color w:val="000000"/>
                <w:sz w:val="21"/>
              </w:rPr>
              <w:t>企业在国内完成电芯、电池舱、</w:t>
            </w:r>
            <w:r w:rsidRPr="00F27C6B">
              <w:rPr>
                <w:rFonts w:hint="eastAsia"/>
                <w:color w:val="000000"/>
                <w:sz w:val="21"/>
              </w:rPr>
              <w:t>PCS</w:t>
            </w:r>
            <w:r w:rsidRPr="00F27C6B">
              <w:rPr>
                <w:rFonts w:hint="eastAsia"/>
                <w:color w:val="000000"/>
                <w:sz w:val="21"/>
              </w:rPr>
              <w:t>及其他设备的生产，通过直接销售、海外客户、贸易商或当地经销商进入目标市场。该模式前期资本投入相对较少，市场进入速度较快，业务表现主要受到客户集中度、海运成本、关税政策和产品认证进度等因素影响。</w:t>
            </w:r>
          </w:p>
        </w:tc>
      </w:tr>
      <w:tr w:rsidR="004A0C46" w:rsidRPr="00F27C6B" w14:paraId="03DCC143" w14:textId="77777777" w:rsidTr="00F27C6B">
        <w:trPr>
          <w:cantSplit/>
          <w:trHeight w:val="397"/>
          <w:jc w:val="center"/>
        </w:trPr>
        <w:tc>
          <w:tcPr>
            <w:tcW w:w="531" w:type="pct"/>
            <w:vAlign w:val="center"/>
          </w:tcPr>
          <w:p w14:paraId="719084AA" w14:textId="77777777" w:rsidR="004A0C46" w:rsidRPr="00F27C6B" w:rsidRDefault="00000000" w:rsidP="00F27C6B">
            <w:pPr>
              <w:jc w:val="left"/>
              <w:rPr>
                <w:rFonts w:hint="eastAsia"/>
                <w:color w:val="000000"/>
                <w:sz w:val="21"/>
              </w:rPr>
            </w:pPr>
            <w:r w:rsidRPr="00F27C6B">
              <w:rPr>
                <w:rFonts w:hint="eastAsia"/>
                <w:color w:val="000000"/>
                <w:sz w:val="21"/>
              </w:rPr>
              <w:t>完整系统交付</w:t>
            </w:r>
          </w:p>
        </w:tc>
        <w:tc>
          <w:tcPr>
            <w:tcW w:w="4469" w:type="pct"/>
            <w:vAlign w:val="center"/>
          </w:tcPr>
          <w:p w14:paraId="503E5F59" w14:textId="77777777" w:rsidR="004A0C46" w:rsidRPr="00F27C6B" w:rsidRDefault="00000000" w:rsidP="00F27C6B">
            <w:pPr>
              <w:jc w:val="left"/>
              <w:rPr>
                <w:rFonts w:hint="eastAsia"/>
                <w:color w:val="000000"/>
                <w:sz w:val="21"/>
              </w:rPr>
            </w:pPr>
            <w:r w:rsidRPr="00F27C6B">
              <w:rPr>
                <w:rFonts w:hint="eastAsia"/>
                <w:color w:val="000000"/>
                <w:sz w:val="21"/>
              </w:rPr>
              <w:t>企业向海外客户提供由电池舱、</w:t>
            </w:r>
            <w:r w:rsidRPr="00F27C6B">
              <w:rPr>
                <w:rFonts w:hint="eastAsia"/>
                <w:color w:val="000000"/>
                <w:sz w:val="21"/>
              </w:rPr>
              <w:t>PCS</w:t>
            </w:r>
            <w:r w:rsidRPr="00F27C6B">
              <w:rPr>
                <w:rFonts w:hint="eastAsia"/>
                <w:color w:val="000000"/>
                <w:sz w:val="21"/>
              </w:rPr>
              <w:t>、</w:t>
            </w:r>
            <w:r w:rsidRPr="00F27C6B">
              <w:rPr>
                <w:rFonts w:hint="eastAsia"/>
                <w:color w:val="000000"/>
                <w:sz w:val="21"/>
              </w:rPr>
              <w:t>EMS</w:t>
            </w:r>
            <w:r w:rsidRPr="00F27C6B">
              <w:rPr>
                <w:rFonts w:hint="eastAsia"/>
                <w:color w:val="000000"/>
                <w:sz w:val="21"/>
              </w:rPr>
              <w:t>、现场调试和性能保证等组成的完整储能系统，部分项目还需要配合融资、并网及后续运维。该模式能够提高单个项目的合同规模，同时要求供应商持续承担系统效率、可用容量、交付进度和长期质保等责任。</w:t>
            </w:r>
          </w:p>
        </w:tc>
      </w:tr>
      <w:tr w:rsidR="004A0C46" w:rsidRPr="00F27C6B" w14:paraId="7EC60193" w14:textId="77777777" w:rsidTr="00F27C6B">
        <w:trPr>
          <w:cantSplit/>
          <w:trHeight w:val="397"/>
          <w:jc w:val="center"/>
        </w:trPr>
        <w:tc>
          <w:tcPr>
            <w:tcW w:w="531" w:type="pct"/>
            <w:vAlign w:val="center"/>
          </w:tcPr>
          <w:p w14:paraId="46EED858" w14:textId="77777777" w:rsidR="004A0C46" w:rsidRPr="00F27C6B" w:rsidRDefault="00000000" w:rsidP="00F27C6B">
            <w:pPr>
              <w:jc w:val="left"/>
              <w:rPr>
                <w:rFonts w:hint="eastAsia"/>
                <w:color w:val="000000"/>
                <w:sz w:val="21"/>
              </w:rPr>
            </w:pPr>
            <w:r w:rsidRPr="00F27C6B">
              <w:rPr>
                <w:rFonts w:hint="eastAsia"/>
                <w:color w:val="000000"/>
                <w:sz w:val="21"/>
              </w:rPr>
              <w:t>海外渠道与服务网络</w:t>
            </w:r>
          </w:p>
        </w:tc>
        <w:tc>
          <w:tcPr>
            <w:tcW w:w="4469" w:type="pct"/>
            <w:vAlign w:val="center"/>
          </w:tcPr>
          <w:p w14:paraId="53EE79DD" w14:textId="77777777" w:rsidR="004A0C46" w:rsidRPr="00F27C6B" w:rsidRDefault="00000000" w:rsidP="00F27C6B">
            <w:pPr>
              <w:jc w:val="left"/>
              <w:rPr>
                <w:rFonts w:hint="eastAsia"/>
                <w:color w:val="000000"/>
                <w:sz w:val="21"/>
              </w:rPr>
            </w:pPr>
            <w:r w:rsidRPr="00F27C6B">
              <w:rPr>
                <w:rFonts w:hint="eastAsia"/>
                <w:color w:val="000000"/>
                <w:sz w:val="21"/>
              </w:rPr>
              <w:t>企业在目标市场设立销售团队、合作渠道、备件仓、现场工程团队和远程运维平台，为客户提供销售、安装、故障响应和质保服务。完善的渠道和服务网络有助于缩短响应时间并支持项目长期运行，同时会增加人员、仓储、合规和日常运营成本。</w:t>
            </w:r>
          </w:p>
        </w:tc>
      </w:tr>
      <w:tr w:rsidR="004A0C46" w:rsidRPr="00F27C6B" w14:paraId="67104473" w14:textId="77777777" w:rsidTr="00F27C6B">
        <w:trPr>
          <w:cantSplit/>
          <w:trHeight w:val="397"/>
          <w:jc w:val="center"/>
        </w:trPr>
        <w:tc>
          <w:tcPr>
            <w:tcW w:w="531" w:type="pct"/>
            <w:vAlign w:val="center"/>
          </w:tcPr>
          <w:p w14:paraId="0D3772FF" w14:textId="77777777" w:rsidR="004A0C46" w:rsidRPr="00F27C6B" w:rsidRDefault="00000000" w:rsidP="00F27C6B">
            <w:pPr>
              <w:jc w:val="left"/>
              <w:rPr>
                <w:rFonts w:hint="eastAsia"/>
                <w:color w:val="000000"/>
                <w:sz w:val="21"/>
              </w:rPr>
            </w:pPr>
            <w:r w:rsidRPr="00F27C6B">
              <w:rPr>
                <w:rFonts w:hint="eastAsia"/>
                <w:color w:val="000000"/>
                <w:sz w:val="21"/>
              </w:rPr>
              <w:t>海外组装或本地建厂</w:t>
            </w:r>
          </w:p>
        </w:tc>
        <w:tc>
          <w:tcPr>
            <w:tcW w:w="4469" w:type="pct"/>
            <w:vAlign w:val="center"/>
          </w:tcPr>
          <w:p w14:paraId="2343473A" w14:textId="77777777" w:rsidR="004A0C46" w:rsidRPr="00F27C6B" w:rsidRDefault="00000000" w:rsidP="00F27C6B">
            <w:pPr>
              <w:jc w:val="left"/>
              <w:rPr>
                <w:rFonts w:hint="eastAsia"/>
                <w:color w:val="000000"/>
                <w:sz w:val="21"/>
              </w:rPr>
            </w:pPr>
            <w:r w:rsidRPr="00F27C6B">
              <w:rPr>
                <w:rFonts w:hint="eastAsia"/>
                <w:color w:val="000000"/>
                <w:sz w:val="21"/>
              </w:rPr>
              <w:t>企业将电池</w:t>
            </w:r>
            <w:r w:rsidRPr="00F27C6B">
              <w:rPr>
                <w:rFonts w:hint="eastAsia"/>
                <w:color w:val="000000"/>
                <w:sz w:val="21"/>
              </w:rPr>
              <w:t>Pack</w:t>
            </w:r>
            <w:r w:rsidRPr="00F27C6B">
              <w:rPr>
                <w:rFonts w:hint="eastAsia"/>
                <w:color w:val="000000"/>
                <w:sz w:val="21"/>
              </w:rPr>
              <w:t>组装、系统集成或部分制造环节布局在目标市场，以缩短交付周期，并适应当地含量、关税及供应链要求。该模式前期投入相对较高，企业还需持续管理产能利用率、当地用工、供应链来源、税务安排和政策变化。</w:t>
            </w:r>
          </w:p>
        </w:tc>
      </w:tr>
      <w:tr w:rsidR="004A0C46" w:rsidRPr="00F27C6B" w14:paraId="5732F1E8" w14:textId="77777777" w:rsidTr="00F27C6B">
        <w:trPr>
          <w:cantSplit/>
          <w:trHeight w:val="397"/>
          <w:jc w:val="center"/>
        </w:trPr>
        <w:tc>
          <w:tcPr>
            <w:tcW w:w="531" w:type="pct"/>
            <w:vAlign w:val="center"/>
          </w:tcPr>
          <w:p w14:paraId="761EDB72" w14:textId="77777777" w:rsidR="004A0C46" w:rsidRPr="00F27C6B" w:rsidRDefault="00000000" w:rsidP="00F27C6B">
            <w:pPr>
              <w:jc w:val="left"/>
              <w:rPr>
                <w:rFonts w:hint="eastAsia"/>
                <w:color w:val="000000"/>
                <w:sz w:val="21"/>
              </w:rPr>
            </w:pPr>
            <w:r w:rsidRPr="00F27C6B">
              <w:rPr>
                <w:rFonts w:hint="eastAsia"/>
                <w:color w:val="000000"/>
                <w:sz w:val="21"/>
              </w:rPr>
              <w:t>合资及项目投资</w:t>
            </w:r>
          </w:p>
        </w:tc>
        <w:tc>
          <w:tcPr>
            <w:tcW w:w="4469" w:type="pct"/>
            <w:vAlign w:val="center"/>
          </w:tcPr>
          <w:p w14:paraId="18D5A54B" w14:textId="77777777" w:rsidR="004A0C46" w:rsidRPr="00F27C6B" w:rsidRDefault="00000000" w:rsidP="00F27C6B">
            <w:pPr>
              <w:jc w:val="left"/>
              <w:rPr>
                <w:rFonts w:hint="eastAsia"/>
                <w:color w:val="000000"/>
                <w:sz w:val="21"/>
              </w:rPr>
            </w:pPr>
            <w:r w:rsidRPr="00F27C6B">
              <w:rPr>
                <w:rFonts w:hint="eastAsia"/>
                <w:color w:val="000000"/>
                <w:sz w:val="21"/>
              </w:rPr>
              <w:t>企业与当地开发商、能源公司或投资机构共同设立平台、开发储能项目，部分企业还会持有项目股权或储能资产，业务由设备销售延伸至项目开发和运营。该模式有助于获取当地项目资源和长期运营收益，同时会增加资金占用、合作方治理、技术保护和国别风险。</w:t>
            </w:r>
          </w:p>
        </w:tc>
      </w:tr>
    </w:tbl>
    <w:p w14:paraId="6EDDB482" w14:textId="77777777" w:rsidR="004A0C46" w:rsidRPr="00A34D1B" w:rsidRDefault="00000000" w:rsidP="00A34D1B">
      <w:pPr>
        <w:pStyle w:val="a0"/>
        <w:spacing w:before="156"/>
        <w:ind w:firstLine="480"/>
        <w:rPr>
          <w:rFonts w:eastAsia="宋体" w:hint="eastAsia"/>
        </w:rPr>
      </w:pPr>
      <w:r w:rsidRPr="00A34D1B">
        <w:rPr>
          <w:rFonts w:eastAsia="宋体" w:hint="eastAsia"/>
        </w:rPr>
        <w:t>总体来看，中国储能企业的出海方式正由电芯和设备出口，逐步向完整系统交付、本地服务、海外制造和项目投资延伸。不同模式对应的资本投入、收入来源和风险承担存在明显差异，企业参与的环节越接近项目开发和长期运营，对资金安排、本地合规、工程交付和质保履约能力的要求也越高。</w:t>
      </w:r>
    </w:p>
    <w:p w14:paraId="4A62D803" w14:textId="77777777" w:rsidR="004A0C46" w:rsidRPr="00592284" w:rsidRDefault="00000000" w:rsidP="00592284">
      <w:pPr>
        <w:pStyle w:val="3"/>
        <w:numPr>
          <w:ilvl w:val="0"/>
          <w:numId w:val="0"/>
        </w:numPr>
        <w:spacing w:before="156" w:after="156"/>
        <w:rPr>
          <w:rFonts w:hint="eastAsia"/>
        </w:rPr>
      </w:pPr>
      <w:bookmarkStart w:id="44" w:name="toc_target_23"/>
      <w:bookmarkStart w:id="45" w:name="_Toc236992660"/>
      <w:r w:rsidRPr="00592284">
        <w:rPr>
          <w:rFonts w:hint="eastAsia"/>
        </w:rPr>
        <w:t xml:space="preserve">5.2 </w:t>
      </w:r>
      <w:r w:rsidRPr="00592284">
        <w:rPr>
          <w:rFonts w:hint="eastAsia"/>
        </w:rPr>
        <w:t>美国、欧洲、中东和澳大利亚市场比较</w:t>
      </w:r>
      <w:bookmarkEnd w:id="44"/>
      <w:bookmarkEnd w:id="45"/>
    </w:p>
    <w:p w14:paraId="4D05BD70" w14:textId="77777777" w:rsidR="004A0C46" w:rsidRDefault="00000000" w:rsidP="00670B1C">
      <w:pPr>
        <w:pStyle w:val="a0"/>
        <w:spacing w:before="156"/>
        <w:ind w:firstLine="480"/>
        <w:rPr>
          <w:rFonts w:eastAsia="宋体" w:hint="eastAsia"/>
        </w:rPr>
      </w:pPr>
      <w:r>
        <w:rPr>
          <w:rFonts w:eastAsia="宋体" w:hint="eastAsia"/>
        </w:rPr>
        <w:t>美国、欧洲、中东和澳大利亚是中国储能企业出海的主要目标市场，但各地区在需求结构、项目规模和准入要求方面存在明显差异。美国和澳大利亚的大型电网侧储能增长较快，欧洲市场同时覆盖大型、工商业和户用储能，中东市场则</w:t>
      </w:r>
      <w:r>
        <w:rPr>
          <w:rFonts w:eastAsia="宋体" w:hint="eastAsia"/>
        </w:rPr>
        <w:lastRenderedPageBreak/>
        <w:t>以超大型光储一体化和电网级项目为主要特征。企业进入不同市场时，需要分别适应当地的关税与供应链规则、电池全生命周期合规、并网要求以及本地服务责任。</w:t>
      </w:r>
    </w:p>
    <w:tbl>
      <w:tblPr>
        <w:tblW w:w="5353"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val="04A0" w:firstRow="1" w:lastRow="0" w:firstColumn="1" w:lastColumn="0" w:noHBand="0" w:noVBand="1"/>
      </w:tblPr>
      <w:tblGrid>
        <w:gridCol w:w="1099"/>
        <w:gridCol w:w="3821"/>
        <w:gridCol w:w="4204"/>
      </w:tblGrid>
      <w:tr w:rsidR="004A0C46" w:rsidRPr="00670B1C" w14:paraId="223495FA" w14:textId="77777777" w:rsidTr="00670B1C">
        <w:trPr>
          <w:cantSplit/>
          <w:trHeight w:val="397"/>
          <w:tblHeader/>
          <w:jc w:val="center"/>
        </w:trPr>
        <w:tc>
          <w:tcPr>
            <w:tcW w:w="602" w:type="pct"/>
            <w:tcBorders>
              <w:top w:val="single" w:sz="12" w:space="0" w:color="010000"/>
              <w:bottom w:val="single" w:sz="4" w:space="0" w:color="010000"/>
            </w:tcBorders>
            <w:vAlign w:val="center"/>
          </w:tcPr>
          <w:p w14:paraId="70413D10" w14:textId="77777777" w:rsidR="004A0C46" w:rsidRPr="00670B1C" w:rsidRDefault="00000000" w:rsidP="00670B1C">
            <w:pPr>
              <w:keepNext/>
              <w:jc w:val="center"/>
              <w:rPr>
                <w:rFonts w:hint="eastAsia"/>
                <w:b/>
                <w:color w:val="000000"/>
                <w:sz w:val="21"/>
              </w:rPr>
            </w:pPr>
            <w:r w:rsidRPr="00670B1C">
              <w:rPr>
                <w:rFonts w:hint="eastAsia"/>
                <w:b/>
                <w:color w:val="000000"/>
                <w:sz w:val="21"/>
              </w:rPr>
              <w:t>市场</w:t>
            </w:r>
          </w:p>
        </w:tc>
        <w:tc>
          <w:tcPr>
            <w:tcW w:w="2094" w:type="pct"/>
            <w:tcBorders>
              <w:top w:val="single" w:sz="12" w:space="0" w:color="010000"/>
              <w:bottom w:val="single" w:sz="4" w:space="0" w:color="010000"/>
            </w:tcBorders>
            <w:vAlign w:val="center"/>
          </w:tcPr>
          <w:p w14:paraId="11D084AE" w14:textId="77777777" w:rsidR="004A0C46" w:rsidRPr="00670B1C" w:rsidRDefault="00000000" w:rsidP="00670B1C">
            <w:pPr>
              <w:keepNext/>
              <w:jc w:val="center"/>
              <w:rPr>
                <w:rFonts w:hint="eastAsia"/>
                <w:b/>
                <w:color w:val="000000"/>
                <w:sz w:val="21"/>
              </w:rPr>
            </w:pPr>
            <w:r w:rsidRPr="00670B1C">
              <w:rPr>
                <w:rFonts w:hint="eastAsia"/>
                <w:b/>
                <w:color w:val="000000"/>
                <w:sz w:val="21"/>
              </w:rPr>
              <w:t>需求特点与主要机会</w:t>
            </w:r>
          </w:p>
        </w:tc>
        <w:tc>
          <w:tcPr>
            <w:tcW w:w="2305" w:type="pct"/>
            <w:tcBorders>
              <w:top w:val="single" w:sz="12" w:space="0" w:color="010000"/>
              <w:bottom w:val="single" w:sz="4" w:space="0" w:color="010000"/>
            </w:tcBorders>
            <w:vAlign w:val="center"/>
          </w:tcPr>
          <w:p w14:paraId="077EB00D" w14:textId="77777777" w:rsidR="004A0C46" w:rsidRPr="00670B1C" w:rsidRDefault="00000000" w:rsidP="00670B1C">
            <w:pPr>
              <w:keepNext/>
              <w:jc w:val="center"/>
              <w:rPr>
                <w:rFonts w:hint="eastAsia"/>
                <w:b/>
                <w:color w:val="000000"/>
                <w:sz w:val="21"/>
              </w:rPr>
            </w:pPr>
            <w:r w:rsidRPr="00670B1C">
              <w:rPr>
                <w:rFonts w:hint="eastAsia"/>
                <w:b/>
                <w:color w:val="000000"/>
                <w:sz w:val="21"/>
              </w:rPr>
              <w:t>市场准入与运营要求</w:t>
            </w:r>
          </w:p>
        </w:tc>
      </w:tr>
      <w:tr w:rsidR="004A0C46" w:rsidRPr="00670B1C" w14:paraId="49AEED3A" w14:textId="77777777" w:rsidTr="00670B1C">
        <w:trPr>
          <w:cantSplit/>
          <w:trHeight w:val="397"/>
          <w:jc w:val="center"/>
        </w:trPr>
        <w:tc>
          <w:tcPr>
            <w:tcW w:w="602" w:type="pct"/>
            <w:tcBorders>
              <w:top w:val="single" w:sz="4" w:space="0" w:color="010000"/>
            </w:tcBorders>
            <w:vAlign w:val="center"/>
          </w:tcPr>
          <w:p w14:paraId="566A5496" w14:textId="77777777" w:rsidR="004A0C46" w:rsidRPr="00670B1C" w:rsidRDefault="00000000" w:rsidP="00670B1C">
            <w:pPr>
              <w:jc w:val="left"/>
              <w:rPr>
                <w:rFonts w:hint="eastAsia"/>
                <w:color w:val="000000"/>
                <w:sz w:val="21"/>
              </w:rPr>
            </w:pPr>
            <w:r w:rsidRPr="00670B1C">
              <w:rPr>
                <w:rFonts w:hint="eastAsia"/>
                <w:color w:val="000000"/>
                <w:sz w:val="21"/>
              </w:rPr>
              <w:t>美国</w:t>
            </w:r>
          </w:p>
        </w:tc>
        <w:tc>
          <w:tcPr>
            <w:tcW w:w="2094" w:type="pct"/>
            <w:tcBorders>
              <w:top w:val="single" w:sz="4" w:space="0" w:color="010000"/>
            </w:tcBorders>
            <w:vAlign w:val="center"/>
          </w:tcPr>
          <w:p w14:paraId="483BE43F" w14:textId="77777777" w:rsidR="004A0C46" w:rsidRPr="00670B1C" w:rsidRDefault="00000000" w:rsidP="00670B1C">
            <w:pPr>
              <w:jc w:val="left"/>
              <w:rPr>
                <w:rFonts w:hint="eastAsia"/>
                <w:color w:val="000000"/>
                <w:sz w:val="21"/>
              </w:rPr>
            </w:pPr>
            <w:r w:rsidRPr="00670B1C">
              <w:rPr>
                <w:rFonts w:hint="eastAsia"/>
                <w:color w:val="000000"/>
                <w:sz w:val="21"/>
              </w:rPr>
              <w:t>美国公用事业规模独立储能和光储配套项目增长较快。美国能源信息署预计，开发商计划于</w:t>
            </w:r>
            <w:r w:rsidRPr="00670B1C">
              <w:rPr>
                <w:rFonts w:hint="eastAsia"/>
                <w:color w:val="000000"/>
                <w:sz w:val="21"/>
              </w:rPr>
              <w:t>2026</w:t>
            </w:r>
            <w:r w:rsidRPr="00670B1C">
              <w:rPr>
                <w:rFonts w:hint="eastAsia"/>
                <w:color w:val="000000"/>
                <w:sz w:val="21"/>
              </w:rPr>
              <w:t>年新增约</w:t>
            </w:r>
            <w:r w:rsidRPr="00670B1C">
              <w:rPr>
                <w:rFonts w:hint="eastAsia"/>
                <w:color w:val="000000"/>
                <w:sz w:val="21"/>
              </w:rPr>
              <w:t>24GW</w:t>
            </w:r>
            <w:r w:rsidRPr="00670B1C">
              <w:rPr>
                <w:rFonts w:hint="eastAsia"/>
                <w:color w:val="000000"/>
                <w:sz w:val="21"/>
              </w:rPr>
              <w:t>公用事业规模电池储能，其中约</w:t>
            </w:r>
            <w:r w:rsidRPr="00670B1C">
              <w:rPr>
                <w:rFonts w:hint="eastAsia"/>
                <w:color w:val="000000"/>
                <w:sz w:val="21"/>
              </w:rPr>
              <w:t>80%</w:t>
            </w:r>
            <w:r w:rsidRPr="00670B1C">
              <w:rPr>
                <w:rFonts w:hint="eastAsia"/>
                <w:color w:val="000000"/>
                <w:sz w:val="21"/>
              </w:rPr>
              <w:t>位于得州、加利福尼亚州和亚利桑那州。大型电池系统、</w:t>
            </w:r>
            <w:r w:rsidRPr="00670B1C">
              <w:rPr>
                <w:rFonts w:hint="eastAsia"/>
                <w:color w:val="000000"/>
                <w:sz w:val="21"/>
              </w:rPr>
              <w:t>PCS</w:t>
            </w:r>
            <w:r w:rsidRPr="00670B1C">
              <w:rPr>
                <w:rFonts w:hint="eastAsia"/>
                <w:color w:val="000000"/>
                <w:sz w:val="21"/>
              </w:rPr>
              <w:t>、能量管理软件及长期运维服务具有较为明确的市场需求。</w:t>
            </w:r>
          </w:p>
        </w:tc>
        <w:tc>
          <w:tcPr>
            <w:tcW w:w="2305" w:type="pct"/>
            <w:tcBorders>
              <w:top w:val="single" w:sz="4" w:space="0" w:color="010000"/>
            </w:tcBorders>
            <w:vAlign w:val="center"/>
          </w:tcPr>
          <w:p w14:paraId="3CB011FD" w14:textId="77777777" w:rsidR="004A0C46" w:rsidRPr="00670B1C" w:rsidRDefault="00000000" w:rsidP="00670B1C">
            <w:pPr>
              <w:jc w:val="left"/>
              <w:rPr>
                <w:rFonts w:hint="eastAsia"/>
                <w:color w:val="000000"/>
                <w:sz w:val="21"/>
              </w:rPr>
            </w:pPr>
            <w:r w:rsidRPr="00670B1C">
              <w:rPr>
                <w:rFonts w:hint="eastAsia"/>
                <w:color w:val="000000"/>
                <w:sz w:val="21"/>
              </w:rPr>
              <w:t>美国市场需要同时关注关税、税收抵免资格、产品认证和本地服务。</w:t>
            </w:r>
            <w:r w:rsidRPr="00670B1C">
              <w:rPr>
                <w:rFonts w:hint="eastAsia"/>
                <w:color w:val="000000"/>
                <w:sz w:val="21"/>
              </w:rPr>
              <w:t>2026</w:t>
            </w:r>
            <w:r w:rsidRPr="00670B1C">
              <w:rPr>
                <w:rFonts w:hint="eastAsia"/>
                <w:color w:val="000000"/>
                <w:sz w:val="21"/>
              </w:rPr>
              <w:t>年，非电动汽车用锂离子电池的</w:t>
            </w:r>
            <w:r w:rsidRPr="00670B1C">
              <w:rPr>
                <w:rFonts w:hint="eastAsia"/>
                <w:color w:val="000000"/>
                <w:sz w:val="21"/>
              </w:rPr>
              <w:t>301</w:t>
            </w:r>
            <w:r w:rsidRPr="00670B1C">
              <w:rPr>
                <w:rFonts w:hint="eastAsia"/>
                <w:color w:val="000000"/>
                <w:sz w:val="21"/>
              </w:rPr>
              <w:t>附加关税提高至</w:t>
            </w:r>
            <w:r w:rsidRPr="00670B1C">
              <w:rPr>
                <w:rFonts w:hint="eastAsia"/>
                <w:color w:val="000000"/>
                <w:sz w:val="21"/>
              </w:rPr>
              <w:t>25%</w:t>
            </w:r>
            <w:r w:rsidRPr="00670B1C">
              <w:rPr>
                <w:rFonts w:hint="eastAsia"/>
                <w:color w:val="000000"/>
                <w:sz w:val="21"/>
              </w:rPr>
              <w:t>。美国的“禁止外国实体”（</w:t>
            </w:r>
            <w:r w:rsidRPr="00670B1C">
              <w:rPr>
                <w:rFonts w:hint="eastAsia"/>
                <w:color w:val="000000"/>
                <w:sz w:val="21"/>
              </w:rPr>
              <w:t>PFE</w:t>
            </w:r>
            <w:r w:rsidRPr="00670B1C">
              <w:rPr>
                <w:rFonts w:hint="eastAsia"/>
                <w:color w:val="000000"/>
                <w:sz w:val="21"/>
              </w:rPr>
              <w:t>）规则还会影响项目取得税收抵免的资格，企业需要核对股权关系、技术许可和物料来源，并在签约前明确关税、供应链变化和质保责任的承担方式。</w:t>
            </w:r>
          </w:p>
        </w:tc>
      </w:tr>
      <w:tr w:rsidR="004A0C46" w:rsidRPr="00670B1C" w14:paraId="6B7C912D" w14:textId="77777777" w:rsidTr="00670B1C">
        <w:trPr>
          <w:cantSplit/>
          <w:trHeight w:val="397"/>
          <w:jc w:val="center"/>
        </w:trPr>
        <w:tc>
          <w:tcPr>
            <w:tcW w:w="602" w:type="pct"/>
            <w:vAlign w:val="center"/>
          </w:tcPr>
          <w:p w14:paraId="56CFAD80" w14:textId="77777777" w:rsidR="004A0C46" w:rsidRPr="00670B1C" w:rsidRDefault="00000000" w:rsidP="00670B1C">
            <w:pPr>
              <w:jc w:val="left"/>
              <w:rPr>
                <w:rFonts w:hint="eastAsia"/>
                <w:color w:val="000000"/>
                <w:sz w:val="21"/>
              </w:rPr>
            </w:pPr>
            <w:r w:rsidRPr="00670B1C">
              <w:rPr>
                <w:rFonts w:hint="eastAsia"/>
                <w:color w:val="000000"/>
                <w:sz w:val="21"/>
              </w:rPr>
              <w:t>欧洲</w:t>
            </w:r>
          </w:p>
        </w:tc>
        <w:tc>
          <w:tcPr>
            <w:tcW w:w="2094" w:type="pct"/>
            <w:vAlign w:val="center"/>
          </w:tcPr>
          <w:p w14:paraId="783FE2C2" w14:textId="77777777" w:rsidR="004A0C46" w:rsidRPr="00670B1C" w:rsidRDefault="00000000" w:rsidP="00670B1C">
            <w:pPr>
              <w:jc w:val="left"/>
              <w:rPr>
                <w:rFonts w:hint="eastAsia"/>
                <w:color w:val="000000"/>
                <w:sz w:val="21"/>
              </w:rPr>
            </w:pPr>
            <w:r w:rsidRPr="00670B1C">
              <w:rPr>
                <w:rFonts w:hint="eastAsia"/>
                <w:color w:val="000000"/>
                <w:sz w:val="21"/>
              </w:rPr>
              <w:t>2025</w:t>
            </w:r>
            <w:r w:rsidRPr="00670B1C">
              <w:rPr>
                <w:rFonts w:hint="eastAsia"/>
                <w:color w:val="000000"/>
                <w:sz w:val="21"/>
              </w:rPr>
              <w:t>年欧洲新增电池储能约</w:t>
            </w:r>
            <w:r w:rsidRPr="00670B1C">
              <w:rPr>
                <w:rFonts w:hint="eastAsia"/>
                <w:color w:val="000000"/>
                <w:sz w:val="21"/>
              </w:rPr>
              <w:t>36GWh</w:t>
            </w:r>
            <w:r w:rsidRPr="00670B1C">
              <w:rPr>
                <w:rFonts w:hint="eastAsia"/>
                <w:color w:val="000000"/>
                <w:sz w:val="21"/>
              </w:rPr>
              <w:t>，同比增长</w:t>
            </w:r>
            <w:r w:rsidRPr="00670B1C">
              <w:rPr>
                <w:rFonts w:hint="eastAsia"/>
                <w:color w:val="000000"/>
                <w:sz w:val="21"/>
              </w:rPr>
              <w:t>48%</w:t>
            </w:r>
            <w:r w:rsidRPr="00670B1C">
              <w:rPr>
                <w:rFonts w:hint="eastAsia"/>
                <w:color w:val="000000"/>
                <w:sz w:val="21"/>
              </w:rPr>
              <w:t>，公用事业规模项目首次贡献新增装机的一半以上。市场机会正由以户用储能为主，扩展至大型储能、工商业能源管理和多市场收益优化。</w:t>
            </w:r>
          </w:p>
        </w:tc>
        <w:tc>
          <w:tcPr>
            <w:tcW w:w="2305" w:type="pct"/>
            <w:vAlign w:val="center"/>
          </w:tcPr>
          <w:p w14:paraId="45EB35D2" w14:textId="77777777" w:rsidR="004A0C46" w:rsidRPr="00670B1C" w:rsidRDefault="00000000" w:rsidP="00670B1C">
            <w:pPr>
              <w:jc w:val="left"/>
              <w:rPr>
                <w:rFonts w:hint="eastAsia"/>
                <w:color w:val="000000"/>
                <w:sz w:val="21"/>
              </w:rPr>
            </w:pPr>
            <w:r w:rsidRPr="00670B1C">
              <w:rPr>
                <w:rFonts w:hint="eastAsia"/>
                <w:color w:val="000000"/>
                <w:sz w:val="21"/>
              </w:rPr>
              <w:t>欧洲准入重点逐步延伸至电池全生命周期数据和供应链合规。欧盟电池尽职调查义务的适用日期已延后至</w:t>
            </w:r>
            <w:r w:rsidRPr="00670B1C">
              <w:rPr>
                <w:rFonts w:hint="eastAsia"/>
                <w:color w:val="000000"/>
                <w:sz w:val="21"/>
              </w:rPr>
              <w:t>2027</w:t>
            </w:r>
            <w:r w:rsidRPr="00670B1C">
              <w:rPr>
                <w:rFonts w:hint="eastAsia"/>
                <w:color w:val="000000"/>
                <w:sz w:val="21"/>
              </w:rPr>
              <w:t>年</w:t>
            </w:r>
            <w:r w:rsidRPr="00670B1C">
              <w:rPr>
                <w:rFonts w:hint="eastAsia"/>
                <w:color w:val="000000"/>
                <w:sz w:val="21"/>
              </w:rPr>
              <w:t>8</w:t>
            </w:r>
            <w:r w:rsidRPr="00670B1C">
              <w:rPr>
                <w:rFonts w:hint="eastAsia"/>
                <w:color w:val="000000"/>
                <w:sz w:val="21"/>
              </w:rPr>
              <w:t>月</w:t>
            </w:r>
            <w:r w:rsidRPr="00670B1C">
              <w:rPr>
                <w:rFonts w:hint="eastAsia"/>
                <w:color w:val="000000"/>
                <w:sz w:val="21"/>
              </w:rPr>
              <w:t>18</w:t>
            </w:r>
            <w:r w:rsidRPr="00670B1C">
              <w:rPr>
                <w:rFonts w:hint="eastAsia"/>
                <w:color w:val="000000"/>
                <w:sz w:val="21"/>
              </w:rPr>
              <w:t>日，数字电池护照仍按法规进程推进。企业需要持续准备产品性能、碳足迹、原材料来源、维修拆解和回收等信息，以支持认证、客户审核和后续追溯。</w:t>
            </w:r>
          </w:p>
        </w:tc>
      </w:tr>
      <w:tr w:rsidR="004A0C46" w:rsidRPr="00670B1C" w14:paraId="6084D40B" w14:textId="77777777" w:rsidTr="00670B1C">
        <w:trPr>
          <w:cantSplit/>
          <w:trHeight w:val="397"/>
          <w:jc w:val="center"/>
        </w:trPr>
        <w:tc>
          <w:tcPr>
            <w:tcW w:w="602" w:type="pct"/>
            <w:vAlign w:val="center"/>
          </w:tcPr>
          <w:p w14:paraId="24DA6E06" w14:textId="77777777" w:rsidR="004A0C46" w:rsidRPr="00670B1C" w:rsidRDefault="00000000" w:rsidP="00670B1C">
            <w:pPr>
              <w:jc w:val="left"/>
              <w:rPr>
                <w:rFonts w:hint="eastAsia"/>
                <w:color w:val="000000"/>
                <w:sz w:val="21"/>
              </w:rPr>
            </w:pPr>
            <w:r w:rsidRPr="00670B1C">
              <w:rPr>
                <w:rFonts w:hint="eastAsia"/>
                <w:color w:val="000000"/>
                <w:sz w:val="21"/>
              </w:rPr>
              <w:t>中东</w:t>
            </w:r>
          </w:p>
        </w:tc>
        <w:tc>
          <w:tcPr>
            <w:tcW w:w="2094" w:type="pct"/>
            <w:vAlign w:val="center"/>
          </w:tcPr>
          <w:p w14:paraId="6ABBADA0" w14:textId="77777777" w:rsidR="004A0C46" w:rsidRPr="00670B1C" w:rsidRDefault="00000000" w:rsidP="00670B1C">
            <w:pPr>
              <w:jc w:val="left"/>
              <w:rPr>
                <w:rFonts w:hint="eastAsia"/>
                <w:color w:val="000000"/>
                <w:sz w:val="21"/>
              </w:rPr>
            </w:pPr>
            <w:r w:rsidRPr="00670B1C">
              <w:rPr>
                <w:rFonts w:hint="eastAsia"/>
                <w:color w:val="000000"/>
                <w:sz w:val="21"/>
              </w:rPr>
              <w:t>中东市场以超大型光储一体化和电网级储能项目为主。阿布扎比项目包括</w:t>
            </w:r>
            <w:r w:rsidRPr="00670B1C">
              <w:rPr>
                <w:rFonts w:hint="eastAsia"/>
                <w:color w:val="000000"/>
                <w:sz w:val="21"/>
              </w:rPr>
              <w:t>5.2GW</w:t>
            </w:r>
            <w:r w:rsidRPr="00670B1C">
              <w:rPr>
                <w:rFonts w:hint="eastAsia"/>
                <w:color w:val="000000"/>
                <w:sz w:val="21"/>
              </w:rPr>
              <w:t>光伏和</w:t>
            </w:r>
            <w:r w:rsidRPr="00670B1C">
              <w:rPr>
                <w:rFonts w:hint="eastAsia"/>
                <w:color w:val="000000"/>
                <w:sz w:val="21"/>
              </w:rPr>
              <w:t>19GWh</w:t>
            </w:r>
            <w:r w:rsidRPr="00670B1C">
              <w:rPr>
                <w:rFonts w:hint="eastAsia"/>
                <w:color w:val="000000"/>
                <w:sz w:val="21"/>
              </w:rPr>
              <w:t>储能，比亚迪与沙特电力公司签署</w:t>
            </w:r>
            <w:r w:rsidRPr="00670B1C">
              <w:rPr>
                <w:rFonts w:hint="eastAsia"/>
                <w:color w:val="000000"/>
                <w:sz w:val="21"/>
              </w:rPr>
              <w:t>12.5GWh</w:t>
            </w:r>
            <w:r w:rsidRPr="00670B1C">
              <w:rPr>
                <w:rFonts w:hint="eastAsia"/>
                <w:color w:val="000000"/>
                <w:sz w:val="21"/>
              </w:rPr>
              <w:t>储能合同，阳光电源披露的沙特</w:t>
            </w:r>
            <w:r w:rsidRPr="00670B1C">
              <w:rPr>
                <w:rFonts w:hint="eastAsia"/>
                <w:color w:val="000000"/>
                <w:sz w:val="21"/>
              </w:rPr>
              <w:t>7.8GWh</w:t>
            </w:r>
            <w:r w:rsidRPr="00670B1C">
              <w:rPr>
                <w:rFonts w:hint="eastAsia"/>
                <w:color w:val="000000"/>
                <w:sz w:val="21"/>
              </w:rPr>
              <w:t>项目已经并网。大容量电芯、系统集成、构网控制和长期运维是主要机会。</w:t>
            </w:r>
          </w:p>
        </w:tc>
        <w:tc>
          <w:tcPr>
            <w:tcW w:w="2305" w:type="pct"/>
            <w:vAlign w:val="center"/>
          </w:tcPr>
          <w:p w14:paraId="3D00BDF9" w14:textId="77777777" w:rsidR="004A0C46" w:rsidRPr="00670B1C" w:rsidRDefault="00000000" w:rsidP="00670B1C">
            <w:pPr>
              <w:jc w:val="left"/>
              <w:rPr>
                <w:rFonts w:hint="eastAsia"/>
                <w:color w:val="000000"/>
                <w:sz w:val="21"/>
              </w:rPr>
            </w:pPr>
            <w:r w:rsidRPr="00670B1C">
              <w:rPr>
                <w:rFonts w:hint="eastAsia"/>
                <w:color w:val="000000"/>
                <w:sz w:val="21"/>
              </w:rPr>
              <w:t>中东项目规模大、合同周期长，对集中交付、现场工程和长期性能保证要求较高。企业需要针对高温环境、电网条件和项目招标要求完成方案适配，并配置能够覆盖安装调试、备件供应和质保响应的本地服务能力。</w:t>
            </w:r>
          </w:p>
        </w:tc>
      </w:tr>
      <w:tr w:rsidR="004A0C46" w:rsidRPr="00670B1C" w14:paraId="4F90CD6F" w14:textId="77777777" w:rsidTr="00670B1C">
        <w:trPr>
          <w:cantSplit/>
          <w:trHeight w:val="397"/>
          <w:jc w:val="center"/>
        </w:trPr>
        <w:tc>
          <w:tcPr>
            <w:tcW w:w="602" w:type="pct"/>
            <w:vAlign w:val="center"/>
          </w:tcPr>
          <w:p w14:paraId="62C79AFC" w14:textId="77777777" w:rsidR="004A0C46" w:rsidRPr="00670B1C" w:rsidRDefault="00000000" w:rsidP="00670B1C">
            <w:pPr>
              <w:jc w:val="left"/>
              <w:rPr>
                <w:rFonts w:hint="eastAsia"/>
                <w:color w:val="000000"/>
                <w:sz w:val="21"/>
              </w:rPr>
            </w:pPr>
            <w:r w:rsidRPr="00670B1C">
              <w:rPr>
                <w:rFonts w:hint="eastAsia"/>
                <w:color w:val="000000"/>
                <w:sz w:val="21"/>
              </w:rPr>
              <w:t>澳大利亚</w:t>
            </w:r>
          </w:p>
        </w:tc>
        <w:tc>
          <w:tcPr>
            <w:tcW w:w="2094" w:type="pct"/>
            <w:vAlign w:val="center"/>
          </w:tcPr>
          <w:p w14:paraId="1E91B274" w14:textId="77777777" w:rsidR="004A0C46" w:rsidRPr="00670B1C" w:rsidRDefault="00000000" w:rsidP="00670B1C">
            <w:pPr>
              <w:jc w:val="left"/>
              <w:rPr>
                <w:rFonts w:hint="eastAsia"/>
                <w:color w:val="000000"/>
                <w:sz w:val="21"/>
              </w:rPr>
            </w:pPr>
            <w:r w:rsidRPr="00670B1C">
              <w:rPr>
                <w:rFonts w:hint="eastAsia"/>
                <w:color w:val="000000"/>
                <w:sz w:val="21"/>
              </w:rPr>
              <w:t>澳大利亚同时具备大型电网储能和户用储能需求。</w:t>
            </w:r>
            <w:r w:rsidRPr="00670B1C">
              <w:rPr>
                <w:rFonts w:hint="eastAsia"/>
                <w:color w:val="000000"/>
                <w:sz w:val="21"/>
              </w:rPr>
              <w:t>2025</w:t>
            </w:r>
            <w:r w:rsidRPr="00670B1C">
              <w:rPr>
                <w:rFonts w:hint="eastAsia"/>
                <w:color w:val="000000"/>
                <w:sz w:val="21"/>
              </w:rPr>
              <w:t>年，达到财务承诺阶段的大型电池项目规模升至</w:t>
            </w:r>
            <w:r w:rsidRPr="00670B1C">
              <w:rPr>
                <w:rFonts w:hint="eastAsia"/>
                <w:color w:val="000000"/>
                <w:sz w:val="21"/>
              </w:rPr>
              <w:t>4.3GW</w:t>
            </w:r>
            <w:r w:rsidRPr="00670B1C">
              <w:rPr>
                <w:rFonts w:hint="eastAsia"/>
                <w:color w:val="000000"/>
                <w:sz w:val="21"/>
              </w:rPr>
              <w:t>，全年投运约</w:t>
            </w:r>
            <w:r w:rsidRPr="00670B1C">
              <w:rPr>
                <w:rFonts w:hint="eastAsia"/>
                <w:color w:val="000000"/>
                <w:sz w:val="21"/>
              </w:rPr>
              <w:t>2GW</w:t>
            </w:r>
            <w:r w:rsidRPr="00670B1C">
              <w:rPr>
                <w:rFonts w:hint="eastAsia"/>
                <w:color w:val="000000"/>
                <w:sz w:val="21"/>
              </w:rPr>
              <w:t>；同期户用电池安装量超过</w:t>
            </w:r>
            <w:r w:rsidRPr="00670B1C">
              <w:rPr>
                <w:rFonts w:hint="eastAsia"/>
                <w:color w:val="000000"/>
                <w:sz w:val="21"/>
              </w:rPr>
              <w:t>26.8</w:t>
            </w:r>
            <w:r w:rsidRPr="00670B1C">
              <w:rPr>
                <w:rFonts w:hint="eastAsia"/>
                <w:color w:val="000000"/>
                <w:sz w:val="21"/>
              </w:rPr>
              <w:t>万套，同比增长</w:t>
            </w:r>
            <w:r w:rsidRPr="00670B1C">
              <w:rPr>
                <w:rFonts w:hint="eastAsia"/>
                <w:color w:val="000000"/>
                <w:sz w:val="21"/>
              </w:rPr>
              <w:t>260%</w:t>
            </w:r>
            <w:r w:rsidRPr="00670B1C">
              <w:rPr>
                <w:rFonts w:hint="eastAsia"/>
                <w:color w:val="000000"/>
                <w:sz w:val="21"/>
              </w:rPr>
              <w:t>。大型储能系统、户用光储设备和聚合运营均有业务空间。</w:t>
            </w:r>
          </w:p>
        </w:tc>
        <w:tc>
          <w:tcPr>
            <w:tcW w:w="2305" w:type="pct"/>
            <w:vAlign w:val="center"/>
          </w:tcPr>
          <w:p w14:paraId="5677DE1C" w14:textId="77777777" w:rsidR="004A0C46" w:rsidRPr="00670B1C" w:rsidRDefault="00000000" w:rsidP="00670B1C">
            <w:pPr>
              <w:jc w:val="left"/>
              <w:rPr>
                <w:rFonts w:hint="eastAsia"/>
                <w:color w:val="000000"/>
                <w:sz w:val="21"/>
              </w:rPr>
            </w:pPr>
            <w:r w:rsidRPr="00670B1C">
              <w:rPr>
                <w:rFonts w:hint="eastAsia"/>
                <w:color w:val="000000"/>
                <w:sz w:val="21"/>
              </w:rPr>
              <w:t>澳大利亚项目需要适应当地并网、注册和运行规则。对供应商而言，核心是提供能够完成本地并网测试的产品模型和控制能力，并通过当地合作伙伴、现场工程团队和备件体系支持项目交付及长期运行。</w:t>
            </w:r>
          </w:p>
        </w:tc>
      </w:tr>
    </w:tbl>
    <w:p w14:paraId="29C4EC37" w14:textId="77777777" w:rsidR="004A0C46" w:rsidRPr="00592284" w:rsidRDefault="00000000" w:rsidP="00592284">
      <w:pPr>
        <w:pStyle w:val="3"/>
        <w:numPr>
          <w:ilvl w:val="0"/>
          <w:numId w:val="0"/>
        </w:numPr>
        <w:spacing w:before="156" w:after="156"/>
        <w:rPr>
          <w:rFonts w:hint="eastAsia"/>
        </w:rPr>
      </w:pPr>
      <w:bookmarkStart w:id="46" w:name="toc_target_24"/>
      <w:bookmarkStart w:id="47" w:name="_Toc236992661"/>
      <w:r w:rsidRPr="00592284">
        <w:rPr>
          <w:rFonts w:hint="eastAsia"/>
        </w:rPr>
        <w:t xml:space="preserve">5.3 </w:t>
      </w:r>
      <w:r w:rsidRPr="00592284">
        <w:rPr>
          <w:rFonts w:hint="eastAsia"/>
        </w:rPr>
        <w:t>代表性企业和项目</w:t>
      </w:r>
      <w:bookmarkEnd w:id="46"/>
      <w:bookmarkEnd w:id="47"/>
    </w:p>
    <w:p w14:paraId="02A6B7E0" w14:textId="77777777" w:rsidR="004A0C46" w:rsidRDefault="00000000" w:rsidP="00670B1C">
      <w:pPr>
        <w:pStyle w:val="a0"/>
        <w:spacing w:before="156"/>
        <w:ind w:firstLine="480"/>
        <w:rPr>
          <w:rFonts w:eastAsia="宋体" w:hint="eastAsia"/>
        </w:rPr>
      </w:pPr>
      <w:r>
        <w:rPr>
          <w:rFonts w:eastAsia="宋体" w:hint="eastAsia"/>
        </w:rPr>
        <w:t>以下企业分别代表超大型电芯及系统供应、集中式系统交付和分布式渠道复制等不同出海路径。项目规模能够说明企业已经进入的业务层级，实际竞争力还需要结合融资关闭、交付进度、并网验收和长期运行表现持续观察。</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val="04A0" w:firstRow="1" w:lastRow="0" w:firstColumn="1" w:lastColumn="0" w:noHBand="0" w:noVBand="1"/>
      </w:tblPr>
      <w:tblGrid>
        <w:gridCol w:w="1218"/>
        <w:gridCol w:w="2908"/>
        <w:gridCol w:w="4396"/>
      </w:tblGrid>
      <w:tr w:rsidR="004A0C46" w:rsidRPr="00670B1C" w14:paraId="125A0DFF" w14:textId="77777777" w:rsidTr="00670B1C">
        <w:trPr>
          <w:cantSplit/>
          <w:trHeight w:val="397"/>
          <w:tblHeader/>
          <w:jc w:val="center"/>
        </w:trPr>
        <w:tc>
          <w:tcPr>
            <w:tcW w:w="715" w:type="pct"/>
            <w:tcBorders>
              <w:top w:val="single" w:sz="12" w:space="0" w:color="010000"/>
              <w:bottom w:val="single" w:sz="4" w:space="0" w:color="010000"/>
            </w:tcBorders>
            <w:vAlign w:val="center"/>
          </w:tcPr>
          <w:p w14:paraId="50E8CCB3" w14:textId="77777777" w:rsidR="004A0C46" w:rsidRPr="00670B1C" w:rsidRDefault="00000000" w:rsidP="00670B1C">
            <w:pPr>
              <w:keepNext/>
              <w:jc w:val="center"/>
              <w:rPr>
                <w:rFonts w:hint="eastAsia"/>
                <w:b/>
                <w:color w:val="000000"/>
                <w:sz w:val="21"/>
              </w:rPr>
            </w:pPr>
            <w:r w:rsidRPr="00670B1C">
              <w:rPr>
                <w:rFonts w:hint="eastAsia"/>
                <w:b/>
                <w:color w:val="000000"/>
                <w:sz w:val="21"/>
              </w:rPr>
              <w:lastRenderedPageBreak/>
              <w:t>企业及项目</w:t>
            </w:r>
          </w:p>
        </w:tc>
        <w:tc>
          <w:tcPr>
            <w:tcW w:w="1706" w:type="pct"/>
            <w:tcBorders>
              <w:top w:val="single" w:sz="12" w:space="0" w:color="010000"/>
              <w:bottom w:val="single" w:sz="4" w:space="0" w:color="010000"/>
            </w:tcBorders>
            <w:vAlign w:val="center"/>
          </w:tcPr>
          <w:p w14:paraId="0E01D9B2" w14:textId="77777777" w:rsidR="004A0C46" w:rsidRPr="00670B1C" w:rsidRDefault="00000000" w:rsidP="00670B1C">
            <w:pPr>
              <w:keepNext/>
              <w:jc w:val="center"/>
              <w:rPr>
                <w:rFonts w:hint="eastAsia"/>
                <w:b/>
                <w:color w:val="000000"/>
                <w:sz w:val="21"/>
              </w:rPr>
            </w:pPr>
            <w:r w:rsidRPr="00670B1C">
              <w:rPr>
                <w:rFonts w:hint="eastAsia"/>
                <w:b/>
                <w:color w:val="000000"/>
                <w:sz w:val="21"/>
              </w:rPr>
              <w:t>公开规模与进展</w:t>
            </w:r>
          </w:p>
        </w:tc>
        <w:tc>
          <w:tcPr>
            <w:tcW w:w="2579" w:type="pct"/>
            <w:tcBorders>
              <w:top w:val="single" w:sz="12" w:space="0" w:color="010000"/>
              <w:bottom w:val="single" w:sz="4" w:space="0" w:color="010000"/>
            </w:tcBorders>
            <w:vAlign w:val="center"/>
          </w:tcPr>
          <w:p w14:paraId="78092840" w14:textId="77777777" w:rsidR="004A0C46" w:rsidRPr="00670B1C" w:rsidRDefault="00000000" w:rsidP="00670B1C">
            <w:pPr>
              <w:keepNext/>
              <w:jc w:val="center"/>
              <w:rPr>
                <w:rFonts w:hint="eastAsia"/>
                <w:b/>
                <w:color w:val="000000"/>
                <w:sz w:val="21"/>
              </w:rPr>
            </w:pPr>
            <w:r w:rsidRPr="00670B1C">
              <w:rPr>
                <w:rFonts w:hint="eastAsia"/>
                <w:b/>
                <w:color w:val="000000"/>
                <w:sz w:val="21"/>
              </w:rPr>
              <w:t>项目反映的业务能力</w:t>
            </w:r>
          </w:p>
        </w:tc>
      </w:tr>
      <w:tr w:rsidR="004A0C46" w:rsidRPr="00670B1C" w14:paraId="654443D4" w14:textId="77777777" w:rsidTr="00670B1C">
        <w:trPr>
          <w:cantSplit/>
          <w:trHeight w:val="397"/>
          <w:jc w:val="center"/>
        </w:trPr>
        <w:tc>
          <w:tcPr>
            <w:tcW w:w="715" w:type="pct"/>
            <w:tcBorders>
              <w:top w:val="single" w:sz="4" w:space="0" w:color="010000"/>
            </w:tcBorders>
            <w:vAlign w:val="center"/>
          </w:tcPr>
          <w:p w14:paraId="23D7B519" w14:textId="77777777" w:rsidR="004A0C46" w:rsidRPr="00670B1C" w:rsidRDefault="00000000" w:rsidP="00670B1C">
            <w:pPr>
              <w:jc w:val="left"/>
              <w:rPr>
                <w:rFonts w:hint="eastAsia"/>
                <w:color w:val="000000"/>
                <w:sz w:val="21"/>
              </w:rPr>
            </w:pPr>
            <w:r w:rsidRPr="00670B1C">
              <w:rPr>
                <w:rFonts w:hint="eastAsia"/>
                <w:color w:val="000000"/>
                <w:sz w:val="21"/>
              </w:rPr>
              <w:t>宁德时代—</w:t>
            </w:r>
            <w:r w:rsidRPr="00670B1C">
              <w:rPr>
                <w:rFonts w:hint="eastAsia"/>
                <w:color w:val="000000"/>
                <w:sz w:val="21"/>
              </w:rPr>
              <w:t>Masdar</w:t>
            </w:r>
            <w:r w:rsidRPr="00670B1C">
              <w:rPr>
                <w:rFonts w:hint="eastAsia"/>
                <w:color w:val="000000"/>
                <w:sz w:val="21"/>
              </w:rPr>
              <w:t>项目</w:t>
            </w:r>
          </w:p>
        </w:tc>
        <w:tc>
          <w:tcPr>
            <w:tcW w:w="1706" w:type="pct"/>
            <w:tcBorders>
              <w:top w:val="single" w:sz="4" w:space="0" w:color="010000"/>
            </w:tcBorders>
            <w:vAlign w:val="center"/>
          </w:tcPr>
          <w:p w14:paraId="254B422C" w14:textId="77777777" w:rsidR="004A0C46" w:rsidRPr="00670B1C" w:rsidRDefault="00000000" w:rsidP="00670B1C">
            <w:pPr>
              <w:jc w:val="left"/>
              <w:rPr>
                <w:rFonts w:hint="eastAsia"/>
                <w:color w:val="000000"/>
                <w:sz w:val="21"/>
              </w:rPr>
            </w:pPr>
            <w:r w:rsidRPr="00670B1C">
              <w:rPr>
                <w:rFonts w:hint="eastAsia"/>
                <w:color w:val="000000"/>
                <w:sz w:val="21"/>
              </w:rPr>
              <w:t>宁德时代与</w:t>
            </w:r>
            <w:r w:rsidRPr="00670B1C">
              <w:rPr>
                <w:rFonts w:hint="eastAsia"/>
                <w:color w:val="000000"/>
                <w:sz w:val="21"/>
              </w:rPr>
              <w:t>Masdar</w:t>
            </w:r>
            <w:r w:rsidRPr="00670B1C">
              <w:rPr>
                <w:rFonts w:hint="eastAsia"/>
                <w:color w:val="000000"/>
                <w:sz w:val="21"/>
              </w:rPr>
              <w:t>公布的项目包括</w:t>
            </w:r>
            <w:r w:rsidRPr="00670B1C">
              <w:rPr>
                <w:rFonts w:hint="eastAsia"/>
                <w:color w:val="000000"/>
                <w:sz w:val="21"/>
              </w:rPr>
              <w:t>5.2GW</w:t>
            </w:r>
            <w:r w:rsidRPr="00670B1C">
              <w:rPr>
                <w:rFonts w:hint="eastAsia"/>
                <w:color w:val="000000"/>
                <w:sz w:val="21"/>
              </w:rPr>
              <w:t>光伏和</w:t>
            </w:r>
            <w:r w:rsidRPr="00670B1C">
              <w:rPr>
                <w:rFonts w:hint="eastAsia"/>
                <w:color w:val="000000"/>
                <w:sz w:val="21"/>
              </w:rPr>
              <w:t>19GWh</w:t>
            </w:r>
            <w:r w:rsidRPr="00670B1C">
              <w:rPr>
                <w:rFonts w:hint="eastAsia"/>
                <w:color w:val="000000"/>
                <w:sz w:val="21"/>
              </w:rPr>
              <w:t>电池储能，属于超大规模光储一体化项目。</w:t>
            </w:r>
          </w:p>
        </w:tc>
        <w:tc>
          <w:tcPr>
            <w:tcW w:w="2579" w:type="pct"/>
            <w:tcBorders>
              <w:top w:val="single" w:sz="4" w:space="0" w:color="010000"/>
            </w:tcBorders>
            <w:vAlign w:val="center"/>
          </w:tcPr>
          <w:p w14:paraId="53364D67" w14:textId="77777777" w:rsidR="004A0C46" w:rsidRPr="00670B1C" w:rsidRDefault="00000000" w:rsidP="00670B1C">
            <w:pPr>
              <w:jc w:val="left"/>
              <w:rPr>
                <w:rFonts w:hint="eastAsia"/>
                <w:color w:val="000000"/>
                <w:sz w:val="21"/>
              </w:rPr>
            </w:pPr>
            <w:r w:rsidRPr="00670B1C">
              <w:rPr>
                <w:rFonts w:hint="eastAsia"/>
                <w:color w:val="000000"/>
                <w:sz w:val="21"/>
              </w:rPr>
              <w:t>19GWh</w:t>
            </w:r>
            <w:r w:rsidRPr="00670B1C">
              <w:rPr>
                <w:rFonts w:hint="eastAsia"/>
                <w:color w:val="000000"/>
                <w:sz w:val="21"/>
              </w:rPr>
              <w:t>的储能规模对电芯供应、系统方案设计、项目协同和长期性能保证均提出较高要求。宁德时代参与该项目，反映出其已由大规模电芯供应进一步延伸至系统方案配合和长期性能责任。</w:t>
            </w:r>
          </w:p>
        </w:tc>
      </w:tr>
      <w:tr w:rsidR="004A0C46" w:rsidRPr="00670B1C" w14:paraId="68289F54" w14:textId="77777777" w:rsidTr="00670B1C">
        <w:trPr>
          <w:cantSplit/>
          <w:trHeight w:val="397"/>
          <w:jc w:val="center"/>
        </w:trPr>
        <w:tc>
          <w:tcPr>
            <w:tcW w:w="715" w:type="pct"/>
            <w:vAlign w:val="center"/>
          </w:tcPr>
          <w:p w14:paraId="06EB0CF0" w14:textId="77777777" w:rsidR="004A0C46" w:rsidRPr="00670B1C" w:rsidRDefault="00000000" w:rsidP="00670B1C">
            <w:pPr>
              <w:jc w:val="left"/>
              <w:rPr>
                <w:rFonts w:hint="eastAsia"/>
                <w:color w:val="000000"/>
                <w:sz w:val="21"/>
              </w:rPr>
            </w:pPr>
            <w:r w:rsidRPr="00670B1C">
              <w:rPr>
                <w:rFonts w:hint="eastAsia"/>
                <w:color w:val="000000"/>
                <w:sz w:val="21"/>
              </w:rPr>
              <w:t>比亚迪—沙特电力公司项目</w:t>
            </w:r>
          </w:p>
        </w:tc>
        <w:tc>
          <w:tcPr>
            <w:tcW w:w="1706" w:type="pct"/>
            <w:vAlign w:val="center"/>
          </w:tcPr>
          <w:p w14:paraId="025BFC67" w14:textId="77777777" w:rsidR="004A0C46" w:rsidRPr="00670B1C" w:rsidRDefault="00000000" w:rsidP="00670B1C">
            <w:pPr>
              <w:jc w:val="left"/>
              <w:rPr>
                <w:rFonts w:hint="eastAsia"/>
                <w:color w:val="000000"/>
                <w:sz w:val="21"/>
              </w:rPr>
            </w:pPr>
            <w:r w:rsidRPr="00670B1C">
              <w:rPr>
                <w:rFonts w:hint="eastAsia"/>
                <w:color w:val="000000"/>
                <w:sz w:val="21"/>
              </w:rPr>
              <w:t>比亚迪与沙特电力公司签署了</w:t>
            </w:r>
            <w:r w:rsidRPr="00670B1C">
              <w:rPr>
                <w:rFonts w:hint="eastAsia"/>
                <w:color w:val="000000"/>
                <w:sz w:val="21"/>
              </w:rPr>
              <w:t>12.5GWh</w:t>
            </w:r>
            <w:r w:rsidRPr="00670B1C">
              <w:rPr>
                <w:rFonts w:hint="eastAsia"/>
                <w:color w:val="000000"/>
                <w:sz w:val="21"/>
              </w:rPr>
              <w:t>储能合同，合同规模体现出项目采购和交付的高度集中。</w:t>
            </w:r>
          </w:p>
        </w:tc>
        <w:tc>
          <w:tcPr>
            <w:tcW w:w="2579" w:type="pct"/>
            <w:vAlign w:val="center"/>
          </w:tcPr>
          <w:p w14:paraId="1DEEAB26" w14:textId="77777777" w:rsidR="004A0C46" w:rsidRPr="00670B1C" w:rsidRDefault="00000000" w:rsidP="00670B1C">
            <w:pPr>
              <w:jc w:val="left"/>
              <w:rPr>
                <w:rFonts w:hint="eastAsia"/>
                <w:color w:val="000000"/>
                <w:sz w:val="21"/>
              </w:rPr>
            </w:pPr>
            <w:r w:rsidRPr="00670B1C">
              <w:rPr>
                <w:rFonts w:hint="eastAsia"/>
                <w:color w:val="000000"/>
                <w:sz w:val="21"/>
              </w:rPr>
              <w:t>大规模集中采购要求供应商在统一技术平台下组织生产、跨境运输和分阶段交付，并持续管理成本、进度和履约风险。该项目反映出比亚迪在垂直供应链、规模制造和大型订单执行方面具备较强基础。</w:t>
            </w:r>
          </w:p>
        </w:tc>
      </w:tr>
      <w:tr w:rsidR="004A0C46" w:rsidRPr="00670B1C" w14:paraId="30F807CF" w14:textId="77777777" w:rsidTr="00670B1C">
        <w:trPr>
          <w:cantSplit/>
          <w:trHeight w:val="397"/>
          <w:jc w:val="center"/>
        </w:trPr>
        <w:tc>
          <w:tcPr>
            <w:tcW w:w="715" w:type="pct"/>
            <w:vAlign w:val="center"/>
          </w:tcPr>
          <w:p w14:paraId="79755824" w14:textId="77777777" w:rsidR="004A0C46" w:rsidRPr="00670B1C" w:rsidRDefault="00000000" w:rsidP="00670B1C">
            <w:pPr>
              <w:jc w:val="left"/>
              <w:rPr>
                <w:rFonts w:hint="eastAsia"/>
                <w:color w:val="000000"/>
                <w:sz w:val="21"/>
              </w:rPr>
            </w:pPr>
            <w:r w:rsidRPr="00670B1C">
              <w:rPr>
                <w:rFonts w:hint="eastAsia"/>
                <w:color w:val="000000"/>
                <w:sz w:val="21"/>
              </w:rPr>
              <w:t>阳光电源—沙特项目</w:t>
            </w:r>
          </w:p>
        </w:tc>
        <w:tc>
          <w:tcPr>
            <w:tcW w:w="1706" w:type="pct"/>
            <w:vAlign w:val="center"/>
          </w:tcPr>
          <w:p w14:paraId="25C35C3C" w14:textId="77777777" w:rsidR="004A0C46" w:rsidRPr="00670B1C" w:rsidRDefault="00000000" w:rsidP="00670B1C">
            <w:pPr>
              <w:jc w:val="left"/>
              <w:rPr>
                <w:rFonts w:hint="eastAsia"/>
                <w:color w:val="000000"/>
                <w:sz w:val="21"/>
              </w:rPr>
            </w:pPr>
            <w:r w:rsidRPr="00670B1C">
              <w:rPr>
                <w:rFonts w:hint="eastAsia"/>
                <w:color w:val="000000"/>
                <w:sz w:val="21"/>
              </w:rPr>
              <w:t>阳光电源披露的沙特</w:t>
            </w:r>
            <w:r w:rsidRPr="00670B1C">
              <w:rPr>
                <w:rFonts w:hint="eastAsia"/>
                <w:color w:val="000000"/>
                <w:sz w:val="21"/>
              </w:rPr>
              <w:t>7.8GWh</w:t>
            </w:r>
            <w:r w:rsidRPr="00670B1C">
              <w:rPr>
                <w:rFonts w:hint="eastAsia"/>
                <w:color w:val="000000"/>
                <w:sz w:val="21"/>
              </w:rPr>
              <w:t>储能项目已经完成并网，项目进度已经从设备交付推进至实际接入电网。</w:t>
            </w:r>
          </w:p>
        </w:tc>
        <w:tc>
          <w:tcPr>
            <w:tcW w:w="2579" w:type="pct"/>
            <w:vAlign w:val="center"/>
          </w:tcPr>
          <w:p w14:paraId="52B626B6" w14:textId="77777777" w:rsidR="004A0C46" w:rsidRPr="00670B1C" w:rsidRDefault="00000000" w:rsidP="00670B1C">
            <w:pPr>
              <w:jc w:val="left"/>
              <w:rPr>
                <w:rFonts w:hint="eastAsia"/>
                <w:color w:val="000000"/>
                <w:sz w:val="21"/>
              </w:rPr>
            </w:pPr>
            <w:r w:rsidRPr="00670B1C">
              <w:rPr>
                <w:rFonts w:hint="eastAsia"/>
                <w:color w:val="000000"/>
                <w:sz w:val="21"/>
              </w:rPr>
              <w:t>项目并网要求</w:t>
            </w:r>
            <w:r w:rsidRPr="00670B1C">
              <w:rPr>
                <w:rFonts w:hint="eastAsia"/>
                <w:color w:val="000000"/>
                <w:sz w:val="21"/>
              </w:rPr>
              <w:t>PCS</w:t>
            </w:r>
            <w:r w:rsidRPr="00670B1C">
              <w:rPr>
                <w:rFonts w:hint="eastAsia"/>
                <w:color w:val="000000"/>
                <w:sz w:val="21"/>
              </w:rPr>
              <w:t>、储能系统和现场工程在高温、弱网及复杂调度环境下协同运行。该项目反映出阳光电源在电力电子、系统集成、现场调试和并网交付等环节形成了较完整的业务能力。</w:t>
            </w:r>
          </w:p>
        </w:tc>
      </w:tr>
      <w:tr w:rsidR="004A0C46" w:rsidRPr="00670B1C" w14:paraId="7B5D6504" w14:textId="77777777" w:rsidTr="00670B1C">
        <w:trPr>
          <w:cantSplit/>
          <w:trHeight w:val="397"/>
          <w:jc w:val="center"/>
        </w:trPr>
        <w:tc>
          <w:tcPr>
            <w:tcW w:w="715" w:type="pct"/>
            <w:vAlign w:val="center"/>
          </w:tcPr>
          <w:p w14:paraId="3650550F" w14:textId="77777777" w:rsidR="004A0C46" w:rsidRPr="00670B1C" w:rsidRDefault="00000000" w:rsidP="00670B1C">
            <w:pPr>
              <w:jc w:val="left"/>
              <w:rPr>
                <w:rFonts w:hint="eastAsia"/>
                <w:color w:val="000000"/>
                <w:sz w:val="21"/>
              </w:rPr>
            </w:pPr>
            <w:r w:rsidRPr="00670B1C">
              <w:rPr>
                <w:rFonts w:hint="eastAsia"/>
                <w:color w:val="000000"/>
                <w:sz w:val="21"/>
              </w:rPr>
              <w:t>思格新能源</w:t>
            </w:r>
          </w:p>
        </w:tc>
        <w:tc>
          <w:tcPr>
            <w:tcW w:w="1706" w:type="pct"/>
            <w:vAlign w:val="center"/>
          </w:tcPr>
          <w:p w14:paraId="42DBF784" w14:textId="77777777" w:rsidR="004A0C46" w:rsidRPr="00670B1C" w:rsidRDefault="00000000" w:rsidP="00670B1C">
            <w:pPr>
              <w:jc w:val="left"/>
              <w:rPr>
                <w:rFonts w:hint="eastAsia"/>
                <w:color w:val="000000"/>
                <w:sz w:val="21"/>
              </w:rPr>
            </w:pPr>
            <w:r w:rsidRPr="00670B1C">
              <w:rPr>
                <w:rFonts w:hint="eastAsia"/>
                <w:color w:val="000000"/>
                <w:sz w:val="21"/>
              </w:rPr>
              <w:t>截至</w:t>
            </w:r>
            <w:r w:rsidRPr="00670B1C">
              <w:rPr>
                <w:rFonts w:hint="eastAsia"/>
                <w:color w:val="000000"/>
                <w:sz w:val="21"/>
              </w:rPr>
              <w:t>2025</w:t>
            </w:r>
            <w:r w:rsidRPr="00670B1C">
              <w:rPr>
                <w:rFonts w:hint="eastAsia"/>
                <w:color w:val="000000"/>
                <w:sz w:val="21"/>
              </w:rPr>
              <w:t>年底，思格新能源销售网络覆盖</w:t>
            </w:r>
            <w:r w:rsidRPr="00670B1C">
              <w:rPr>
                <w:rFonts w:hint="eastAsia"/>
                <w:color w:val="000000"/>
                <w:sz w:val="21"/>
              </w:rPr>
              <w:t>85</w:t>
            </w:r>
            <w:r w:rsidRPr="00670B1C">
              <w:rPr>
                <w:rFonts w:hint="eastAsia"/>
                <w:color w:val="000000"/>
                <w:sz w:val="21"/>
              </w:rPr>
              <w:t>个国家和地区，出海业务以分布式光储产品和海外渠道销售为主。</w:t>
            </w:r>
          </w:p>
        </w:tc>
        <w:tc>
          <w:tcPr>
            <w:tcW w:w="2579" w:type="pct"/>
            <w:vAlign w:val="center"/>
          </w:tcPr>
          <w:p w14:paraId="0BB35F58" w14:textId="77777777" w:rsidR="004A0C46" w:rsidRPr="00670B1C" w:rsidRDefault="00000000" w:rsidP="00670B1C">
            <w:pPr>
              <w:jc w:val="left"/>
              <w:rPr>
                <w:rFonts w:hint="eastAsia"/>
                <w:color w:val="000000"/>
                <w:sz w:val="21"/>
              </w:rPr>
            </w:pPr>
            <w:r w:rsidRPr="00670B1C">
              <w:rPr>
                <w:rFonts w:hint="eastAsia"/>
                <w:color w:val="000000"/>
                <w:sz w:val="21"/>
              </w:rPr>
              <w:t>多国市场覆盖需要企业形成标准化产品、软件平台、渠道培训和本地售后相互配合的运营体系。其业务模式反映出分布式产品、渠道网络和服务体系在不同市场的复制能力。</w:t>
            </w:r>
          </w:p>
        </w:tc>
      </w:tr>
    </w:tbl>
    <w:p w14:paraId="48F9578B" w14:textId="77777777" w:rsidR="004A0C46" w:rsidRDefault="004A0C46">
      <w:pPr>
        <w:widowControl/>
        <w:jc w:val="left"/>
        <w:rPr>
          <w:rFonts w:ascii="宋体" w:hAnsi="宋体" w:cs="宋体" w:hint="eastAsia"/>
          <w:color w:val="000000"/>
          <w:sz w:val="2"/>
          <w:szCs w:val="2"/>
        </w:rPr>
      </w:pPr>
    </w:p>
    <w:p w14:paraId="20A04A89" w14:textId="77777777" w:rsidR="004A0C46" w:rsidRDefault="004A0C46">
      <w:pPr>
        <w:widowControl/>
        <w:jc w:val="left"/>
        <w:rPr>
          <w:rFonts w:ascii="宋体" w:hAnsi="宋体" w:cs="宋体" w:hint="eastAsia"/>
          <w:color w:val="000000"/>
          <w:sz w:val="2"/>
          <w:szCs w:val="2"/>
        </w:rPr>
      </w:pPr>
    </w:p>
    <w:p w14:paraId="405837D8" w14:textId="77777777" w:rsidR="004A0C46" w:rsidRDefault="004A0C46">
      <w:pPr>
        <w:rPr>
          <w:rFonts w:ascii="宋体" w:hAnsi="宋体" w:cs="宋体" w:hint="eastAsia"/>
        </w:rPr>
        <w:sectPr w:rsidR="004A0C46">
          <w:pgSz w:w="11906" w:h="16838"/>
          <w:pgMar w:top="1440" w:right="1800" w:bottom="1440" w:left="1800" w:header="720" w:footer="720" w:gutter="0"/>
          <w:cols w:space="425"/>
          <w:docGrid w:type="lines" w:linePitch="312"/>
        </w:sectPr>
      </w:pPr>
    </w:p>
    <w:p w14:paraId="13633DA7" w14:textId="52688505" w:rsidR="004A0C46" w:rsidRPr="00592284" w:rsidRDefault="00000000" w:rsidP="00592284">
      <w:pPr>
        <w:pStyle w:val="2"/>
        <w:spacing w:before="156" w:after="156"/>
        <w:rPr>
          <w:rFonts w:hint="eastAsia"/>
        </w:rPr>
      </w:pPr>
      <w:bookmarkStart w:id="48" w:name="toc_target_25"/>
      <w:bookmarkStart w:id="49" w:name="_Toc236992662"/>
      <w:r w:rsidRPr="00592284">
        <w:rPr>
          <w:rFonts w:hint="eastAsia"/>
        </w:rPr>
        <w:lastRenderedPageBreak/>
        <w:t>储能企业资本化进度</w:t>
      </w:r>
      <w:bookmarkEnd w:id="48"/>
      <w:bookmarkEnd w:id="49"/>
    </w:p>
    <w:p w14:paraId="6140DD86" w14:textId="687645F6" w:rsidR="004A0C46" w:rsidRDefault="00000000" w:rsidP="00670B1C">
      <w:pPr>
        <w:pStyle w:val="a0"/>
        <w:spacing w:before="156"/>
        <w:ind w:firstLine="480"/>
        <w:rPr>
          <w:rFonts w:eastAsia="宋体" w:hint="eastAsia"/>
        </w:rPr>
      </w:pPr>
      <w:r>
        <w:rPr>
          <w:rFonts w:eastAsia="宋体" w:hint="eastAsia"/>
        </w:rPr>
        <w:t>以下资本化进度、股价和股本数据统一核验至</w:t>
      </w:r>
      <w:r>
        <w:rPr>
          <w:rFonts w:eastAsia="宋体" w:hint="eastAsia"/>
        </w:rPr>
        <w:t>2026</w:t>
      </w:r>
      <w:r>
        <w:rPr>
          <w:rFonts w:eastAsia="宋体" w:hint="eastAsia"/>
        </w:rPr>
        <w:t>年</w:t>
      </w:r>
      <w:r>
        <w:rPr>
          <w:rFonts w:eastAsia="宋体" w:hint="eastAsia"/>
        </w:rPr>
        <w:t>8</w:t>
      </w:r>
      <w:r>
        <w:rPr>
          <w:rFonts w:eastAsia="宋体" w:hint="eastAsia"/>
        </w:rPr>
        <w:t>月</w:t>
      </w:r>
      <w:r>
        <w:rPr>
          <w:rFonts w:eastAsia="宋体" w:hint="eastAsia"/>
        </w:rPr>
        <w:t>5</w:t>
      </w:r>
      <w:r>
        <w:rPr>
          <w:rFonts w:eastAsia="宋体" w:hint="eastAsia"/>
        </w:rPr>
        <w:t>日。未上市企业的参考估值仅按拟募集资金除以预计发行比例</w:t>
      </w:r>
      <w:r w:rsidR="004378BA">
        <w:rPr>
          <w:rFonts w:eastAsia="宋体" w:hint="eastAsia"/>
        </w:rPr>
        <w:t>测算</w:t>
      </w:r>
      <w:r>
        <w:rPr>
          <w:rFonts w:eastAsia="宋体" w:hint="eastAsia"/>
        </w:rPr>
        <w:t>，用于形成数量级参考，不代表实际发行定价或市场估值。</w:t>
      </w:r>
    </w:p>
    <w:p w14:paraId="107F3DD1" w14:textId="77777777" w:rsidR="004A0C46" w:rsidRPr="00592284" w:rsidRDefault="00000000" w:rsidP="00592284">
      <w:pPr>
        <w:pStyle w:val="3"/>
        <w:numPr>
          <w:ilvl w:val="0"/>
          <w:numId w:val="0"/>
        </w:numPr>
        <w:spacing w:before="156" w:after="156"/>
        <w:rPr>
          <w:rFonts w:hint="eastAsia"/>
        </w:rPr>
      </w:pPr>
      <w:bookmarkStart w:id="50" w:name="toc_target_26"/>
      <w:bookmarkStart w:id="51" w:name="_Toc236992663"/>
      <w:r w:rsidRPr="00592284">
        <w:rPr>
          <w:rFonts w:hint="eastAsia"/>
        </w:rPr>
        <w:t xml:space="preserve">6.1 </w:t>
      </w:r>
      <w:r w:rsidRPr="00592284">
        <w:rPr>
          <w:rFonts w:hint="eastAsia"/>
        </w:rPr>
        <w:t>已上市或近期完成发行的企业</w:t>
      </w:r>
      <w:bookmarkEnd w:id="50"/>
      <w:bookmarkEnd w:id="51"/>
    </w:p>
    <w:tbl>
      <w:tblPr>
        <w:tblW w:w="6334"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val="04A0" w:firstRow="1" w:lastRow="0" w:firstColumn="1" w:lastColumn="0" w:noHBand="0" w:noVBand="1"/>
      </w:tblPr>
      <w:tblGrid>
        <w:gridCol w:w="1517"/>
        <w:gridCol w:w="2202"/>
        <w:gridCol w:w="2071"/>
        <w:gridCol w:w="2217"/>
        <w:gridCol w:w="1373"/>
        <w:gridCol w:w="1416"/>
      </w:tblGrid>
      <w:tr w:rsidR="004A0C46" w:rsidRPr="00670B1C" w14:paraId="2DC75B3A" w14:textId="77777777" w:rsidTr="00670B1C">
        <w:trPr>
          <w:cantSplit/>
          <w:trHeight w:val="397"/>
          <w:tblHeader/>
          <w:jc w:val="center"/>
        </w:trPr>
        <w:tc>
          <w:tcPr>
            <w:tcW w:w="702" w:type="pct"/>
            <w:tcBorders>
              <w:top w:val="single" w:sz="12" w:space="0" w:color="010000"/>
              <w:bottom w:val="single" w:sz="4" w:space="0" w:color="010000"/>
            </w:tcBorders>
            <w:vAlign w:val="center"/>
          </w:tcPr>
          <w:p w14:paraId="7C73301F" w14:textId="77777777" w:rsidR="004A0C46" w:rsidRPr="00670B1C" w:rsidRDefault="00000000" w:rsidP="00670B1C">
            <w:pPr>
              <w:keepNext/>
              <w:jc w:val="center"/>
              <w:rPr>
                <w:rFonts w:hint="eastAsia"/>
                <w:b/>
                <w:color w:val="000000"/>
                <w:sz w:val="21"/>
              </w:rPr>
            </w:pPr>
            <w:r w:rsidRPr="00670B1C">
              <w:rPr>
                <w:rFonts w:hint="eastAsia"/>
                <w:b/>
                <w:color w:val="000000"/>
                <w:sz w:val="21"/>
              </w:rPr>
              <w:t>企业</w:t>
            </w:r>
          </w:p>
        </w:tc>
        <w:tc>
          <w:tcPr>
            <w:tcW w:w="1020" w:type="pct"/>
            <w:tcBorders>
              <w:top w:val="single" w:sz="12" w:space="0" w:color="010000"/>
              <w:bottom w:val="single" w:sz="4" w:space="0" w:color="010000"/>
            </w:tcBorders>
            <w:vAlign w:val="center"/>
          </w:tcPr>
          <w:p w14:paraId="6A0A141D" w14:textId="77777777" w:rsidR="004A0C46" w:rsidRPr="00670B1C" w:rsidRDefault="00000000" w:rsidP="00670B1C">
            <w:pPr>
              <w:keepNext/>
              <w:jc w:val="center"/>
              <w:rPr>
                <w:rFonts w:hint="eastAsia"/>
                <w:b/>
                <w:color w:val="000000"/>
                <w:sz w:val="21"/>
              </w:rPr>
            </w:pPr>
            <w:r w:rsidRPr="00670B1C">
              <w:rPr>
                <w:rFonts w:hint="eastAsia"/>
                <w:b/>
                <w:color w:val="000000"/>
                <w:sz w:val="21"/>
              </w:rPr>
              <w:t>上市进度</w:t>
            </w:r>
          </w:p>
        </w:tc>
        <w:tc>
          <w:tcPr>
            <w:tcW w:w="959" w:type="pct"/>
            <w:tcBorders>
              <w:top w:val="single" w:sz="12" w:space="0" w:color="010000"/>
              <w:bottom w:val="single" w:sz="4" w:space="0" w:color="010000"/>
            </w:tcBorders>
            <w:vAlign w:val="center"/>
          </w:tcPr>
          <w:p w14:paraId="1FB28A4F" w14:textId="77777777" w:rsidR="004A0C46" w:rsidRPr="00670B1C" w:rsidRDefault="00000000" w:rsidP="00670B1C">
            <w:pPr>
              <w:keepNext/>
              <w:jc w:val="center"/>
              <w:rPr>
                <w:rFonts w:hint="eastAsia"/>
                <w:b/>
                <w:color w:val="000000"/>
                <w:sz w:val="21"/>
              </w:rPr>
            </w:pPr>
            <w:r w:rsidRPr="00670B1C">
              <w:rPr>
                <w:rFonts w:hint="eastAsia"/>
                <w:b/>
                <w:color w:val="000000"/>
                <w:sz w:val="21"/>
              </w:rPr>
              <w:t>核心业务</w:t>
            </w:r>
          </w:p>
        </w:tc>
        <w:tc>
          <w:tcPr>
            <w:tcW w:w="1027" w:type="pct"/>
            <w:tcBorders>
              <w:top w:val="single" w:sz="12" w:space="0" w:color="010000"/>
              <w:bottom w:val="single" w:sz="4" w:space="0" w:color="010000"/>
            </w:tcBorders>
            <w:vAlign w:val="center"/>
          </w:tcPr>
          <w:p w14:paraId="1F70B026" w14:textId="77777777" w:rsidR="004A0C46" w:rsidRPr="00670B1C" w:rsidRDefault="00000000" w:rsidP="00670B1C">
            <w:pPr>
              <w:keepNext/>
              <w:jc w:val="center"/>
              <w:rPr>
                <w:rFonts w:hint="eastAsia"/>
                <w:b/>
                <w:color w:val="000000"/>
                <w:sz w:val="21"/>
              </w:rPr>
            </w:pPr>
            <w:r w:rsidRPr="00670B1C">
              <w:rPr>
                <w:rFonts w:hint="eastAsia"/>
                <w:b/>
                <w:color w:val="000000"/>
                <w:sz w:val="21"/>
              </w:rPr>
              <w:t>市值（截至</w:t>
            </w:r>
            <w:r w:rsidRPr="00670B1C">
              <w:rPr>
                <w:rFonts w:hint="eastAsia"/>
                <w:b/>
                <w:color w:val="000000"/>
                <w:sz w:val="21"/>
              </w:rPr>
              <w:t>2026</w:t>
            </w:r>
            <w:r w:rsidRPr="00670B1C">
              <w:rPr>
                <w:rFonts w:hint="eastAsia"/>
                <w:b/>
                <w:color w:val="000000"/>
                <w:sz w:val="21"/>
              </w:rPr>
              <w:t>年</w:t>
            </w:r>
            <w:r w:rsidRPr="00670B1C">
              <w:rPr>
                <w:rFonts w:hint="eastAsia"/>
                <w:b/>
                <w:color w:val="000000"/>
                <w:sz w:val="21"/>
              </w:rPr>
              <w:t>8</w:t>
            </w:r>
            <w:r w:rsidRPr="00670B1C">
              <w:rPr>
                <w:rFonts w:hint="eastAsia"/>
                <w:b/>
                <w:color w:val="000000"/>
                <w:sz w:val="21"/>
              </w:rPr>
              <w:t>月</w:t>
            </w:r>
            <w:r w:rsidRPr="00670B1C">
              <w:rPr>
                <w:rFonts w:hint="eastAsia"/>
                <w:b/>
                <w:color w:val="000000"/>
                <w:sz w:val="21"/>
              </w:rPr>
              <w:t>5</w:t>
            </w:r>
            <w:r w:rsidRPr="00670B1C">
              <w:rPr>
                <w:rFonts w:hint="eastAsia"/>
                <w:b/>
                <w:color w:val="000000"/>
                <w:sz w:val="21"/>
              </w:rPr>
              <w:t>日）</w:t>
            </w:r>
          </w:p>
        </w:tc>
        <w:tc>
          <w:tcPr>
            <w:tcW w:w="636" w:type="pct"/>
            <w:tcBorders>
              <w:top w:val="single" w:sz="12" w:space="0" w:color="010000"/>
              <w:bottom w:val="single" w:sz="4" w:space="0" w:color="010000"/>
            </w:tcBorders>
            <w:vAlign w:val="center"/>
          </w:tcPr>
          <w:p w14:paraId="4122652A" w14:textId="77777777" w:rsidR="004A0C46" w:rsidRPr="00670B1C" w:rsidRDefault="00000000" w:rsidP="00670B1C">
            <w:pPr>
              <w:keepNext/>
              <w:jc w:val="center"/>
              <w:rPr>
                <w:rFonts w:hint="eastAsia"/>
                <w:b/>
                <w:color w:val="000000"/>
                <w:sz w:val="21"/>
              </w:rPr>
            </w:pPr>
            <w:r w:rsidRPr="00670B1C">
              <w:rPr>
                <w:rFonts w:hint="eastAsia"/>
                <w:b/>
                <w:color w:val="000000"/>
                <w:sz w:val="21"/>
              </w:rPr>
              <w:t>2025</w:t>
            </w:r>
            <w:r w:rsidRPr="00670B1C">
              <w:rPr>
                <w:rFonts w:hint="eastAsia"/>
                <w:b/>
                <w:color w:val="000000"/>
                <w:sz w:val="21"/>
              </w:rPr>
              <w:t>年</w:t>
            </w:r>
            <w:r w:rsidRPr="00670B1C">
              <w:rPr>
                <w:rFonts w:hint="eastAsia"/>
                <w:b/>
                <w:color w:val="000000"/>
                <w:sz w:val="21"/>
              </w:rPr>
              <w:br/>
            </w:r>
            <w:r w:rsidRPr="00670B1C">
              <w:rPr>
                <w:rFonts w:hint="eastAsia"/>
                <w:b/>
                <w:color w:val="000000"/>
                <w:sz w:val="21"/>
              </w:rPr>
              <w:t>营业收入</w:t>
            </w:r>
          </w:p>
        </w:tc>
        <w:tc>
          <w:tcPr>
            <w:tcW w:w="656" w:type="pct"/>
            <w:tcBorders>
              <w:top w:val="single" w:sz="12" w:space="0" w:color="010000"/>
              <w:bottom w:val="single" w:sz="4" w:space="0" w:color="010000"/>
            </w:tcBorders>
            <w:vAlign w:val="center"/>
          </w:tcPr>
          <w:p w14:paraId="5F8FE169" w14:textId="77777777" w:rsidR="004A0C46" w:rsidRPr="00670B1C" w:rsidRDefault="00000000" w:rsidP="00670B1C">
            <w:pPr>
              <w:keepNext/>
              <w:jc w:val="center"/>
              <w:rPr>
                <w:rFonts w:hint="eastAsia"/>
                <w:b/>
                <w:color w:val="000000"/>
                <w:sz w:val="21"/>
              </w:rPr>
            </w:pPr>
            <w:r w:rsidRPr="00670B1C">
              <w:rPr>
                <w:rFonts w:hint="eastAsia"/>
                <w:b/>
                <w:color w:val="000000"/>
                <w:sz w:val="21"/>
              </w:rPr>
              <w:t>2025</w:t>
            </w:r>
            <w:r w:rsidRPr="00670B1C">
              <w:rPr>
                <w:rFonts w:hint="eastAsia"/>
                <w:b/>
                <w:color w:val="000000"/>
                <w:sz w:val="21"/>
              </w:rPr>
              <w:t>年</w:t>
            </w:r>
            <w:r w:rsidRPr="00670B1C">
              <w:rPr>
                <w:rFonts w:hint="eastAsia"/>
                <w:b/>
                <w:color w:val="000000"/>
                <w:sz w:val="21"/>
              </w:rPr>
              <w:br/>
            </w:r>
            <w:r w:rsidRPr="00670B1C">
              <w:rPr>
                <w:rFonts w:hint="eastAsia"/>
                <w:b/>
                <w:color w:val="000000"/>
                <w:sz w:val="21"/>
              </w:rPr>
              <w:t>归母净利润</w:t>
            </w:r>
          </w:p>
        </w:tc>
      </w:tr>
      <w:tr w:rsidR="004A0C46" w:rsidRPr="00670B1C" w14:paraId="38A20D9F" w14:textId="77777777" w:rsidTr="00670B1C">
        <w:trPr>
          <w:cantSplit/>
          <w:trHeight w:val="397"/>
          <w:jc w:val="center"/>
        </w:trPr>
        <w:tc>
          <w:tcPr>
            <w:tcW w:w="702" w:type="pct"/>
            <w:tcBorders>
              <w:top w:val="single" w:sz="4" w:space="0" w:color="010000"/>
            </w:tcBorders>
            <w:vAlign w:val="center"/>
          </w:tcPr>
          <w:p w14:paraId="540390FE" w14:textId="77777777" w:rsidR="004A0C46" w:rsidRPr="00670B1C" w:rsidRDefault="00000000" w:rsidP="00670B1C">
            <w:pPr>
              <w:jc w:val="left"/>
              <w:rPr>
                <w:rFonts w:hint="eastAsia"/>
                <w:color w:val="000000"/>
                <w:sz w:val="21"/>
              </w:rPr>
            </w:pPr>
            <w:r w:rsidRPr="00670B1C">
              <w:rPr>
                <w:rFonts w:hint="eastAsia"/>
                <w:color w:val="000000"/>
                <w:sz w:val="21"/>
              </w:rPr>
              <w:t>海博思创</w:t>
            </w:r>
          </w:p>
        </w:tc>
        <w:tc>
          <w:tcPr>
            <w:tcW w:w="1020" w:type="pct"/>
            <w:tcBorders>
              <w:top w:val="single" w:sz="4" w:space="0" w:color="010000"/>
            </w:tcBorders>
            <w:vAlign w:val="center"/>
          </w:tcPr>
          <w:p w14:paraId="27DE40B5" w14:textId="77777777" w:rsidR="004A0C46" w:rsidRPr="00670B1C" w:rsidRDefault="00000000" w:rsidP="00670B1C">
            <w:pPr>
              <w:jc w:val="left"/>
              <w:rPr>
                <w:rFonts w:hint="eastAsia"/>
                <w:color w:val="000000"/>
                <w:sz w:val="21"/>
              </w:rPr>
            </w:pPr>
            <w:r w:rsidRPr="00670B1C">
              <w:rPr>
                <w:rFonts w:hint="eastAsia"/>
                <w:color w:val="000000"/>
                <w:sz w:val="21"/>
              </w:rPr>
              <w:t>2025</w:t>
            </w:r>
            <w:r w:rsidRPr="00670B1C">
              <w:rPr>
                <w:rFonts w:hint="eastAsia"/>
                <w:color w:val="000000"/>
                <w:sz w:val="21"/>
              </w:rPr>
              <w:t>年</w:t>
            </w:r>
            <w:r w:rsidRPr="00670B1C">
              <w:rPr>
                <w:rFonts w:hint="eastAsia"/>
                <w:color w:val="000000"/>
                <w:sz w:val="21"/>
              </w:rPr>
              <w:t>1</w:t>
            </w:r>
            <w:r w:rsidRPr="00670B1C">
              <w:rPr>
                <w:rFonts w:hint="eastAsia"/>
                <w:color w:val="000000"/>
                <w:sz w:val="21"/>
              </w:rPr>
              <w:t>月</w:t>
            </w:r>
            <w:r w:rsidRPr="00670B1C">
              <w:rPr>
                <w:rFonts w:hint="eastAsia"/>
                <w:color w:val="000000"/>
                <w:sz w:val="21"/>
              </w:rPr>
              <w:t>27</w:t>
            </w:r>
            <w:r w:rsidRPr="00670B1C">
              <w:rPr>
                <w:rFonts w:hint="eastAsia"/>
                <w:color w:val="000000"/>
                <w:sz w:val="21"/>
              </w:rPr>
              <w:t>日在上交所科创板上市，证券代码</w:t>
            </w:r>
            <w:r w:rsidRPr="00670B1C">
              <w:rPr>
                <w:rFonts w:hint="eastAsia"/>
                <w:color w:val="000000"/>
                <w:sz w:val="21"/>
              </w:rPr>
              <w:t>688411</w:t>
            </w:r>
            <w:r w:rsidRPr="00670B1C">
              <w:rPr>
                <w:rFonts w:hint="eastAsia"/>
                <w:color w:val="000000"/>
                <w:sz w:val="21"/>
              </w:rPr>
              <w:t>。</w:t>
            </w:r>
          </w:p>
        </w:tc>
        <w:tc>
          <w:tcPr>
            <w:tcW w:w="959" w:type="pct"/>
            <w:tcBorders>
              <w:top w:val="single" w:sz="4" w:space="0" w:color="010000"/>
            </w:tcBorders>
            <w:vAlign w:val="center"/>
          </w:tcPr>
          <w:p w14:paraId="146530D4" w14:textId="77777777" w:rsidR="004A0C46" w:rsidRPr="00670B1C" w:rsidRDefault="00000000" w:rsidP="00670B1C">
            <w:pPr>
              <w:jc w:val="left"/>
              <w:rPr>
                <w:rFonts w:hint="eastAsia"/>
                <w:color w:val="000000"/>
                <w:sz w:val="21"/>
              </w:rPr>
            </w:pPr>
            <w:r w:rsidRPr="00670B1C">
              <w:rPr>
                <w:rFonts w:hint="eastAsia"/>
                <w:color w:val="000000"/>
                <w:sz w:val="21"/>
              </w:rPr>
              <w:t>以大型电化学储能系统集成为核心，向发电侧、电网侧和用户侧客户提供储能系统产品及一站式解决方案。</w:t>
            </w:r>
          </w:p>
        </w:tc>
        <w:tc>
          <w:tcPr>
            <w:tcW w:w="1027" w:type="pct"/>
            <w:tcBorders>
              <w:top w:val="single" w:sz="4" w:space="0" w:color="010000"/>
            </w:tcBorders>
            <w:vAlign w:val="center"/>
          </w:tcPr>
          <w:p w14:paraId="090EFD07" w14:textId="77777777" w:rsidR="004A0C46" w:rsidRPr="00670B1C" w:rsidRDefault="00000000" w:rsidP="00670B1C">
            <w:pPr>
              <w:jc w:val="left"/>
              <w:rPr>
                <w:rFonts w:hint="eastAsia"/>
                <w:color w:val="000000"/>
                <w:sz w:val="21"/>
              </w:rPr>
            </w:pPr>
            <w:r w:rsidRPr="00670B1C">
              <w:rPr>
                <w:rFonts w:hint="eastAsia"/>
                <w:color w:val="000000"/>
                <w:sz w:val="21"/>
              </w:rPr>
              <w:t>按</w:t>
            </w:r>
            <w:r w:rsidRPr="00670B1C">
              <w:rPr>
                <w:rFonts w:hint="eastAsia"/>
                <w:color w:val="000000"/>
                <w:sz w:val="21"/>
              </w:rPr>
              <w:t>2026</w:t>
            </w:r>
            <w:r w:rsidRPr="00670B1C">
              <w:rPr>
                <w:rFonts w:hint="eastAsia"/>
                <w:color w:val="000000"/>
                <w:sz w:val="21"/>
              </w:rPr>
              <w:t>年</w:t>
            </w:r>
            <w:r w:rsidRPr="00670B1C">
              <w:rPr>
                <w:rFonts w:hint="eastAsia"/>
                <w:color w:val="000000"/>
                <w:sz w:val="21"/>
              </w:rPr>
              <w:t>8</w:t>
            </w:r>
            <w:r w:rsidRPr="00670B1C">
              <w:rPr>
                <w:rFonts w:hint="eastAsia"/>
                <w:color w:val="000000"/>
                <w:sz w:val="21"/>
              </w:rPr>
              <w:t>月</w:t>
            </w:r>
            <w:r w:rsidRPr="00670B1C">
              <w:rPr>
                <w:rFonts w:hint="eastAsia"/>
                <w:color w:val="000000"/>
                <w:sz w:val="21"/>
              </w:rPr>
              <w:t>5</w:t>
            </w:r>
            <w:r w:rsidRPr="00670B1C">
              <w:rPr>
                <w:rFonts w:hint="eastAsia"/>
                <w:color w:val="000000"/>
                <w:sz w:val="21"/>
              </w:rPr>
              <w:t>日收盘价</w:t>
            </w:r>
            <w:r w:rsidRPr="00670B1C">
              <w:rPr>
                <w:rFonts w:hint="eastAsia"/>
                <w:color w:val="000000"/>
                <w:sz w:val="21"/>
              </w:rPr>
              <w:t>212.30</w:t>
            </w:r>
            <w:r w:rsidRPr="00670B1C">
              <w:rPr>
                <w:rFonts w:hint="eastAsia"/>
                <w:color w:val="000000"/>
                <w:sz w:val="21"/>
              </w:rPr>
              <w:t>元及总股本</w:t>
            </w:r>
            <w:r w:rsidRPr="00670B1C">
              <w:rPr>
                <w:rFonts w:hint="eastAsia"/>
                <w:color w:val="000000"/>
                <w:sz w:val="21"/>
              </w:rPr>
              <w:t>182,454,836</w:t>
            </w:r>
            <w:r w:rsidRPr="00670B1C">
              <w:rPr>
                <w:rFonts w:hint="eastAsia"/>
                <w:color w:val="000000"/>
                <w:sz w:val="21"/>
              </w:rPr>
              <w:t>股测算，市值约</w:t>
            </w:r>
            <w:r w:rsidRPr="00670B1C">
              <w:rPr>
                <w:rFonts w:hint="eastAsia"/>
                <w:color w:val="000000"/>
                <w:sz w:val="21"/>
              </w:rPr>
              <w:t>387.35</w:t>
            </w:r>
            <w:r w:rsidRPr="00670B1C">
              <w:rPr>
                <w:rFonts w:hint="eastAsia"/>
                <w:color w:val="000000"/>
                <w:sz w:val="21"/>
              </w:rPr>
              <w:t>亿元。</w:t>
            </w:r>
          </w:p>
        </w:tc>
        <w:tc>
          <w:tcPr>
            <w:tcW w:w="636" w:type="pct"/>
            <w:tcBorders>
              <w:top w:val="single" w:sz="4" w:space="0" w:color="010000"/>
            </w:tcBorders>
            <w:vAlign w:val="center"/>
          </w:tcPr>
          <w:p w14:paraId="1F0D9803" w14:textId="77777777" w:rsidR="004A0C46" w:rsidRPr="00670B1C" w:rsidRDefault="00000000" w:rsidP="00670B1C">
            <w:pPr>
              <w:jc w:val="left"/>
              <w:rPr>
                <w:rFonts w:hint="eastAsia"/>
                <w:color w:val="000000"/>
                <w:sz w:val="21"/>
              </w:rPr>
            </w:pPr>
            <w:r w:rsidRPr="00670B1C">
              <w:rPr>
                <w:rFonts w:hint="eastAsia"/>
                <w:color w:val="000000"/>
                <w:sz w:val="21"/>
              </w:rPr>
              <w:t>116.12</w:t>
            </w:r>
            <w:r w:rsidRPr="00670B1C">
              <w:rPr>
                <w:rFonts w:hint="eastAsia"/>
                <w:color w:val="000000"/>
                <w:sz w:val="21"/>
              </w:rPr>
              <w:t>亿元</w:t>
            </w:r>
          </w:p>
        </w:tc>
        <w:tc>
          <w:tcPr>
            <w:tcW w:w="656" w:type="pct"/>
            <w:tcBorders>
              <w:top w:val="single" w:sz="4" w:space="0" w:color="010000"/>
            </w:tcBorders>
            <w:vAlign w:val="center"/>
          </w:tcPr>
          <w:p w14:paraId="678D73D8" w14:textId="77777777" w:rsidR="004A0C46" w:rsidRPr="00670B1C" w:rsidRDefault="00000000" w:rsidP="00670B1C">
            <w:pPr>
              <w:jc w:val="left"/>
              <w:rPr>
                <w:rFonts w:hint="eastAsia"/>
                <w:color w:val="000000"/>
                <w:sz w:val="21"/>
              </w:rPr>
            </w:pPr>
            <w:r w:rsidRPr="00670B1C">
              <w:rPr>
                <w:rFonts w:hint="eastAsia"/>
                <w:color w:val="000000"/>
                <w:sz w:val="21"/>
              </w:rPr>
              <w:t>9.51</w:t>
            </w:r>
            <w:r w:rsidRPr="00670B1C">
              <w:rPr>
                <w:rFonts w:hint="eastAsia"/>
                <w:color w:val="000000"/>
                <w:sz w:val="21"/>
              </w:rPr>
              <w:t>亿元</w:t>
            </w:r>
          </w:p>
        </w:tc>
      </w:tr>
      <w:tr w:rsidR="004A0C46" w:rsidRPr="00670B1C" w14:paraId="4C386412" w14:textId="77777777" w:rsidTr="00670B1C">
        <w:trPr>
          <w:cantSplit/>
          <w:trHeight w:val="397"/>
          <w:jc w:val="center"/>
        </w:trPr>
        <w:tc>
          <w:tcPr>
            <w:tcW w:w="702" w:type="pct"/>
            <w:vAlign w:val="center"/>
          </w:tcPr>
          <w:p w14:paraId="3BF152AC" w14:textId="77777777" w:rsidR="004A0C46" w:rsidRPr="00670B1C" w:rsidRDefault="00000000" w:rsidP="00670B1C">
            <w:pPr>
              <w:jc w:val="left"/>
              <w:rPr>
                <w:rFonts w:hint="eastAsia"/>
                <w:color w:val="000000"/>
                <w:sz w:val="21"/>
              </w:rPr>
            </w:pPr>
            <w:r w:rsidRPr="00670B1C">
              <w:rPr>
                <w:rFonts w:hint="eastAsia"/>
                <w:color w:val="000000"/>
                <w:sz w:val="21"/>
              </w:rPr>
              <w:t>双登股份</w:t>
            </w:r>
          </w:p>
        </w:tc>
        <w:tc>
          <w:tcPr>
            <w:tcW w:w="1020" w:type="pct"/>
            <w:vAlign w:val="center"/>
          </w:tcPr>
          <w:p w14:paraId="33FD5605" w14:textId="77777777" w:rsidR="004A0C46" w:rsidRPr="00670B1C" w:rsidRDefault="00000000" w:rsidP="00670B1C">
            <w:pPr>
              <w:jc w:val="left"/>
              <w:rPr>
                <w:rFonts w:hint="eastAsia"/>
                <w:color w:val="000000"/>
                <w:sz w:val="21"/>
              </w:rPr>
            </w:pPr>
            <w:r w:rsidRPr="00670B1C">
              <w:rPr>
                <w:rFonts w:hint="eastAsia"/>
                <w:color w:val="000000"/>
                <w:sz w:val="21"/>
              </w:rPr>
              <w:t>2025</w:t>
            </w:r>
            <w:r w:rsidRPr="00670B1C">
              <w:rPr>
                <w:rFonts w:hint="eastAsia"/>
                <w:color w:val="000000"/>
                <w:sz w:val="21"/>
              </w:rPr>
              <w:t>年</w:t>
            </w:r>
            <w:r w:rsidRPr="00670B1C">
              <w:rPr>
                <w:rFonts w:hint="eastAsia"/>
                <w:color w:val="000000"/>
                <w:sz w:val="21"/>
              </w:rPr>
              <w:t>8</w:t>
            </w:r>
            <w:r w:rsidRPr="00670B1C">
              <w:rPr>
                <w:rFonts w:hint="eastAsia"/>
                <w:color w:val="000000"/>
                <w:sz w:val="21"/>
              </w:rPr>
              <w:t>月</w:t>
            </w:r>
            <w:r w:rsidRPr="00670B1C">
              <w:rPr>
                <w:rFonts w:hint="eastAsia"/>
                <w:color w:val="000000"/>
                <w:sz w:val="21"/>
              </w:rPr>
              <w:t>26</w:t>
            </w:r>
            <w:r w:rsidRPr="00670B1C">
              <w:rPr>
                <w:rFonts w:hint="eastAsia"/>
                <w:color w:val="000000"/>
                <w:sz w:val="21"/>
              </w:rPr>
              <w:t>日在港交所主板上市，股份代号</w:t>
            </w:r>
            <w:r w:rsidRPr="00670B1C">
              <w:rPr>
                <w:rFonts w:hint="eastAsia"/>
                <w:color w:val="000000"/>
                <w:sz w:val="21"/>
              </w:rPr>
              <w:t>06960</w:t>
            </w:r>
            <w:r w:rsidRPr="00670B1C">
              <w:rPr>
                <w:rFonts w:hint="eastAsia"/>
                <w:color w:val="000000"/>
                <w:sz w:val="21"/>
              </w:rPr>
              <w:t>；</w:t>
            </w:r>
            <w:r w:rsidRPr="00670B1C">
              <w:rPr>
                <w:rFonts w:hint="eastAsia"/>
                <w:color w:val="000000"/>
                <w:sz w:val="21"/>
              </w:rPr>
              <w:t>2026</w:t>
            </w:r>
            <w:r w:rsidRPr="00670B1C">
              <w:rPr>
                <w:rFonts w:hint="eastAsia"/>
                <w:color w:val="000000"/>
                <w:sz w:val="21"/>
              </w:rPr>
              <w:t>年</w:t>
            </w:r>
            <w:r w:rsidRPr="00670B1C">
              <w:rPr>
                <w:rFonts w:hint="eastAsia"/>
                <w:color w:val="000000"/>
                <w:sz w:val="21"/>
              </w:rPr>
              <w:t>5</w:t>
            </w:r>
            <w:r w:rsidRPr="00670B1C">
              <w:rPr>
                <w:rFonts w:hint="eastAsia"/>
                <w:color w:val="000000"/>
                <w:sz w:val="21"/>
              </w:rPr>
              <w:t>月完成</w:t>
            </w:r>
            <w:r w:rsidRPr="00670B1C">
              <w:rPr>
                <w:rFonts w:hint="eastAsia"/>
                <w:color w:val="000000"/>
                <w:sz w:val="21"/>
              </w:rPr>
              <w:t>191,773,300</w:t>
            </w:r>
            <w:r w:rsidRPr="00670B1C">
              <w:rPr>
                <w:rFonts w:hint="eastAsia"/>
                <w:color w:val="000000"/>
                <w:sz w:val="21"/>
              </w:rPr>
              <w:t>股非上市股份的</w:t>
            </w:r>
            <w:r w:rsidRPr="00670B1C">
              <w:rPr>
                <w:rFonts w:hint="eastAsia"/>
                <w:color w:val="000000"/>
                <w:sz w:val="21"/>
              </w:rPr>
              <w:t>H</w:t>
            </w:r>
            <w:r w:rsidRPr="00670B1C">
              <w:rPr>
                <w:rFonts w:hint="eastAsia"/>
                <w:color w:val="000000"/>
                <w:sz w:val="21"/>
              </w:rPr>
              <w:t>股全流通转换，转换后仍有</w:t>
            </w:r>
            <w:r w:rsidRPr="00670B1C">
              <w:rPr>
                <w:rFonts w:hint="eastAsia"/>
                <w:color w:val="000000"/>
                <w:sz w:val="21"/>
              </w:rPr>
              <w:t>83,000,000</w:t>
            </w:r>
            <w:r w:rsidRPr="00670B1C">
              <w:rPr>
                <w:rFonts w:hint="eastAsia"/>
                <w:color w:val="000000"/>
                <w:sz w:val="21"/>
              </w:rPr>
              <w:t>股非上市股份。</w:t>
            </w:r>
          </w:p>
        </w:tc>
        <w:tc>
          <w:tcPr>
            <w:tcW w:w="959" w:type="pct"/>
            <w:vAlign w:val="center"/>
          </w:tcPr>
          <w:p w14:paraId="18D9C6E0" w14:textId="77777777" w:rsidR="004A0C46" w:rsidRPr="00670B1C" w:rsidRDefault="00000000" w:rsidP="00670B1C">
            <w:pPr>
              <w:jc w:val="left"/>
              <w:rPr>
                <w:rFonts w:hint="eastAsia"/>
                <w:color w:val="000000"/>
                <w:sz w:val="21"/>
              </w:rPr>
            </w:pPr>
            <w:r w:rsidRPr="00670B1C">
              <w:rPr>
                <w:rFonts w:hint="eastAsia"/>
                <w:color w:val="000000"/>
                <w:sz w:val="21"/>
              </w:rPr>
              <w:t>主要向通信基站、数据中心和电力储能客户提供能源存储产品及解决方案，产品覆盖铅蓄电池和锂离子电池等路线。</w:t>
            </w:r>
          </w:p>
        </w:tc>
        <w:tc>
          <w:tcPr>
            <w:tcW w:w="1027" w:type="pct"/>
            <w:vAlign w:val="center"/>
          </w:tcPr>
          <w:p w14:paraId="75AF36AB" w14:textId="77777777" w:rsidR="004A0C46" w:rsidRPr="00670B1C" w:rsidRDefault="00000000" w:rsidP="00670B1C">
            <w:pPr>
              <w:jc w:val="left"/>
              <w:rPr>
                <w:rFonts w:hint="eastAsia"/>
                <w:color w:val="000000"/>
                <w:sz w:val="21"/>
              </w:rPr>
            </w:pPr>
            <w:r w:rsidRPr="00670B1C">
              <w:rPr>
                <w:rFonts w:hint="eastAsia"/>
                <w:color w:val="000000"/>
                <w:sz w:val="21"/>
              </w:rPr>
              <w:t>按</w:t>
            </w:r>
            <w:r w:rsidRPr="00670B1C">
              <w:rPr>
                <w:rFonts w:hint="eastAsia"/>
                <w:color w:val="000000"/>
                <w:sz w:val="21"/>
              </w:rPr>
              <w:t>2026</w:t>
            </w:r>
            <w:r w:rsidRPr="00670B1C">
              <w:rPr>
                <w:rFonts w:hint="eastAsia"/>
                <w:color w:val="000000"/>
                <w:sz w:val="21"/>
              </w:rPr>
              <w:t>年</w:t>
            </w:r>
            <w:r w:rsidRPr="00670B1C">
              <w:rPr>
                <w:rFonts w:hint="eastAsia"/>
                <w:color w:val="000000"/>
                <w:sz w:val="21"/>
              </w:rPr>
              <w:t>8</w:t>
            </w:r>
            <w:r w:rsidRPr="00670B1C">
              <w:rPr>
                <w:rFonts w:hint="eastAsia"/>
                <w:color w:val="000000"/>
                <w:sz w:val="21"/>
              </w:rPr>
              <w:t>月</w:t>
            </w:r>
            <w:r w:rsidRPr="00670B1C">
              <w:rPr>
                <w:rFonts w:hint="eastAsia"/>
                <w:color w:val="000000"/>
                <w:sz w:val="21"/>
              </w:rPr>
              <w:t>5</w:t>
            </w:r>
            <w:r w:rsidRPr="00670B1C">
              <w:rPr>
                <w:rFonts w:hint="eastAsia"/>
                <w:color w:val="000000"/>
                <w:sz w:val="21"/>
              </w:rPr>
              <w:t>日</w:t>
            </w:r>
            <w:r w:rsidRPr="00670B1C">
              <w:rPr>
                <w:rFonts w:hint="eastAsia"/>
                <w:color w:val="000000"/>
                <w:sz w:val="21"/>
              </w:rPr>
              <w:t>H</w:t>
            </w:r>
            <w:r w:rsidRPr="00670B1C">
              <w:rPr>
                <w:rFonts w:hint="eastAsia"/>
                <w:color w:val="000000"/>
                <w:sz w:val="21"/>
              </w:rPr>
              <w:t>股收盘价</w:t>
            </w:r>
            <w:r w:rsidRPr="00670B1C">
              <w:rPr>
                <w:rFonts w:hint="eastAsia"/>
                <w:color w:val="000000"/>
                <w:sz w:val="21"/>
              </w:rPr>
              <w:t>7.10</w:t>
            </w:r>
            <w:r w:rsidRPr="00670B1C">
              <w:rPr>
                <w:rFonts w:hint="eastAsia"/>
                <w:color w:val="000000"/>
                <w:sz w:val="21"/>
              </w:rPr>
              <w:t>港元测算，流通</w:t>
            </w:r>
            <w:r w:rsidRPr="00670B1C">
              <w:rPr>
                <w:rFonts w:hint="eastAsia"/>
                <w:color w:val="000000"/>
                <w:sz w:val="21"/>
              </w:rPr>
              <w:t>H</w:t>
            </w:r>
            <w:r w:rsidRPr="00670B1C">
              <w:rPr>
                <w:rFonts w:hint="eastAsia"/>
                <w:color w:val="000000"/>
                <w:sz w:val="21"/>
              </w:rPr>
              <w:t>股市值约</w:t>
            </w:r>
            <w:r w:rsidRPr="00670B1C">
              <w:rPr>
                <w:rFonts w:hint="eastAsia"/>
                <w:color w:val="000000"/>
                <w:sz w:val="21"/>
              </w:rPr>
              <w:t>24.33</w:t>
            </w:r>
            <w:r w:rsidRPr="00670B1C">
              <w:rPr>
                <w:rFonts w:hint="eastAsia"/>
                <w:color w:val="000000"/>
                <w:sz w:val="21"/>
              </w:rPr>
              <w:t>亿港元；若按同价对应全部已发行股份，权益市值约</w:t>
            </w:r>
            <w:r w:rsidRPr="00670B1C">
              <w:rPr>
                <w:rFonts w:hint="eastAsia"/>
                <w:color w:val="000000"/>
                <w:sz w:val="21"/>
              </w:rPr>
              <w:t>30.22</w:t>
            </w:r>
            <w:r w:rsidRPr="00670B1C">
              <w:rPr>
                <w:rFonts w:hint="eastAsia"/>
                <w:color w:val="000000"/>
                <w:sz w:val="21"/>
              </w:rPr>
              <w:t>亿港元。</w:t>
            </w:r>
          </w:p>
        </w:tc>
        <w:tc>
          <w:tcPr>
            <w:tcW w:w="636" w:type="pct"/>
            <w:vAlign w:val="center"/>
          </w:tcPr>
          <w:p w14:paraId="5DD14045" w14:textId="77777777" w:rsidR="004A0C46" w:rsidRPr="00670B1C" w:rsidRDefault="00000000" w:rsidP="00670B1C">
            <w:pPr>
              <w:jc w:val="left"/>
              <w:rPr>
                <w:rFonts w:hint="eastAsia"/>
                <w:color w:val="000000"/>
                <w:sz w:val="21"/>
              </w:rPr>
            </w:pPr>
            <w:r w:rsidRPr="00670B1C">
              <w:rPr>
                <w:rFonts w:hint="eastAsia"/>
                <w:color w:val="000000"/>
                <w:sz w:val="21"/>
              </w:rPr>
              <w:t>50.83</w:t>
            </w:r>
            <w:r w:rsidRPr="00670B1C">
              <w:rPr>
                <w:rFonts w:hint="eastAsia"/>
                <w:color w:val="000000"/>
                <w:sz w:val="21"/>
              </w:rPr>
              <w:t>亿元</w:t>
            </w:r>
          </w:p>
        </w:tc>
        <w:tc>
          <w:tcPr>
            <w:tcW w:w="656" w:type="pct"/>
            <w:vAlign w:val="center"/>
          </w:tcPr>
          <w:p w14:paraId="3F9B8489" w14:textId="77777777" w:rsidR="004A0C46" w:rsidRPr="00670B1C" w:rsidRDefault="00000000" w:rsidP="00670B1C">
            <w:pPr>
              <w:jc w:val="left"/>
              <w:rPr>
                <w:rFonts w:hint="eastAsia"/>
                <w:color w:val="000000"/>
                <w:sz w:val="21"/>
              </w:rPr>
            </w:pPr>
            <w:r w:rsidRPr="00670B1C">
              <w:rPr>
                <w:rFonts w:hint="eastAsia"/>
                <w:color w:val="000000"/>
                <w:sz w:val="21"/>
              </w:rPr>
              <w:t>2.56</w:t>
            </w:r>
            <w:r w:rsidRPr="00670B1C">
              <w:rPr>
                <w:rFonts w:hint="eastAsia"/>
                <w:color w:val="000000"/>
                <w:sz w:val="21"/>
              </w:rPr>
              <w:t>亿元</w:t>
            </w:r>
          </w:p>
        </w:tc>
      </w:tr>
      <w:tr w:rsidR="004A0C46" w:rsidRPr="00670B1C" w14:paraId="5DCBB55C" w14:textId="77777777" w:rsidTr="00670B1C">
        <w:trPr>
          <w:cantSplit/>
          <w:trHeight w:val="397"/>
          <w:jc w:val="center"/>
        </w:trPr>
        <w:tc>
          <w:tcPr>
            <w:tcW w:w="702" w:type="pct"/>
            <w:vAlign w:val="center"/>
          </w:tcPr>
          <w:p w14:paraId="2A63DA63" w14:textId="77777777" w:rsidR="004A0C46" w:rsidRPr="00670B1C" w:rsidRDefault="00000000" w:rsidP="00670B1C">
            <w:pPr>
              <w:jc w:val="left"/>
              <w:rPr>
                <w:rFonts w:hint="eastAsia"/>
                <w:color w:val="000000"/>
                <w:sz w:val="21"/>
              </w:rPr>
            </w:pPr>
            <w:r w:rsidRPr="00670B1C">
              <w:rPr>
                <w:rFonts w:hint="eastAsia"/>
                <w:color w:val="000000"/>
                <w:sz w:val="21"/>
              </w:rPr>
              <w:t>果下科技</w:t>
            </w:r>
          </w:p>
        </w:tc>
        <w:tc>
          <w:tcPr>
            <w:tcW w:w="1020" w:type="pct"/>
            <w:vAlign w:val="center"/>
          </w:tcPr>
          <w:p w14:paraId="53BDC541" w14:textId="77777777" w:rsidR="004A0C46" w:rsidRPr="00670B1C" w:rsidRDefault="00000000" w:rsidP="00670B1C">
            <w:pPr>
              <w:jc w:val="left"/>
              <w:rPr>
                <w:rFonts w:hint="eastAsia"/>
                <w:color w:val="000000"/>
                <w:sz w:val="21"/>
              </w:rPr>
            </w:pPr>
            <w:r w:rsidRPr="00670B1C">
              <w:rPr>
                <w:rFonts w:hint="eastAsia"/>
                <w:color w:val="000000"/>
                <w:sz w:val="21"/>
              </w:rPr>
              <w:t>2025</w:t>
            </w:r>
            <w:r w:rsidRPr="00670B1C">
              <w:rPr>
                <w:rFonts w:hint="eastAsia"/>
                <w:color w:val="000000"/>
                <w:sz w:val="21"/>
              </w:rPr>
              <w:t>年</w:t>
            </w:r>
            <w:r w:rsidRPr="00670B1C">
              <w:rPr>
                <w:rFonts w:hint="eastAsia"/>
                <w:color w:val="000000"/>
                <w:sz w:val="21"/>
              </w:rPr>
              <w:t>12</w:t>
            </w:r>
            <w:r w:rsidRPr="00670B1C">
              <w:rPr>
                <w:rFonts w:hint="eastAsia"/>
                <w:color w:val="000000"/>
                <w:sz w:val="21"/>
              </w:rPr>
              <w:t>月</w:t>
            </w:r>
            <w:r w:rsidRPr="00670B1C">
              <w:rPr>
                <w:rFonts w:hint="eastAsia"/>
                <w:color w:val="000000"/>
                <w:sz w:val="21"/>
              </w:rPr>
              <w:t>16</w:t>
            </w:r>
            <w:r w:rsidRPr="00670B1C">
              <w:rPr>
                <w:rFonts w:hint="eastAsia"/>
                <w:color w:val="000000"/>
                <w:sz w:val="21"/>
              </w:rPr>
              <w:t>日在港交所主板上市，股份代号</w:t>
            </w:r>
            <w:r w:rsidRPr="00670B1C">
              <w:rPr>
                <w:rFonts w:hint="eastAsia"/>
                <w:color w:val="000000"/>
                <w:sz w:val="21"/>
              </w:rPr>
              <w:t>02655</w:t>
            </w:r>
            <w:r w:rsidRPr="00670B1C">
              <w:rPr>
                <w:rFonts w:hint="eastAsia"/>
                <w:color w:val="000000"/>
                <w:sz w:val="21"/>
              </w:rPr>
              <w:t>；</w:t>
            </w:r>
            <w:r w:rsidRPr="00670B1C">
              <w:rPr>
                <w:rFonts w:hint="eastAsia"/>
                <w:color w:val="000000"/>
                <w:sz w:val="21"/>
              </w:rPr>
              <w:t>2026</w:t>
            </w:r>
            <w:r w:rsidRPr="00670B1C">
              <w:rPr>
                <w:rFonts w:hint="eastAsia"/>
                <w:color w:val="000000"/>
                <w:sz w:val="21"/>
              </w:rPr>
              <w:t>年</w:t>
            </w:r>
            <w:r w:rsidRPr="00670B1C">
              <w:rPr>
                <w:rFonts w:hint="eastAsia"/>
                <w:color w:val="000000"/>
                <w:sz w:val="21"/>
              </w:rPr>
              <w:t>1</w:t>
            </w:r>
            <w:r w:rsidRPr="00670B1C">
              <w:rPr>
                <w:rFonts w:hint="eastAsia"/>
                <w:color w:val="000000"/>
                <w:sz w:val="21"/>
              </w:rPr>
              <w:t>月超额配股权获全额行使。</w:t>
            </w:r>
          </w:p>
        </w:tc>
        <w:tc>
          <w:tcPr>
            <w:tcW w:w="959" w:type="pct"/>
            <w:vAlign w:val="center"/>
          </w:tcPr>
          <w:p w14:paraId="32453EC8" w14:textId="77777777" w:rsidR="004A0C46" w:rsidRPr="00670B1C" w:rsidRDefault="00000000" w:rsidP="00670B1C">
            <w:pPr>
              <w:jc w:val="left"/>
              <w:rPr>
                <w:rFonts w:hint="eastAsia"/>
                <w:color w:val="000000"/>
                <w:sz w:val="21"/>
              </w:rPr>
            </w:pPr>
            <w:r w:rsidRPr="00670B1C">
              <w:rPr>
                <w:rFonts w:hint="eastAsia"/>
                <w:color w:val="000000"/>
                <w:sz w:val="21"/>
              </w:rPr>
              <w:t>主要提供大型、工商业及户用储能系统产品与解决方案，同时开展储能项目</w:t>
            </w:r>
            <w:r w:rsidRPr="00670B1C">
              <w:rPr>
                <w:rFonts w:hint="eastAsia"/>
                <w:color w:val="000000"/>
                <w:sz w:val="21"/>
              </w:rPr>
              <w:t>EPC</w:t>
            </w:r>
            <w:r w:rsidRPr="00670B1C">
              <w:rPr>
                <w:rFonts w:hint="eastAsia"/>
                <w:color w:val="000000"/>
                <w:sz w:val="21"/>
              </w:rPr>
              <w:t>服务。</w:t>
            </w:r>
          </w:p>
        </w:tc>
        <w:tc>
          <w:tcPr>
            <w:tcW w:w="1027" w:type="pct"/>
            <w:vAlign w:val="center"/>
          </w:tcPr>
          <w:p w14:paraId="25865546" w14:textId="77777777" w:rsidR="004A0C46" w:rsidRPr="00670B1C" w:rsidRDefault="00000000" w:rsidP="00670B1C">
            <w:pPr>
              <w:jc w:val="left"/>
              <w:rPr>
                <w:rFonts w:hint="eastAsia"/>
                <w:color w:val="000000"/>
                <w:sz w:val="21"/>
              </w:rPr>
            </w:pPr>
            <w:r w:rsidRPr="00670B1C">
              <w:rPr>
                <w:rFonts w:hint="eastAsia"/>
                <w:color w:val="000000"/>
                <w:sz w:val="21"/>
              </w:rPr>
              <w:t>按</w:t>
            </w:r>
            <w:r w:rsidRPr="00670B1C">
              <w:rPr>
                <w:rFonts w:hint="eastAsia"/>
                <w:color w:val="000000"/>
                <w:sz w:val="21"/>
              </w:rPr>
              <w:t>2026</w:t>
            </w:r>
            <w:r w:rsidRPr="00670B1C">
              <w:rPr>
                <w:rFonts w:hint="eastAsia"/>
                <w:color w:val="000000"/>
                <w:sz w:val="21"/>
              </w:rPr>
              <w:t>年</w:t>
            </w:r>
            <w:r w:rsidRPr="00670B1C">
              <w:rPr>
                <w:rFonts w:hint="eastAsia"/>
                <w:color w:val="000000"/>
                <w:sz w:val="21"/>
              </w:rPr>
              <w:t>8</w:t>
            </w:r>
            <w:r w:rsidRPr="00670B1C">
              <w:rPr>
                <w:rFonts w:hint="eastAsia"/>
                <w:color w:val="000000"/>
                <w:sz w:val="21"/>
              </w:rPr>
              <w:t>月</w:t>
            </w:r>
            <w:r w:rsidRPr="00670B1C">
              <w:rPr>
                <w:rFonts w:hint="eastAsia"/>
                <w:color w:val="000000"/>
                <w:sz w:val="21"/>
              </w:rPr>
              <w:t>5</w:t>
            </w:r>
            <w:r w:rsidRPr="00670B1C">
              <w:rPr>
                <w:rFonts w:hint="eastAsia"/>
                <w:color w:val="000000"/>
                <w:sz w:val="21"/>
              </w:rPr>
              <w:t>日</w:t>
            </w:r>
            <w:r w:rsidRPr="00670B1C">
              <w:rPr>
                <w:rFonts w:hint="eastAsia"/>
                <w:color w:val="000000"/>
                <w:sz w:val="21"/>
              </w:rPr>
              <w:t>H</w:t>
            </w:r>
            <w:r w:rsidRPr="00670B1C">
              <w:rPr>
                <w:rFonts w:hint="eastAsia"/>
                <w:color w:val="000000"/>
                <w:sz w:val="21"/>
              </w:rPr>
              <w:t>股收盘价</w:t>
            </w:r>
            <w:r w:rsidRPr="00670B1C">
              <w:rPr>
                <w:rFonts w:hint="eastAsia"/>
                <w:color w:val="000000"/>
                <w:sz w:val="21"/>
              </w:rPr>
              <w:t>16.90</w:t>
            </w:r>
            <w:r w:rsidRPr="00670B1C">
              <w:rPr>
                <w:rFonts w:hint="eastAsia"/>
                <w:color w:val="000000"/>
                <w:sz w:val="21"/>
              </w:rPr>
              <w:t>港元测算，流通</w:t>
            </w:r>
            <w:r w:rsidRPr="00670B1C">
              <w:rPr>
                <w:rFonts w:hint="eastAsia"/>
                <w:color w:val="000000"/>
                <w:sz w:val="21"/>
              </w:rPr>
              <w:t>H</w:t>
            </w:r>
            <w:r w:rsidRPr="00670B1C">
              <w:rPr>
                <w:rFonts w:hint="eastAsia"/>
                <w:color w:val="000000"/>
                <w:sz w:val="21"/>
              </w:rPr>
              <w:t>股市值约</w:t>
            </w:r>
            <w:r w:rsidRPr="00670B1C">
              <w:rPr>
                <w:rFonts w:hint="eastAsia"/>
                <w:color w:val="000000"/>
                <w:sz w:val="21"/>
              </w:rPr>
              <w:t>66.70</w:t>
            </w:r>
            <w:r w:rsidRPr="00670B1C">
              <w:rPr>
                <w:rFonts w:hint="eastAsia"/>
                <w:color w:val="000000"/>
                <w:sz w:val="21"/>
              </w:rPr>
              <w:t>亿港元；若按同价对应全部已发行股份，权益市值约</w:t>
            </w:r>
            <w:r w:rsidRPr="00670B1C">
              <w:rPr>
                <w:rFonts w:hint="eastAsia"/>
                <w:color w:val="000000"/>
                <w:sz w:val="21"/>
              </w:rPr>
              <w:t>87.49</w:t>
            </w:r>
            <w:r w:rsidRPr="00670B1C">
              <w:rPr>
                <w:rFonts w:hint="eastAsia"/>
                <w:color w:val="000000"/>
                <w:sz w:val="21"/>
              </w:rPr>
              <w:t>亿港元。</w:t>
            </w:r>
          </w:p>
        </w:tc>
        <w:tc>
          <w:tcPr>
            <w:tcW w:w="636" w:type="pct"/>
            <w:vAlign w:val="center"/>
          </w:tcPr>
          <w:p w14:paraId="2D82375F" w14:textId="77777777" w:rsidR="004A0C46" w:rsidRPr="00670B1C" w:rsidRDefault="00000000" w:rsidP="00670B1C">
            <w:pPr>
              <w:jc w:val="left"/>
              <w:rPr>
                <w:rFonts w:hint="eastAsia"/>
                <w:color w:val="000000"/>
                <w:sz w:val="21"/>
              </w:rPr>
            </w:pPr>
            <w:r w:rsidRPr="00670B1C">
              <w:rPr>
                <w:rFonts w:hint="eastAsia"/>
                <w:color w:val="000000"/>
                <w:sz w:val="21"/>
              </w:rPr>
              <w:t>20.57</w:t>
            </w:r>
            <w:r w:rsidRPr="00670B1C">
              <w:rPr>
                <w:rFonts w:hint="eastAsia"/>
                <w:color w:val="000000"/>
                <w:sz w:val="21"/>
              </w:rPr>
              <w:t>亿元</w:t>
            </w:r>
          </w:p>
        </w:tc>
        <w:tc>
          <w:tcPr>
            <w:tcW w:w="656" w:type="pct"/>
            <w:vAlign w:val="center"/>
          </w:tcPr>
          <w:p w14:paraId="77930249" w14:textId="77777777" w:rsidR="004A0C46" w:rsidRPr="00670B1C" w:rsidRDefault="00000000" w:rsidP="00670B1C">
            <w:pPr>
              <w:jc w:val="left"/>
              <w:rPr>
                <w:rFonts w:hint="eastAsia"/>
                <w:color w:val="000000"/>
                <w:sz w:val="21"/>
              </w:rPr>
            </w:pPr>
            <w:r w:rsidRPr="00670B1C">
              <w:rPr>
                <w:rFonts w:hint="eastAsia"/>
                <w:color w:val="000000"/>
                <w:sz w:val="21"/>
              </w:rPr>
              <w:t>1.03</w:t>
            </w:r>
            <w:r w:rsidRPr="00670B1C">
              <w:rPr>
                <w:rFonts w:hint="eastAsia"/>
                <w:color w:val="000000"/>
                <w:sz w:val="21"/>
              </w:rPr>
              <w:t>亿元</w:t>
            </w:r>
          </w:p>
        </w:tc>
      </w:tr>
      <w:tr w:rsidR="004A0C46" w:rsidRPr="00670B1C" w14:paraId="722DAB0F" w14:textId="77777777" w:rsidTr="00670B1C">
        <w:trPr>
          <w:cantSplit/>
          <w:trHeight w:val="397"/>
          <w:jc w:val="center"/>
        </w:trPr>
        <w:tc>
          <w:tcPr>
            <w:tcW w:w="702" w:type="pct"/>
            <w:vAlign w:val="center"/>
          </w:tcPr>
          <w:p w14:paraId="6AF97A96" w14:textId="77777777" w:rsidR="004A0C46" w:rsidRPr="00670B1C" w:rsidRDefault="00000000" w:rsidP="00670B1C">
            <w:pPr>
              <w:jc w:val="left"/>
              <w:rPr>
                <w:rFonts w:hint="eastAsia"/>
                <w:color w:val="000000"/>
                <w:sz w:val="21"/>
              </w:rPr>
            </w:pPr>
            <w:r w:rsidRPr="00670B1C">
              <w:rPr>
                <w:rFonts w:hint="eastAsia"/>
                <w:color w:val="000000"/>
                <w:sz w:val="21"/>
              </w:rPr>
              <w:t>思格新能源</w:t>
            </w:r>
          </w:p>
        </w:tc>
        <w:tc>
          <w:tcPr>
            <w:tcW w:w="1020" w:type="pct"/>
            <w:vAlign w:val="center"/>
          </w:tcPr>
          <w:p w14:paraId="7FE0C978" w14:textId="77777777" w:rsidR="004A0C46" w:rsidRPr="00670B1C" w:rsidRDefault="00000000" w:rsidP="00670B1C">
            <w:pPr>
              <w:jc w:val="left"/>
              <w:rPr>
                <w:rFonts w:hint="eastAsia"/>
                <w:color w:val="000000"/>
                <w:sz w:val="21"/>
              </w:rPr>
            </w:pPr>
            <w:r w:rsidRPr="00670B1C">
              <w:rPr>
                <w:rFonts w:hint="eastAsia"/>
                <w:color w:val="000000"/>
                <w:sz w:val="21"/>
              </w:rPr>
              <w:t>2026</w:t>
            </w:r>
            <w:r w:rsidRPr="00670B1C">
              <w:rPr>
                <w:rFonts w:hint="eastAsia"/>
                <w:color w:val="000000"/>
                <w:sz w:val="21"/>
              </w:rPr>
              <w:t>年</w:t>
            </w:r>
            <w:r w:rsidRPr="00670B1C">
              <w:rPr>
                <w:rFonts w:hint="eastAsia"/>
                <w:color w:val="000000"/>
                <w:sz w:val="21"/>
              </w:rPr>
              <w:t>4</w:t>
            </w:r>
            <w:r w:rsidRPr="00670B1C">
              <w:rPr>
                <w:rFonts w:hint="eastAsia"/>
                <w:color w:val="000000"/>
                <w:sz w:val="21"/>
              </w:rPr>
              <w:t>月</w:t>
            </w:r>
            <w:r w:rsidRPr="00670B1C">
              <w:rPr>
                <w:rFonts w:hint="eastAsia"/>
                <w:color w:val="000000"/>
                <w:sz w:val="21"/>
              </w:rPr>
              <w:t>16</w:t>
            </w:r>
            <w:r w:rsidRPr="00670B1C">
              <w:rPr>
                <w:rFonts w:hint="eastAsia"/>
                <w:color w:val="000000"/>
                <w:sz w:val="21"/>
              </w:rPr>
              <w:t>日在港交所主板上市，股份代号</w:t>
            </w:r>
            <w:r w:rsidRPr="00670B1C">
              <w:rPr>
                <w:rFonts w:hint="eastAsia"/>
                <w:color w:val="000000"/>
                <w:sz w:val="21"/>
              </w:rPr>
              <w:t>06656</w:t>
            </w:r>
            <w:r w:rsidRPr="00670B1C">
              <w:rPr>
                <w:rFonts w:hint="eastAsia"/>
                <w:color w:val="000000"/>
                <w:sz w:val="21"/>
              </w:rPr>
              <w:t>；</w:t>
            </w:r>
            <w:r w:rsidRPr="00670B1C">
              <w:rPr>
                <w:rFonts w:hint="eastAsia"/>
                <w:color w:val="000000"/>
                <w:sz w:val="21"/>
              </w:rPr>
              <w:t>2026</w:t>
            </w:r>
            <w:r w:rsidRPr="00670B1C">
              <w:rPr>
                <w:rFonts w:hint="eastAsia"/>
                <w:color w:val="000000"/>
                <w:sz w:val="21"/>
              </w:rPr>
              <w:t>年</w:t>
            </w:r>
            <w:r w:rsidRPr="00670B1C">
              <w:rPr>
                <w:rFonts w:hint="eastAsia"/>
                <w:color w:val="000000"/>
                <w:sz w:val="21"/>
              </w:rPr>
              <w:t>5</w:t>
            </w:r>
            <w:r w:rsidRPr="00670B1C">
              <w:rPr>
                <w:rFonts w:hint="eastAsia"/>
                <w:color w:val="000000"/>
                <w:sz w:val="21"/>
              </w:rPr>
              <w:t>月超额配股权获全额行使。</w:t>
            </w:r>
          </w:p>
        </w:tc>
        <w:tc>
          <w:tcPr>
            <w:tcW w:w="959" w:type="pct"/>
            <w:vAlign w:val="center"/>
          </w:tcPr>
          <w:p w14:paraId="6D9DFFE5" w14:textId="77777777" w:rsidR="004A0C46" w:rsidRPr="00670B1C" w:rsidRDefault="00000000" w:rsidP="00670B1C">
            <w:pPr>
              <w:jc w:val="left"/>
              <w:rPr>
                <w:rFonts w:hint="eastAsia"/>
                <w:color w:val="000000"/>
                <w:sz w:val="21"/>
              </w:rPr>
            </w:pPr>
            <w:r w:rsidRPr="00670B1C">
              <w:rPr>
                <w:rFonts w:hint="eastAsia"/>
                <w:color w:val="000000"/>
                <w:sz w:val="21"/>
              </w:rPr>
              <w:t>围绕分布式光储应用提供</w:t>
            </w:r>
            <w:proofErr w:type="spellStart"/>
            <w:r w:rsidRPr="00670B1C">
              <w:rPr>
                <w:rFonts w:hint="eastAsia"/>
                <w:color w:val="000000"/>
                <w:sz w:val="21"/>
              </w:rPr>
              <w:t>SigenStor</w:t>
            </w:r>
            <w:proofErr w:type="spellEnd"/>
            <w:r w:rsidRPr="00670B1C">
              <w:rPr>
                <w:rFonts w:hint="eastAsia"/>
                <w:color w:val="000000"/>
                <w:sz w:val="21"/>
              </w:rPr>
              <w:t>一体化系统、智能能源网关及配套能源管理产品，主要服务户用和工商业场景；截至</w:t>
            </w:r>
            <w:r w:rsidRPr="00670B1C">
              <w:rPr>
                <w:rFonts w:hint="eastAsia"/>
                <w:color w:val="000000"/>
                <w:sz w:val="21"/>
              </w:rPr>
              <w:t>2025</w:t>
            </w:r>
            <w:r w:rsidRPr="00670B1C">
              <w:rPr>
                <w:rFonts w:hint="eastAsia"/>
                <w:color w:val="000000"/>
                <w:sz w:val="21"/>
              </w:rPr>
              <w:t>年末销售网络遍及逾</w:t>
            </w:r>
            <w:r w:rsidRPr="00670B1C">
              <w:rPr>
                <w:rFonts w:hint="eastAsia"/>
                <w:color w:val="000000"/>
                <w:sz w:val="21"/>
              </w:rPr>
              <w:t>85</w:t>
            </w:r>
            <w:r w:rsidRPr="00670B1C">
              <w:rPr>
                <w:rFonts w:hint="eastAsia"/>
                <w:color w:val="000000"/>
                <w:sz w:val="21"/>
              </w:rPr>
              <w:t>个国家及地区。</w:t>
            </w:r>
          </w:p>
        </w:tc>
        <w:tc>
          <w:tcPr>
            <w:tcW w:w="1027" w:type="pct"/>
            <w:vAlign w:val="center"/>
          </w:tcPr>
          <w:p w14:paraId="616EE568" w14:textId="77777777" w:rsidR="004A0C46" w:rsidRPr="00670B1C" w:rsidRDefault="00000000" w:rsidP="00670B1C">
            <w:pPr>
              <w:jc w:val="left"/>
              <w:rPr>
                <w:rFonts w:hint="eastAsia"/>
                <w:color w:val="000000"/>
                <w:sz w:val="21"/>
              </w:rPr>
            </w:pPr>
            <w:r w:rsidRPr="00670B1C">
              <w:rPr>
                <w:rFonts w:hint="eastAsia"/>
                <w:color w:val="000000"/>
                <w:sz w:val="21"/>
              </w:rPr>
              <w:t>按</w:t>
            </w:r>
            <w:r w:rsidRPr="00670B1C">
              <w:rPr>
                <w:rFonts w:hint="eastAsia"/>
                <w:color w:val="000000"/>
                <w:sz w:val="21"/>
              </w:rPr>
              <w:t>2026</w:t>
            </w:r>
            <w:r w:rsidRPr="00670B1C">
              <w:rPr>
                <w:rFonts w:hint="eastAsia"/>
                <w:color w:val="000000"/>
                <w:sz w:val="21"/>
              </w:rPr>
              <w:t>年</w:t>
            </w:r>
            <w:r w:rsidRPr="00670B1C">
              <w:rPr>
                <w:rFonts w:hint="eastAsia"/>
                <w:color w:val="000000"/>
                <w:sz w:val="21"/>
              </w:rPr>
              <w:t>8</w:t>
            </w:r>
            <w:r w:rsidRPr="00670B1C">
              <w:rPr>
                <w:rFonts w:hint="eastAsia"/>
                <w:color w:val="000000"/>
                <w:sz w:val="21"/>
              </w:rPr>
              <w:t>月</w:t>
            </w:r>
            <w:r w:rsidRPr="00670B1C">
              <w:rPr>
                <w:rFonts w:hint="eastAsia"/>
                <w:color w:val="000000"/>
                <w:sz w:val="21"/>
              </w:rPr>
              <w:t>5</w:t>
            </w:r>
            <w:r w:rsidRPr="00670B1C">
              <w:rPr>
                <w:rFonts w:hint="eastAsia"/>
                <w:color w:val="000000"/>
                <w:sz w:val="21"/>
              </w:rPr>
              <w:t>日</w:t>
            </w:r>
            <w:r w:rsidRPr="00670B1C">
              <w:rPr>
                <w:rFonts w:hint="eastAsia"/>
                <w:color w:val="000000"/>
                <w:sz w:val="21"/>
              </w:rPr>
              <w:t>H</w:t>
            </w:r>
            <w:r w:rsidRPr="00670B1C">
              <w:rPr>
                <w:rFonts w:hint="eastAsia"/>
                <w:color w:val="000000"/>
                <w:sz w:val="21"/>
              </w:rPr>
              <w:t>股收盘价</w:t>
            </w:r>
            <w:r w:rsidRPr="00670B1C">
              <w:rPr>
                <w:rFonts w:hint="eastAsia"/>
                <w:color w:val="000000"/>
                <w:sz w:val="21"/>
              </w:rPr>
              <w:t>325.40</w:t>
            </w:r>
            <w:r w:rsidRPr="00670B1C">
              <w:rPr>
                <w:rFonts w:hint="eastAsia"/>
                <w:color w:val="000000"/>
                <w:sz w:val="21"/>
              </w:rPr>
              <w:t>港元及超额配股后股本测算，流通</w:t>
            </w:r>
            <w:r w:rsidRPr="00670B1C">
              <w:rPr>
                <w:rFonts w:hint="eastAsia"/>
                <w:color w:val="000000"/>
                <w:sz w:val="21"/>
              </w:rPr>
              <w:t>H</w:t>
            </w:r>
            <w:r w:rsidRPr="00670B1C">
              <w:rPr>
                <w:rFonts w:hint="eastAsia"/>
                <w:color w:val="000000"/>
                <w:sz w:val="21"/>
              </w:rPr>
              <w:t>股市值约</w:t>
            </w:r>
            <w:r w:rsidRPr="00670B1C">
              <w:rPr>
                <w:rFonts w:hint="eastAsia"/>
                <w:color w:val="000000"/>
                <w:sz w:val="21"/>
              </w:rPr>
              <w:t>461.31</w:t>
            </w:r>
            <w:r w:rsidRPr="00670B1C">
              <w:rPr>
                <w:rFonts w:hint="eastAsia"/>
                <w:color w:val="000000"/>
                <w:sz w:val="21"/>
              </w:rPr>
              <w:t>亿港元；若按同价对应全部已发行股份，权益市值约</w:t>
            </w:r>
            <w:r w:rsidRPr="00670B1C">
              <w:rPr>
                <w:rFonts w:hint="eastAsia"/>
                <w:color w:val="000000"/>
                <w:sz w:val="21"/>
              </w:rPr>
              <w:t>809.70</w:t>
            </w:r>
            <w:r w:rsidRPr="00670B1C">
              <w:rPr>
                <w:rFonts w:hint="eastAsia"/>
                <w:color w:val="000000"/>
                <w:sz w:val="21"/>
              </w:rPr>
              <w:t>亿港元。</w:t>
            </w:r>
          </w:p>
        </w:tc>
        <w:tc>
          <w:tcPr>
            <w:tcW w:w="636" w:type="pct"/>
            <w:vAlign w:val="center"/>
          </w:tcPr>
          <w:p w14:paraId="7663B24D" w14:textId="77777777" w:rsidR="004A0C46" w:rsidRPr="00670B1C" w:rsidRDefault="00000000" w:rsidP="00670B1C">
            <w:pPr>
              <w:jc w:val="left"/>
              <w:rPr>
                <w:rFonts w:hint="eastAsia"/>
                <w:color w:val="000000"/>
                <w:sz w:val="21"/>
              </w:rPr>
            </w:pPr>
            <w:r w:rsidRPr="00670B1C">
              <w:rPr>
                <w:rFonts w:hint="eastAsia"/>
                <w:color w:val="000000"/>
                <w:sz w:val="21"/>
              </w:rPr>
              <w:t>90.01</w:t>
            </w:r>
            <w:r w:rsidRPr="00670B1C">
              <w:rPr>
                <w:rFonts w:hint="eastAsia"/>
                <w:color w:val="000000"/>
                <w:sz w:val="21"/>
              </w:rPr>
              <w:t>亿元</w:t>
            </w:r>
          </w:p>
        </w:tc>
        <w:tc>
          <w:tcPr>
            <w:tcW w:w="656" w:type="pct"/>
            <w:vAlign w:val="center"/>
          </w:tcPr>
          <w:p w14:paraId="69BC26E9" w14:textId="77777777" w:rsidR="004A0C46" w:rsidRPr="00670B1C" w:rsidRDefault="00000000" w:rsidP="00670B1C">
            <w:pPr>
              <w:jc w:val="left"/>
              <w:rPr>
                <w:rFonts w:hint="eastAsia"/>
                <w:color w:val="000000"/>
                <w:sz w:val="21"/>
              </w:rPr>
            </w:pPr>
            <w:r w:rsidRPr="00670B1C">
              <w:rPr>
                <w:rFonts w:hint="eastAsia"/>
                <w:color w:val="000000"/>
                <w:sz w:val="21"/>
              </w:rPr>
              <w:t>29.19</w:t>
            </w:r>
            <w:r w:rsidRPr="00670B1C">
              <w:rPr>
                <w:rFonts w:hint="eastAsia"/>
                <w:color w:val="000000"/>
                <w:sz w:val="21"/>
              </w:rPr>
              <w:t>亿元</w:t>
            </w:r>
          </w:p>
        </w:tc>
      </w:tr>
      <w:tr w:rsidR="004A0C46" w:rsidRPr="00670B1C" w14:paraId="0D09F410" w14:textId="77777777" w:rsidTr="00670B1C">
        <w:trPr>
          <w:cantSplit/>
          <w:trHeight w:val="397"/>
          <w:jc w:val="center"/>
        </w:trPr>
        <w:tc>
          <w:tcPr>
            <w:tcW w:w="702" w:type="pct"/>
            <w:vAlign w:val="center"/>
          </w:tcPr>
          <w:p w14:paraId="5D08464C" w14:textId="77777777" w:rsidR="004A0C46" w:rsidRPr="00670B1C" w:rsidRDefault="00000000" w:rsidP="00670B1C">
            <w:pPr>
              <w:jc w:val="left"/>
              <w:rPr>
                <w:rFonts w:hint="eastAsia"/>
                <w:color w:val="000000"/>
                <w:sz w:val="21"/>
              </w:rPr>
            </w:pPr>
            <w:r w:rsidRPr="00670B1C">
              <w:rPr>
                <w:rFonts w:hint="eastAsia"/>
                <w:color w:val="000000"/>
                <w:sz w:val="21"/>
              </w:rPr>
              <w:lastRenderedPageBreak/>
              <w:t>高特电子</w:t>
            </w:r>
          </w:p>
        </w:tc>
        <w:tc>
          <w:tcPr>
            <w:tcW w:w="1020" w:type="pct"/>
            <w:vAlign w:val="center"/>
          </w:tcPr>
          <w:p w14:paraId="217DC886" w14:textId="77777777" w:rsidR="004A0C46" w:rsidRPr="00670B1C" w:rsidRDefault="00000000" w:rsidP="00670B1C">
            <w:pPr>
              <w:jc w:val="left"/>
              <w:rPr>
                <w:rFonts w:hint="eastAsia"/>
                <w:color w:val="000000"/>
                <w:sz w:val="21"/>
              </w:rPr>
            </w:pPr>
            <w:r w:rsidRPr="00670B1C">
              <w:rPr>
                <w:rFonts w:hint="eastAsia"/>
                <w:color w:val="000000"/>
                <w:sz w:val="21"/>
              </w:rPr>
              <w:t>2026</w:t>
            </w:r>
            <w:r w:rsidRPr="00670B1C">
              <w:rPr>
                <w:rFonts w:hint="eastAsia"/>
                <w:color w:val="000000"/>
                <w:sz w:val="21"/>
              </w:rPr>
              <w:t>年</w:t>
            </w:r>
            <w:r w:rsidRPr="00670B1C">
              <w:rPr>
                <w:rFonts w:hint="eastAsia"/>
                <w:color w:val="000000"/>
                <w:sz w:val="21"/>
              </w:rPr>
              <w:t>6</w:t>
            </w:r>
            <w:r w:rsidRPr="00670B1C">
              <w:rPr>
                <w:rFonts w:hint="eastAsia"/>
                <w:color w:val="000000"/>
                <w:sz w:val="21"/>
              </w:rPr>
              <w:t>月</w:t>
            </w:r>
            <w:r w:rsidRPr="00670B1C">
              <w:rPr>
                <w:rFonts w:hint="eastAsia"/>
                <w:color w:val="000000"/>
                <w:sz w:val="21"/>
              </w:rPr>
              <w:t>9</w:t>
            </w:r>
            <w:r w:rsidRPr="00670B1C">
              <w:rPr>
                <w:rFonts w:hint="eastAsia"/>
                <w:color w:val="000000"/>
                <w:sz w:val="21"/>
              </w:rPr>
              <w:t>日在深交所创业板上市，证券代码</w:t>
            </w:r>
            <w:r w:rsidRPr="00670B1C">
              <w:rPr>
                <w:rFonts w:hint="eastAsia"/>
                <w:color w:val="000000"/>
                <w:sz w:val="21"/>
              </w:rPr>
              <w:t>301669</w:t>
            </w:r>
            <w:r w:rsidRPr="00670B1C">
              <w:rPr>
                <w:rFonts w:hint="eastAsia"/>
                <w:color w:val="000000"/>
                <w:sz w:val="21"/>
              </w:rPr>
              <w:t>，发行后总股本</w:t>
            </w:r>
            <w:r w:rsidRPr="00670B1C">
              <w:rPr>
                <w:rFonts w:hint="eastAsia"/>
                <w:color w:val="000000"/>
                <w:sz w:val="21"/>
              </w:rPr>
              <w:t>4.8</w:t>
            </w:r>
            <w:r w:rsidRPr="00670B1C">
              <w:rPr>
                <w:rFonts w:hint="eastAsia"/>
                <w:color w:val="000000"/>
                <w:sz w:val="21"/>
              </w:rPr>
              <w:t>亿股。</w:t>
            </w:r>
          </w:p>
        </w:tc>
        <w:tc>
          <w:tcPr>
            <w:tcW w:w="959" w:type="pct"/>
            <w:vAlign w:val="center"/>
          </w:tcPr>
          <w:p w14:paraId="71827A45" w14:textId="77777777" w:rsidR="004A0C46" w:rsidRPr="00670B1C" w:rsidRDefault="00000000" w:rsidP="00670B1C">
            <w:pPr>
              <w:jc w:val="left"/>
              <w:rPr>
                <w:rFonts w:hint="eastAsia"/>
                <w:color w:val="000000"/>
                <w:sz w:val="21"/>
              </w:rPr>
            </w:pPr>
            <w:r w:rsidRPr="00670B1C">
              <w:rPr>
                <w:rFonts w:hint="eastAsia"/>
                <w:color w:val="000000"/>
                <w:sz w:val="21"/>
              </w:rPr>
              <w:t>专注于储能电池管理系统（</w:t>
            </w:r>
            <w:r w:rsidRPr="00670B1C">
              <w:rPr>
                <w:rFonts w:hint="eastAsia"/>
                <w:color w:val="000000"/>
                <w:sz w:val="21"/>
              </w:rPr>
              <w:t>BMS</w:t>
            </w:r>
            <w:r w:rsidRPr="00670B1C">
              <w:rPr>
                <w:rFonts w:hint="eastAsia"/>
                <w:color w:val="000000"/>
                <w:sz w:val="21"/>
              </w:rPr>
              <w:t>）的研发、生产和销售，产品覆盖</w:t>
            </w:r>
            <w:r w:rsidRPr="00670B1C">
              <w:rPr>
                <w:rFonts w:hint="eastAsia"/>
                <w:color w:val="000000"/>
                <w:sz w:val="21"/>
              </w:rPr>
              <w:t>BMS</w:t>
            </w:r>
            <w:r w:rsidRPr="00670B1C">
              <w:rPr>
                <w:rFonts w:hint="eastAsia"/>
                <w:color w:val="000000"/>
                <w:sz w:val="21"/>
              </w:rPr>
              <w:t>模块、高压箱、汇流柜和数据服务。</w:t>
            </w:r>
          </w:p>
        </w:tc>
        <w:tc>
          <w:tcPr>
            <w:tcW w:w="1027" w:type="pct"/>
            <w:vAlign w:val="center"/>
          </w:tcPr>
          <w:p w14:paraId="35998EBF" w14:textId="77777777" w:rsidR="004A0C46" w:rsidRPr="00670B1C" w:rsidRDefault="00000000" w:rsidP="00670B1C">
            <w:pPr>
              <w:jc w:val="left"/>
              <w:rPr>
                <w:rFonts w:hint="eastAsia"/>
                <w:color w:val="000000"/>
                <w:sz w:val="21"/>
              </w:rPr>
            </w:pPr>
            <w:r w:rsidRPr="00670B1C">
              <w:rPr>
                <w:rFonts w:hint="eastAsia"/>
                <w:color w:val="000000"/>
                <w:sz w:val="21"/>
              </w:rPr>
              <w:t>按</w:t>
            </w:r>
            <w:r w:rsidRPr="00670B1C">
              <w:rPr>
                <w:rFonts w:hint="eastAsia"/>
                <w:color w:val="000000"/>
                <w:sz w:val="21"/>
              </w:rPr>
              <w:t>2026</w:t>
            </w:r>
            <w:r w:rsidRPr="00670B1C">
              <w:rPr>
                <w:rFonts w:hint="eastAsia"/>
                <w:color w:val="000000"/>
                <w:sz w:val="21"/>
              </w:rPr>
              <w:t>年</w:t>
            </w:r>
            <w:r w:rsidRPr="00670B1C">
              <w:rPr>
                <w:rFonts w:hint="eastAsia"/>
                <w:color w:val="000000"/>
                <w:sz w:val="21"/>
              </w:rPr>
              <w:t>8</w:t>
            </w:r>
            <w:r w:rsidRPr="00670B1C">
              <w:rPr>
                <w:rFonts w:hint="eastAsia"/>
                <w:color w:val="000000"/>
                <w:sz w:val="21"/>
              </w:rPr>
              <w:t>月</w:t>
            </w:r>
            <w:r w:rsidRPr="00670B1C">
              <w:rPr>
                <w:rFonts w:hint="eastAsia"/>
                <w:color w:val="000000"/>
                <w:sz w:val="21"/>
              </w:rPr>
              <w:t>5</w:t>
            </w:r>
            <w:r w:rsidRPr="00670B1C">
              <w:rPr>
                <w:rFonts w:hint="eastAsia"/>
                <w:color w:val="000000"/>
                <w:sz w:val="21"/>
              </w:rPr>
              <w:t>日收盘价</w:t>
            </w:r>
            <w:r w:rsidRPr="00670B1C">
              <w:rPr>
                <w:rFonts w:hint="eastAsia"/>
                <w:color w:val="000000"/>
                <w:sz w:val="21"/>
              </w:rPr>
              <w:t>30.75</w:t>
            </w:r>
            <w:r w:rsidRPr="00670B1C">
              <w:rPr>
                <w:rFonts w:hint="eastAsia"/>
                <w:color w:val="000000"/>
                <w:sz w:val="21"/>
              </w:rPr>
              <w:t>元及总股本</w:t>
            </w:r>
            <w:r w:rsidRPr="00670B1C">
              <w:rPr>
                <w:rFonts w:hint="eastAsia"/>
                <w:color w:val="000000"/>
                <w:sz w:val="21"/>
              </w:rPr>
              <w:t>4.8</w:t>
            </w:r>
            <w:r w:rsidRPr="00670B1C">
              <w:rPr>
                <w:rFonts w:hint="eastAsia"/>
                <w:color w:val="000000"/>
                <w:sz w:val="21"/>
              </w:rPr>
              <w:t>亿股测算，市值约</w:t>
            </w:r>
            <w:r w:rsidRPr="00670B1C">
              <w:rPr>
                <w:rFonts w:hint="eastAsia"/>
                <w:color w:val="000000"/>
                <w:sz w:val="21"/>
              </w:rPr>
              <w:t>147.60</w:t>
            </w:r>
            <w:r w:rsidRPr="00670B1C">
              <w:rPr>
                <w:rFonts w:hint="eastAsia"/>
                <w:color w:val="000000"/>
                <w:sz w:val="21"/>
              </w:rPr>
              <w:t>亿元。</w:t>
            </w:r>
          </w:p>
        </w:tc>
        <w:tc>
          <w:tcPr>
            <w:tcW w:w="636" w:type="pct"/>
            <w:vAlign w:val="center"/>
          </w:tcPr>
          <w:p w14:paraId="5F05FB98" w14:textId="77777777" w:rsidR="004A0C46" w:rsidRPr="00670B1C" w:rsidRDefault="00000000" w:rsidP="00670B1C">
            <w:pPr>
              <w:jc w:val="left"/>
              <w:rPr>
                <w:rFonts w:hint="eastAsia"/>
                <w:color w:val="000000"/>
                <w:sz w:val="21"/>
              </w:rPr>
            </w:pPr>
            <w:r w:rsidRPr="00670B1C">
              <w:rPr>
                <w:rFonts w:hint="eastAsia"/>
                <w:color w:val="000000"/>
                <w:sz w:val="21"/>
              </w:rPr>
              <w:t>12.55</w:t>
            </w:r>
            <w:r w:rsidRPr="00670B1C">
              <w:rPr>
                <w:rFonts w:hint="eastAsia"/>
                <w:color w:val="000000"/>
                <w:sz w:val="21"/>
              </w:rPr>
              <w:t>亿元</w:t>
            </w:r>
          </w:p>
        </w:tc>
        <w:tc>
          <w:tcPr>
            <w:tcW w:w="656" w:type="pct"/>
            <w:vAlign w:val="center"/>
          </w:tcPr>
          <w:p w14:paraId="0391D7A1" w14:textId="77777777" w:rsidR="004A0C46" w:rsidRPr="00670B1C" w:rsidRDefault="00000000" w:rsidP="00670B1C">
            <w:pPr>
              <w:jc w:val="left"/>
              <w:rPr>
                <w:rFonts w:hint="eastAsia"/>
                <w:color w:val="000000"/>
                <w:sz w:val="21"/>
              </w:rPr>
            </w:pPr>
            <w:r w:rsidRPr="00670B1C">
              <w:rPr>
                <w:rFonts w:hint="eastAsia"/>
                <w:color w:val="000000"/>
                <w:sz w:val="21"/>
              </w:rPr>
              <w:t>1.37</w:t>
            </w:r>
            <w:r w:rsidRPr="00670B1C">
              <w:rPr>
                <w:rFonts w:hint="eastAsia"/>
                <w:color w:val="000000"/>
                <w:sz w:val="21"/>
              </w:rPr>
              <w:t>亿元</w:t>
            </w:r>
          </w:p>
        </w:tc>
      </w:tr>
    </w:tbl>
    <w:p w14:paraId="500AA85F" w14:textId="77777777" w:rsidR="004A0C46" w:rsidRPr="00592284" w:rsidRDefault="00000000" w:rsidP="00592284">
      <w:pPr>
        <w:pStyle w:val="3"/>
        <w:numPr>
          <w:ilvl w:val="0"/>
          <w:numId w:val="0"/>
        </w:numPr>
        <w:spacing w:before="156" w:after="156"/>
        <w:rPr>
          <w:rFonts w:hint="eastAsia"/>
        </w:rPr>
      </w:pPr>
      <w:bookmarkStart w:id="52" w:name="toc_target_27"/>
      <w:bookmarkStart w:id="53" w:name="_Toc236992664"/>
      <w:r w:rsidRPr="00592284">
        <w:rPr>
          <w:rFonts w:hint="eastAsia"/>
        </w:rPr>
        <w:t xml:space="preserve">6.2 </w:t>
      </w:r>
      <w:r w:rsidRPr="00592284">
        <w:rPr>
          <w:rFonts w:hint="eastAsia"/>
        </w:rPr>
        <w:t>在审、已问询或申报中的企业</w:t>
      </w:r>
      <w:bookmarkEnd w:id="52"/>
      <w:bookmarkEnd w:id="53"/>
    </w:p>
    <w:tbl>
      <w:tblPr>
        <w:tblW w:w="6791"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val="04A0" w:firstRow="1" w:lastRow="0" w:firstColumn="1" w:lastColumn="0" w:noHBand="0" w:noVBand="1"/>
      </w:tblPr>
      <w:tblGrid>
        <w:gridCol w:w="1118"/>
        <w:gridCol w:w="3354"/>
        <w:gridCol w:w="2093"/>
        <w:gridCol w:w="2183"/>
        <w:gridCol w:w="1250"/>
        <w:gridCol w:w="1577"/>
      </w:tblGrid>
      <w:tr w:rsidR="004A0C46" w:rsidRPr="00670B1C" w14:paraId="7519FBAE" w14:textId="77777777" w:rsidTr="00670B1C">
        <w:trPr>
          <w:cantSplit/>
          <w:trHeight w:val="397"/>
          <w:tblHeader/>
          <w:jc w:val="center"/>
        </w:trPr>
        <w:tc>
          <w:tcPr>
            <w:tcW w:w="483" w:type="pct"/>
            <w:tcBorders>
              <w:top w:val="single" w:sz="12" w:space="0" w:color="010000"/>
              <w:bottom w:val="single" w:sz="4" w:space="0" w:color="010000"/>
            </w:tcBorders>
            <w:vAlign w:val="center"/>
          </w:tcPr>
          <w:p w14:paraId="43EA2C36" w14:textId="77777777" w:rsidR="004A0C46" w:rsidRPr="00670B1C" w:rsidRDefault="00000000" w:rsidP="00670B1C">
            <w:pPr>
              <w:keepNext/>
              <w:jc w:val="center"/>
              <w:rPr>
                <w:rFonts w:hint="eastAsia"/>
                <w:b/>
                <w:color w:val="000000"/>
                <w:sz w:val="21"/>
              </w:rPr>
            </w:pPr>
            <w:r w:rsidRPr="00670B1C">
              <w:rPr>
                <w:rFonts w:hint="eastAsia"/>
                <w:b/>
                <w:color w:val="000000"/>
                <w:sz w:val="21"/>
              </w:rPr>
              <w:t>企业</w:t>
            </w:r>
          </w:p>
        </w:tc>
        <w:tc>
          <w:tcPr>
            <w:tcW w:w="1449" w:type="pct"/>
            <w:tcBorders>
              <w:top w:val="single" w:sz="12" w:space="0" w:color="010000"/>
              <w:bottom w:val="single" w:sz="4" w:space="0" w:color="010000"/>
            </w:tcBorders>
            <w:vAlign w:val="center"/>
          </w:tcPr>
          <w:p w14:paraId="09AEFC72" w14:textId="77777777" w:rsidR="004A0C46" w:rsidRPr="00670B1C" w:rsidRDefault="00000000" w:rsidP="00670B1C">
            <w:pPr>
              <w:keepNext/>
              <w:jc w:val="center"/>
              <w:rPr>
                <w:rFonts w:hint="eastAsia"/>
                <w:b/>
                <w:color w:val="000000"/>
                <w:sz w:val="21"/>
              </w:rPr>
            </w:pPr>
            <w:r w:rsidRPr="00670B1C">
              <w:rPr>
                <w:rFonts w:hint="eastAsia"/>
                <w:b/>
                <w:color w:val="000000"/>
                <w:sz w:val="21"/>
              </w:rPr>
              <w:t>上市进度</w:t>
            </w:r>
          </w:p>
        </w:tc>
        <w:tc>
          <w:tcPr>
            <w:tcW w:w="904" w:type="pct"/>
            <w:tcBorders>
              <w:top w:val="single" w:sz="12" w:space="0" w:color="010000"/>
              <w:bottom w:val="single" w:sz="4" w:space="0" w:color="010000"/>
            </w:tcBorders>
            <w:vAlign w:val="center"/>
          </w:tcPr>
          <w:p w14:paraId="19175950" w14:textId="77777777" w:rsidR="004A0C46" w:rsidRPr="00670B1C" w:rsidRDefault="00000000" w:rsidP="00670B1C">
            <w:pPr>
              <w:keepNext/>
              <w:jc w:val="center"/>
              <w:rPr>
                <w:rFonts w:hint="eastAsia"/>
                <w:b/>
                <w:color w:val="000000"/>
                <w:sz w:val="21"/>
              </w:rPr>
            </w:pPr>
            <w:r w:rsidRPr="00670B1C">
              <w:rPr>
                <w:rFonts w:hint="eastAsia"/>
                <w:b/>
                <w:color w:val="000000"/>
                <w:sz w:val="21"/>
              </w:rPr>
              <w:t>核心业务</w:t>
            </w:r>
          </w:p>
        </w:tc>
        <w:tc>
          <w:tcPr>
            <w:tcW w:w="943" w:type="pct"/>
            <w:tcBorders>
              <w:top w:val="single" w:sz="12" w:space="0" w:color="010000"/>
              <w:bottom w:val="single" w:sz="4" w:space="0" w:color="010000"/>
            </w:tcBorders>
            <w:vAlign w:val="center"/>
          </w:tcPr>
          <w:p w14:paraId="2FCA18DF" w14:textId="77777777" w:rsidR="004A0C46" w:rsidRPr="00670B1C" w:rsidRDefault="00000000" w:rsidP="00670B1C">
            <w:pPr>
              <w:keepNext/>
              <w:jc w:val="center"/>
              <w:rPr>
                <w:rFonts w:hint="eastAsia"/>
                <w:b/>
                <w:color w:val="000000"/>
                <w:sz w:val="21"/>
              </w:rPr>
            </w:pPr>
            <w:r w:rsidRPr="00670B1C">
              <w:rPr>
                <w:rFonts w:hint="eastAsia"/>
                <w:b/>
                <w:color w:val="000000"/>
                <w:sz w:val="21"/>
              </w:rPr>
              <w:t>按拟募集资金倒算的参考估值</w:t>
            </w:r>
          </w:p>
        </w:tc>
        <w:tc>
          <w:tcPr>
            <w:tcW w:w="540" w:type="pct"/>
            <w:tcBorders>
              <w:top w:val="single" w:sz="12" w:space="0" w:color="010000"/>
              <w:bottom w:val="single" w:sz="4" w:space="0" w:color="010000"/>
            </w:tcBorders>
            <w:vAlign w:val="center"/>
          </w:tcPr>
          <w:p w14:paraId="7728EF6F" w14:textId="77777777" w:rsidR="004A0C46" w:rsidRPr="00670B1C" w:rsidRDefault="00000000" w:rsidP="00670B1C">
            <w:pPr>
              <w:keepNext/>
              <w:jc w:val="center"/>
              <w:rPr>
                <w:rFonts w:hint="eastAsia"/>
                <w:b/>
                <w:color w:val="000000"/>
                <w:sz w:val="21"/>
              </w:rPr>
            </w:pPr>
            <w:r w:rsidRPr="00670B1C">
              <w:rPr>
                <w:rFonts w:hint="eastAsia"/>
                <w:b/>
                <w:color w:val="000000"/>
                <w:sz w:val="21"/>
              </w:rPr>
              <w:t>2025</w:t>
            </w:r>
            <w:r w:rsidRPr="00670B1C">
              <w:rPr>
                <w:rFonts w:hint="eastAsia"/>
                <w:b/>
                <w:color w:val="000000"/>
                <w:sz w:val="21"/>
              </w:rPr>
              <w:t>年</w:t>
            </w:r>
            <w:r w:rsidRPr="00670B1C">
              <w:rPr>
                <w:rFonts w:hint="eastAsia"/>
                <w:b/>
                <w:color w:val="000000"/>
                <w:sz w:val="21"/>
              </w:rPr>
              <w:br/>
            </w:r>
            <w:r w:rsidRPr="00670B1C">
              <w:rPr>
                <w:rFonts w:hint="eastAsia"/>
                <w:b/>
                <w:color w:val="000000"/>
                <w:sz w:val="21"/>
              </w:rPr>
              <w:t>营业收入</w:t>
            </w:r>
          </w:p>
        </w:tc>
        <w:tc>
          <w:tcPr>
            <w:tcW w:w="681" w:type="pct"/>
            <w:tcBorders>
              <w:top w:val="single" w:sz="12" w:space="0" w:color="010000"/>
              <w:bottom w:val="single" w:sz="4" w:space="0" w:color="010000"/>
            </w:tcBorders>
            <w:vAlign w:val="center"/>
          </w:tcPr>
          <w:p w14:paraId="78768003" w14:textId="77777777" w:rsidR="004A0C46" w:rsidRPr="00670B1C" w:rsidRDefault="00000000" w:rsidP="00670B1C">
            <w:pPr>
              <w:keepNext/>
              <w:jc w:val="center"/>
              <w:rPr>
                <w:rFonts w:hint="eastAsia"/>
                <w:b/>
                <w:color w:val="000000"/>
                <w:sz w:val="21"/>
              </w:rPr>
            </w:pPr>
            <w:r w:rsidRPr="00670B1C">
              <w:rPr>
                <w:rFonts w:hint="eastAsia"/>
                <w:b/>
                <w:color w:val="000000"/>
                <w:sz w:val="21"/>
              </w:rPr>
              <w:t>2025</w:t>
            </w:r>
            <w:r w:rsidRPr="00670B1C">
              <w:rPr>
                <w:rFonts w:hint="eastAsia"/>
                <w:b/>
                <w:color w:val="000000"/>
                <w:sz w:val="21"/>
              </w:rPr>
              <w:t>年</w:t>
            </w:r>
            <w:r w:rsidRPr="00670B1C">
              <w:rPr>
                <w:rFonts w:hint="eastAsia"/>
                <w:b/>
                <w:color w:val="000000"/>
                <w:sz w:val="21"/>
              </w:rPr>
              <w:br/>
            </w:r>
            <w:r w:rsidRPr="00670B1C">
              <w:rPr>
                <w:rFonts w:hint="eastAsia"/>
                <w:b/>
                <w:color w:val="000000"/>
                <w:sz w:val="21"/>
              </w:rPr>
              <w:t>归母净利润</w:t>
            </w:r>
          </w:p>
        </w:tc>
      </w:tr>
      <w:tr w:rsidR="004A0C46" w:rsidRPr="00670B1C" w14:paraId="2B613E27" w14:textId="77777777" w:rsidTr="00670B1C">
        <w:trPr>
          <w:cantSplit/>
          <w:trHeight w:val="397"/>
          <w:jc w:val="center"/>
        </w:trPr>
        <w:tc>
          <w:tcPr>
            <w:tcW w:w="483" w:type="pct"/>
            <w:tcBorders>
              <w:top w:val="single" w:sz="4" w:space="0" w:color="010000"/>
            </w:tcBorders>
            <w:vAlign w:val="center"/>
          </w:tcPr>
          <w:p w14:paraId="00D94783" w14:textId="77777777" w:rsidR="004A0C46" w:rsidRPr="00670B1C" w:rsidRDefault="00000000" w:rsidP="00670B1C">
            <w:pPr>
              <w:jc w:val="left"/>
              <w:rPr>
                <w:rFonts w:hint="eastAsia"/>
                <w:color w:val="000000"/>
                <w:sz w:val="21"/>
              </w:rPr>
            </w:pPr>
            <w:r w:rsidRPr="00670B1C">
              <w:rPr>
                <w:rFonts w:hint="eastAsia"/>
                <w:color w:val="000000"/>
                <w:sz w:val="21"/>
              </w:rPr>
              <w:t>麦田能源</w:t>
            </w:r>
          </w:p>
        </w:tc>
        <w:tc>
          <w:tcPr>
            <w:tcW w:w="1449" w:type="pct"/>
            <w:tcBorders>
              <w:top w:val="single" w:sz="4" w:space="0" w:color="010000"/>
            </w:tcBorders>
            <w:vAlign w:val="center"/>
          </w:tcPr>
          <w:p w14:paraId="2A992576" w14:textId="77777777" w:rsidR="004A0C46" w:rsidRPr="00670B1C" w:rsidRDefault="00000000" w:rsidP="00670B1C">
            <w:pPr>
              <w:jc w:val="left"/>
              <w:rPr>
                <w:rFonts w:hint="eastAsia"/>
                <w:color w:val="000000"/>
                <w:sz w:val="21"/>
              </w:rPr>
            </w:pPr>
            <w:r w:rsidRPr="00670B1C">
              <w:rPr>
                <w:rFonts w:hint="eastAsia"/>
                <w:color w:val="000000"/>
                <w:sz w:val="21"/>
              </w:rPr>
              <w:t>创业板</w:t>
            </w:r>
            <w:r w:rsidRPr="00670B1C">
              <w:rPr>
                <w:rFonts w:hint="eastAsia"/>
                <w:color w:val="000000"/>
                <w:sz w:val="21"/>
              </w:rPr>
              <w:t>IPO</w:t>
            </w:r>
            <w:r w:rsidRPr="00670B1C">
              <w:rPr>
                <w:rFonts w:hint="eastAsia"/>
                <w:color w:val="000000"/>
                <w:sz w:val="21"/>
              </w:rPr>
              <w:t>截至</w:t>
            </w:r>
            <w:r w:rsidRPr="00670B1C">
              <w:rPr>
                <w:rFonts w:hint="eastAsia"/>
                <w:color w:val="000000"/>
                <w:sz w:val="21"/>
              </w:rPr>
              <w:t>2026</w:t>
            </w:r>
            <w:r w:rsidRPr="00670B1C">
              <w:rPr>
                <w:rFonts w:hint="eastAsia"/>
                <w:color w:val="000000"/>
                <w:sz w:val="21"/>
              </w:rPr>
              <w:t>年</w:t>
            </w:r>
            <w:r w:rsidRPr="00670B1C">
              <w:rPr>
                <w:rFonts w:hint="eastAsia"/>
                <w:color w:val="000000"/>
                <w:sz w:val="21"/>
              </w:rPr>
              <w:t>6</w:t>
            </w:r>
            <w:r w:rsidRPr="00670B1C">
              <w:rPr>
                <w:rFonts w:hint="eastAsia"/>
                <w:color w:val="000000"/>
                <w:sz w:val="21"/>
              </w:rPr>
              <w:t>月</w:t>
            </w:r>
            <w:r w:rsidRPr="00670B1C">
              <w:rPr>
                <w:rFonts w:hint="eastAsia"/>
                <w:color w:val="000000"/>
                <w:sz w:val="21"/>
              </w:rPr>
              <w:t>30</w:t>
            </w:r>
            <w:r w:rsidRPr="00670B1C">
              <w:rPr>
                <w:rFonts w:hint="eastAsia"/>
                <w:color w:val="000000"/>
                <w:sz w:val="21"/>
              </w:rPr>
              <w:t>日处于已问询状态，拟募集资金</w:t>
            </w:r>
            <w:r w:rsidRPr="00670B1C">
              <w:rPr>
                <w:rFonts w:hint="eastAsia"/>
                <w:color w:val="000000"/>
                <w:sz w:val="21"/>
              </w:rPr>
              <w:t>16.6118</w:t>
            </w:r>
            <w:r w:rsidRPr="00670B1C">
              <w:rPr>
                <w:rFonts w:hint="eastAsia"/>
                <w:color w:val="000000"/>
                <w:sz w:val="21"/>
              </w:rPr>
              <w:t>亿元，保荐人为国泰海通证券。</w:t>
            </w:r>
          </w:p>
        </w:tc>
        <w:tc>
          <w:tcPr>
            <w:tcW w:w="904" w:type="pct"/>
            <w:tcBorders>
              <w:top w:val="single" w:sz="4" w:space="0" w:color="010000"/>
            </w:tcBorders>
            <w:vAlign w:val="center"/>
          </w:tcPr>
          <w:p w14:paraId="503EF489" w14:textId="77777777" w:rsidR="004A0C46" w:rsidRPr="00670B1C" w:rsidRDefault="00000000" w:rsidP="00670B1C">
            <w:pPr>
              <w:jc w:val="left"/>
              <w:rPr>
                <w:rFonts w:hint="eastAsia"/>
                <w:color w:val="000000"/>
                <w:sz w:val="21"/>
              </w:rPr>
            </w:pPr>
            <w:r w:rsidRPr="00670B1C">
              <w:rPr>
                <w:rFonts w:hint="eastAsia"/>
                <w:color w:val="000000"/>
                <w:sz w:val="21"/>
              </w:rPr>
              <w:t>以电力电子技术为核心，主要提供储能系统、并网逆变器及智能能源管理产品，业务重点包括户用储能和分布式能源。</w:t>
            </w:r>
          </w:p>
        </w:tc>
        <w:tc>
          <w:tcPr>
            <w:tcW w:w="943" w:type="pct"/>
            <w:tcBorders>
              <w:top w:val="single" w:sz="4" w:space="0" w:color="010000"/>
            </w:tcBorders>
            <w:vAlign w:val="center"/>
          </w:tcPr>
          <w:p w14:paraId="1A381ADA" w14:textId="77777777" w:rsidR="004A0C46" w:rsidRPr="00670B1C" w:rsidRDefault="00000000" w:rsidP="00670B1C">
            <w:pPr>
              <w:jc w:val="left"/>
              <w:rPr>
                <w:rFonts w:hint="eastAsia"/>
                <w:color w:val="000000"/>
                <w:sz w:val="21"/>
              </w:rPr>
            </w:pPr>
            <w:r w:rsidRPr="00670B1C">
              <w:rPr>
                <w:rFonts w:hint="eastAsia"/>
                <w:color w:val="000000"/>
                <w:sz w:val="21"/>
              </w:rPr>
              <w:t>按发行上限</w:t>
            </w:r>
            <w:r w:rsidRPr="00670B1C">
              <w:rPr>
                <w:rFonts w:hint="eastAsia"/>
                <w:color w:val="000000"/>
                <w:sz w:val="21"/>
              </w:rPr>
              <w:t>9,000</w:t>
            </w:r>
            <w:r w:rsidRPr="00670B1C">
              <w:rPr>
                <w:rFonts w:hint="eastAsia"/>
                <w:color w:val="000000"/>
                <w:sz w:val="21"/>
              </w:rPr>
              <w:t>万股占发行后总股本</w:t>
            </w:r>
            <w:r w:rsidRPr="00670B1C">
              <w:rPr>
                <w:rFonts w:hint="eastAsia"/>
                <w:color w:val="000000"/>
                <w:sz w:val="21"/>
              </w:rPr>
              <w:t>20%</w:t>
            </w:r>
            <w:r w:rsidRPr="00670B1C">
              <w:rPr>
                <w:rFonts w:hint="eastAsia"/>
                <w:color w:val="000000"/>
                <w:sz w:val="21"/>
              </w:rPr>
              <w:t>的假设，以拟募集资金机械倒算的参考估值约</w:t>
            </w:r>
            <w:r w:rsidRPr="00670B1C">
              <w:rPr>
                <w:rFonts w:hint="eastAsia"/>
                <w:color w:val="000000"/>
                <w:sz w:val="21"/>
              </w:rPr>
              <w:t>83.06</w:t>
            </w:r>
            <w:r w:rsidRPr="00670B1C">
              <w:rPr>
                <w:rFonts w:hint="eastAsia"/>
                <w:color w:val="000000"/>
                <w:sz w:val="21"/>
              </w:rPr>
              <w:t>亿元；该数值不代表实际发行估值。</w:t>
            </w:r>
          </w:p>
        </w:tc>
        <w:tc>
          <w:tcPr>
            <w:tcW w:w="540" w:type="pct"/>
            <w:tcBorders>
              <w:top w:val="single" w:sz="4" w:space="0" w:color="010000"/>
            </w:tcBorders>
            <w:vAlign w:val="center"/>
          </w:tcPr>
          <w:p w14:paraId="756AEEB7" w14:textId="77777777" w:rsidR="004A0C46" w:rsidRPr="00670B1C" w:rsidRDefault="00000000" w:rsidP="00670B1C">
            <w:pPr>
              <w:jc w:val="left"/>
              <w:rPr>
                <w:rFonts w:hint="eastAsia"/>
                <w:color w:val="000000"/>
                <w:sz w:val="21"/>
              </w:rPr>
            </w:pPr>
            <w:r w:rsidRPr="00670B1C">
              <w:rPr>
                <w:rFonts w:hint="eastAsia"/>
                <w:color w:val="000000"/>
                <w:sz w:val="21"/>
              </w:rPr>
              <w:t>65.31</w:t>
            </w:r>
            <w:r w:rsidRPr="00670B1C">
              <w:rPr>
                <w:rFonts w:hint="eastAsia"/>
                <w:color w:val="000000"/>
                <w:sz w:val="21"/>
              </w:rPr>
              <w:t>亿元</w:t>
            </w:r>
          </w:p>
        </w:tc>
        <w:tc>
          <w:tcPr>
            <w:tcW w:w="681" w:type="pct"/>
            <w:tcBorders>
              <w:top w:val="single" w:sz="4" w:space="0" w:color="010000"/>
            </w:tcBorders>
            <w:vAlign w:val="center"/>
          </w:tcPr>
          <w:p w14:paraId="2254D44C" w14:textId="77777777" w:rsidR="004A0C46" w:rsidRPr="00670B1C" w:rsidRDefault="00000000" w:rsidP="00670B1C">
            <w:pPr>
              <w:jc w:val="left"/>
              <w:rPr>
                <w:rFonts w:hint="eastAsia"/>
                <w:color w:val="000000"/>
                <w:sz w:val="21"/>
              </w:rPr>
            </w:pPr>
            <w:r w:rsidRPr="00670B1C">
              <w:rPr>
                <w:rFonts w:hint="eastAsia"/>
                <w:color w:val="000000"/>
                <w:sz w:val="21"/>
              </w:rPr>
              <w:t>11.21</w:t>
            </w:r>
            <w:r w:rsidRPr="00670B1C">
              <w:rPr>
                <w:rFonts w:hint="eastAsia"/>
                <w:color w:val="000000"/>
                <w:sz w:val="21"/>
              </w:rPr>
              <w:t>亿元</w:t>
            </w:r>
          </w:p>
        </w:tc>
      </w:tr>
      <w:tr w:rsidR="004A0C46" w:rsidRPr="00670B1C" w14:paraId="1831BA1E" w14:textId="77777777" w:rsidTr="00670B1C">
        <w:trPr>
          <w:cantSplit/>
          <w:trHeight w:val="397"/>
          <w:jc w:val="center"/>
        </w:trPr>
        <w:tc>
          <w:tcPr>
            <w:tcW w:w="483" w:type="pct"/>
            <w:vAlign w:val="center"/>
          </w:tcPr>
          <w:p w14:paraId="4C9A3024" w14:textId="77777777" w:rsidR="004A0C46" w:rsidRPr="00670B1C" w:rsidRDefault="00000000" w:rsidP="00670B1C">
            <w:pPr>
              <w:jc w:val="left"/>
              <w:rPr>
                <w:rFonts w:hint="eastAsia"/>
                <w:color w:val="000000"/>
                <w:sz w:val="21"/>
              </w:rPr>
            </w:pPr>
            <w:r w:rsidRPr="00670B1C">
              <w:rPr>
                <w:rFonts w:hint="eastAsia"/>
                <w:color w:val="000000"/>
                <w:sz w:val="21"/>
              </w:rPr>
              <w:t>安仕科技</w:t>
            </w:r>
          </w:p>
        </w:tc>
        <w:tc>
          <w:tcPr>
            <w:tcW w:w="1449" w:type="pct"/>
            <w:vAlign w:val="center"/>
          </w:tcPr>
          <w:p w14:paraId="5235A3FA" w14:textId="77777777" w:rsidR="004A0C46" w:rsidRPr="00670B1C" w:rsidRDefault="00000000" w:rsidP="00670B1C">
            <w:pPr>
              <w:jc w:val="left"/>
              <w:rPr>
                <w:rFonts w:hint="eastAsia"/>
                <w:color w:val="000000"/>
                <w:sz w:val="21"/>
              </w:rPr>
            </w:pPr>
            <w:r w:rsidRPr="00670B1C">
              <w:rPr>
                <w:rFonts w:hint="eastAsia"/>
                <w:color w:val="000000"/>
                <w:sz w:val="21"/>
              </w:rPr>
              <w:t>创业板</w:t>
            </w:r>
            <w:r w:rsidRPr="00670B1C">
              <w:rPr>
                <w:rFonts w:hint="eastAsia"/>
                <w:color w:val="000000"/>
                <w:sz w:val="21"/>
              </w:rPr>
              <w:t>IPO</w:t>
            </w:r>
            <w:r w:rsidRPr="00670B1C">
              <w:rPr>
                <w:rFonts w:hint="eastAsia"/>
                <w:color w:val="000000"/>
                <w:sz w:val="21"/>
              </w:rPr>
              <w:t>于</w:t>
            </w:r>
            <w:r w:rsidRPr="00670B1C">
              <w:rPr>
                <w:rFonts w:hint="eastAsia"/>
                <w:color w:val="000000"/>
                <w:sz w:val="21"/>
              </w:rPr>
              <w:t>2026</w:t>
            </w:r>
            <w:r w:rsidRPr="00670B1C">
              <w:rPr>
                <w:rFonts w:hint="eastAsia"/>
                <w:color w:val="000000"/>
                <w:sz w:val="21"/>
              </w:rPr>
              <w:t>年</w:t>
            </w:r>
            <w:r w:rsidRPr="00670B1C">
              <w:rPr>
                <w:rFonts w:hint="eastAsia"/>
                <w:color w:val="000000"/>
                <w:sz w:val="21"/>
              </w:rPr>
              <w:t>6</w:t>
            </w:r>
            <w:r w:rsidRPr="00670B1C">
              <w:rPr>
                <w:rFonts w:hint="eastAsia"/>
                <w:color w:val="000000"/>
                <w:sz w:val="21"/>
              </w:rPr>
              <w:t>月</w:t>
            </w:r>
            <w:r w:rsidRPr="00670B1C">
              <w:rPr>
                <w:rFonts w:hint="eastAsia"/>
                <w:color w:val="000000"/>
                <w:sz w:val="21"/>
              </w:rPr>
              <w:t>8</w:t>
            </w:r>
            <w:r w:rsidRPr="00670B1C">
              <w:rPr>
                <w:rFonts w:hint="eastAsia"/>
                <w:color w:val="000000"/>
                <w:sz w:val="21"/>
              </w:rPr>
              <w:t>日受理，</w:t>
            </w:r>
            <w:r w:rsidRPr="00670B1C">
              <w:rPr>
                <w:rFonts w:hint="eastAsia"/>
                <w:color w:val="000000"/>
                <w:sz w:val="21"/>
              </w:rPr>
              <w:t>6</w:t>
            </w:r>
            <w:r w:rsidRPr="00670B1C">
              <w:rPr>
                <w:rFonts w:hint="eastAsia"/>
                <w:color w:val="000000"/>
                <w:sz w:val="21"/>
              </w:rPr>
              <w:t>月</w:t>
            </w:r>
            <w:r w:rsidRPr="00670B1C">
              <w:rPr>
                <w:rFonts w:hint="eastAsia"/>
                <w:color w:val="000000"/>
                <w:sz w:val="21"/>
              </w:rPr>
              <w:t>24</w:t>
            </w:r>
            <w:r w:rsidRPr="00670B1C">
              <w:rPr>
                <w:rFonts w:hint="eastAsia"/>
                <w:color w:val="000000"/>
                <w:sz w:val="21"/>
              </w:rPr>
              <w:t>日进入问询，拟募集资金</w:t>
            </w:r>
            <w:r w:rsidRPr="00670B1C">
              <w:rPr>
                <w:rFonts w:hint="eastAsia"/>
                <w:color w:val="000000"/>
                <w:sz w:val="21"/>
              </w:rPr>
              <w:t>12.183065</w:t>
            </w:r>
            <w:r w:rsidRPr="00670B1C">
              <w:rPr>
                <w:rFonts w:hint="eastAsia"/>
                <w:color w:val="000000"/>
                <w:sz w:val="21"/>
              </w:rPr>
              <w:t>亿元。</w:t>
            </w:r>
          </w:p>
        </w:tc>
        <w:tc>
          <w:tcPr>
            <w:tcW w:w="904" w:type="pct"/>
            <w:vAlign w:val="center"/>
          </w:tcPr>
          <w:p w14:paraId="6EE091EC" w14:textId="77777777" w:rsidR="004A0C46" w:rsidRPr="00670B1C" w:rsidRDefault="00000000" w:rsidP="00670B1C">
            <w:pPr>
              <w:jc w:val="left"/>
              <w:rPr>
                <w:rFonts w:hint="eastAsia"/>
                <w:color w:val="000000"/>
                <w:sz w:val="21"/>
              </w:rPr>
            </w:pPr>
            <w:r w:rsidRPr="00670B1C">
              <w:rPr>
                <w:rFonts w:hint="eastAsia"/>
                <w:color w:val="000000"/>
                <w:sz w:val="21"/>
              </w:rPr>
              <w:t>主要从事储能电池、工业动力电池和数据中心备电电池的研发、生产和销售，客户场景覆盖工商业储能、数据中心和工业设备。</w:t>
            </w:r>
          </w:p>
        </w:tc>
        <w:tc>
          <w:tcPr>
            <w:tcW w:w="943" w:type="pct"/>
            <w:vAlign w:val="center"/>
          </w:tcPr>
          <w:p w14:paraId="384AFE59" w14:textId="77777777" w:rsidR="004A0C46" w:rsidRPr="00670B1C" w:rsidRDefault="00000000" w:rsidP="00670B1C">
            <w:pPr>
              <w:jc w:val="left"/>
              <w:rPr>
                <w:rFonts w:hint="eastAsia"/>
                <w:color w:val="000000"/>
                <w:sz w:val="21"/>
              </w:rPr>
            </w:pPr>
            <w:r w:rsidRPr="00670B1C">
              <w:rPr>
                <w:rFonts w:hint="eastAsia"/>
                <w:color w:val="000000"/>
                <w:sz w:val="21"/>
              </w:rPr>
              <w:t>按拟发行股份不超过发行后总股本</w:t>
            </w:r>
            <w:r w:rsidRPr="00670B1C">
              <w:rPr>
                <w:rFonts w:hint="eastAsia"/>
                <w:color w:val="000000"/>
                <w:sz w:val="21"/>
              </w:rPr>
              <w:t>25%</w:t>
            </w:r>
            <w:r w:rsidRPr="00670B1C">
              <w:rPr>
                <w:rFonts w:hint="eastAsia"/>
                <w:color w:val="000000"/>
                <w:sz w:val="21"/>
              </w:rPr>
              <w:t>的假设，以拟募集资金机械倒算的参考估值约</w:t>
            </w:r>
            <w:r w:rsidRPr="00670B1C">
              <w:rPr>
                <w:rFonts w:hint="eastAsia"/>
                <w:color w:val="000000"/>
                <w:sz w:val="21"/>
              </w:rPr>
              <w:t>48.73</w:t>
            </w:r>
            <w:r w:rsidRPr="00670B1C">
              <w:rPr>
                <w:rFonts w:hint="eastAsia"/>
                <w:color w:val="000000"/>
                <w:sz w:val="21"/>
              </w:rPr>
              <w:t>亿元；该数值不代表实际发行估值。</w:t>
            </w:r>
          </w:p>
        </w:tc>
        <w:tc>
          <w:tcPr>
            <w:tcW w:w="540" w:type="pct"/>
            <w:vAlign w:val="center"/>
          </w:tcPr>
          <w:p w14:paraId="300C80AA" w14:textId="77777777" w:rsidR="004A0C46" w:rsidRPr="00670B1C" w:rsidRDefault="00000000" w:rsidP="00670B1C">
            <w:pPr>
              <w:jc w:val="left"/>
              <w:rPr>
                <w:rFonts w:hint="eastAsia"/>
                <w:color w:val="000000"/>
                <w:sz w:val="21"/>
              </w:rPr>
            </w:pPr>
            <w:r w:rsidRPr="00670B1C">
              <w:rPr>
                <w:rFonts w:hint="eastAsia"/>
                <w:color w:val="000000"/>
                <w:sz w:val="21"/>
              </w:rPr>
              <w:t>9.62</w:t>
            </w:r>
            <w:r w:rsidRPr="00670B1C">
              <w:rPr>
                <w:rFonts w:hint="eastAsia"/>
                <w:color w:val="000000"/>
                <w:sz w:val="21"/>
              </w:rPr>
              <w:t>亿元</w:t>
            </w:r>
          </w:p>
        </w:tc>
        <w:tc>
          <w:tcPr>
            <w:tcW w:w="681" w:type="pct"/>
            <w:vAlign w:val="center"/>
          </w:tcPr>
          <w:p w14:paraId="6AB0B58C" w14:textId="77777777" w:rsidR="004A0C46" w:rsidRPr="00670B1C" w:rsidRDefault="00000000" w:rsidP="00670B1C">
            <w:pPr>
              <w:jc w:val="left"/>
              <w:rPr>
                <w:rFonts w:hint="eastAsia"/>
                <w:color w:val="000000"/>
                <w:sz w:val="21"/>
              </w:rPr>
            </w:pPr>
            <w:r w:rsidRPr="00670B1C">
              <w:rPr>
                <w:rFonts w:hint="eastAsia"/>
                <w:color w:val="000000"/>
                <w:sz w:val="21"/>
              </w:rPr>
              <w:t>1.18</w:t>
            </w:r>
            <w:r w:rsidRPr="00670B1C">
              <w:rPr>
                <w:rFonts w:hint="eastAsia"/>
                <w:color w:val="000000"/>
                <w:sz w:val="21"/>
              </w:rPr>
              <w:t>亿元</w:t>
            </w:r>
          </w:p>
        </w:tc>
      </w:tr>
    </w:tbl>
    <w:p w14:paraId="158242A5" w14:textId="77777777" w:rsidR="004A0C46" w:rsidRPr="00592284" w:rsidRDefault="00000000" w:rsidP="00592284">
      <w:pPr>
        <w:pStyle w:val="3"/>
        <w:numPr>
          <w:ilvl w:val="0"/>
          <w:numId w:val="0"/>
        </w:numPr>
        <w:spacing w:before="156" w:after="156"/>
        <w:rPr>
          <w:rFonts w:hint="eastAsia"/>
        </w:rPr>
      </w:pPr>
      <w:bookmarkStart w:id="54" w:name="toc_target_28"/>
      <w:bookmarkStart w:id="55" w:name="_Toc236992665"/>
      <w:r w:rsidRPr="00592284">
        <w:rPr>
          <w:rFonts w:hint="eastAsia"/>
        </w:rPr>
        <w:t xml:space="preserve">6.3 </w:t>
      </w:r>
      <w:r w:rsidRPr="00592284">
        <w:rPr>
          <w:rFonts w:hint="eastAsia"/>
        </w:rPr>
        <w:t>正在辅导备案的企业</w:t>
      </w:r>
      <w:bookmarkEnd w:id="54"/>
      <w:bookmarkEnd w:id="55"/>
    </w:p>
    <w:tbl>
      <w:tblPr>
        <w:tblW w:w="5519"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val="04A0" w:firstRow="1" w:lastRow="0" w:firstColumn="1" w:lastColumn="0" w:noHBand="0" w:noVBand="1"/>
      </w:tblPr>
      <w:tblGrid>
        <w:gridCol w:w="1477"/>
        <w:gridCol w:w="2143"/>
        <w:gridCol w:w="2493"/>
        <w:gridCol w:w="3294"/>
      </w:tblGrid>
      <w:tr w:rsidR="004A0C46" w:rsidRPr="00670B1C" w14:paraId="0161E27C" w14:textId="77777777" w:rsidTr="00670B1C">
        <w:trPr>
          <w:cantSplit/>
          <w:trHeight w:val="397"/>
          <w:tblHeader/>
          <w:jc w:val="center"/>
        </w:trPr>
        <w:tc>
          <w:tcPr>
            <w:tcW w:w="785" w:type="pct"/>
            <w:tcBorders>
              <w:top w:val="single" w:sz="12" w:space="0" w:color="010000"/>
              <w:bottom w:val="single" w:sz="4" w:space="0" w:color="010000"/>
            </w:tcBorders>
            <w:vAlign w:val="center"/>
          </w:tcPr>
          <w:p w14:paraId="41436851" w14:textId="77777777" w:rsidR="004A0C46" w:rsidRPr="00670B1C" w:rsidRDefault="00000000" w:rsidP="00670B1C">
            <w:pPr>
              <w:keepNext/>
              <w:jc w:val="center"/>
              <w:rPr>
                <w:rFonts w:hint="eastAsia"/>
                <w:b/>
                <w:color w:val="000000"/>
                <w:sz w:val="21"/>
              </w:rPr>
            </w:pPr>
            <w:r w:rsidRPr="00670B1C">
              <w:rPr>
                <w:rFonts w:hint="eastAsia"/>
                <w:b/>
                <w:color w:val="000000"/>
                <w:sz w:val="21"/>
              </w:rPr>
              <w:t>企业</w:t>
            </w:r>
          </w:p>
        </w:tc>
        <w:tc>
          <w:tcPr>
            <w:tcW w:w="1139" w:type="pct"/>
            <w:tcBorders>
              <w:top w:val="single" w:sz="12" w:space="0" w:color="010000"/>
              <w:bottom w:val="single" w:sz="4" w:space="0" w:color="010000"/>
            </w:tcBorders>
            <w:vAlign w:val="center"/>
          </w:tcPr>
          <w:p w14:paraId="5205C3FE" w14:textId="77777777" w:rsidR="004A0C46" w:rsidRPr="00670B1C" w:rsidRDefault="00000000" w:rsidP="00670B1C">
            <w:pPr>
              <w:keepNext/>
              <w:jc w:val="center"/>
              <w:rPr>
                <w:rFonts w:hint="eastAsia"/>
                <w:b/>
                <w:color w:val="000000"/>
                <w:sz w:val="21"/>
              </w:rPr>
            </w:pPr>
            <w:r w:rsidRPr="00670B1C">
              <w:rPr>
                <w:rFonts w:hint="eastAsia"/>
                <w:b/>
                <w:color w:val="000000"/>
                <w:sz w:val="21"/>
              </w:rPr>
              <w:t>上市进度</w:t>
            </w:r>
          </w:p>
        </w:tc>
        <w:tc>
          <w:tcPr>
            <w:tcW w:w="1325" w:type="pct"/>
            <w:tcBorders>
              <w:top w:val="single" w:sz="12" w:space="0" w:color="010000"/>
              <w:bottom w:val="single" w:sz="4" w:space="0" w:color="010000"/>
            </w:tcBorders>
            <w:vAlign w:val="center"/>
          </w:tcPr>
          <w:p w14:paraId="423CB593" w14:textId="77777777" w:rsidR="004A0C46" w:rsidRPr="00670B1C" w:rsidRDefault="00000000" w:rsidP="00670B1C">
            <w:pPr>
              <w:keepNext/>
              <w:jc w:val="center"/>
              <w:rPr>
                <w:rFonts w:hint="eastAsia"/>
                <w:b/>
                <w:color w:val="000000"/>
                <w:sz w:val="21"/>
              </w:rPr>
            </w:pPr>
            <w:r w:rsidRPr="00670B1C">
              <w:rPr>
                <w:rFonts w:hint="eastAsia"/>
                <w:b/>
                <w:color w:val="000000"/>
                <w:sz w:val="21"/>
              </w:rPr>
              <w:t>核心业务</w:t>
            </w:r>
          </w:p>
        </w:tc>
        <w:tc>
          <w:tcPr>
            <w:tcW w:w="1752" w:type="pct"/>
            <w:tcBorders>
              <w:top w:val="single" w:sz="12" w:space="0" w:color="010000"/>
              <w:bottom w:val="single" w:sz="4" w:space="0" w:color="010000"/>
            </w:tcBorders>
            <w:vAlign w:val="center"/>
          </w:tcPr>
          <w:p w14:paraId="2E0E9B20" w14:textId="77777777" w:rsidR="004A0C46" w:rsidRPr="00670B1C" w:rsidRDefault="00000000" w:rsidP="00670B1C">
            <w:pPr>
              <w:keepNext/>
              <w:jc w:val="center"/>
              <w:rPr>
                <w:rFonts w:hint="eastAsia"/>
                <w:b/>
                <w:color w:val="000000"/>
                <w:sz w:val="21"/>
              </w:rPr>
            </w:pPr>
            <w:r w:rsidRPr="00670B1C">
              <w:rPr>
                <w:rFonts w:hint="eastAsia"/>
                <w:b/>
                <w:color w:val="000000"/>
                <w:sz w:val="21"/>
              </w:rPr>
              <w:t>公开财务及估值信息</w:t>
            </w:r>
          </w:p>
        </w:tc>
      </w:tr>
      <w:tr w:rsidR="004A0C46" w:rsidRPr="00670B1C" w14:paraId="33CE6FE2" w14:textId="77777777" w:rsidTr="00670B1C">
        <w:trPr>
          <w:cantSplit/>
          <w:trHeight w:val="397"/>
          <w:jc w:val="center"/>
        </w:trPr>
        <w:tc>
          <w:tcPr>
            <w:tcW w:w="785" w:type="pct"/>
            <w:tcBorders>
              <w:top w:val="single" w:sz="4" w:space="0" w:color="010000"/>
            </w:tcBorders>
            <w:vAlign w:val="center"/>
          </w:tcPr>
          <w:p w14:paraId="233A69F1" w14:textId="77777777" w:rsidR="004A0C46" w:rsidRPr="00670B1C" w:rsidRDefault="00000000" w:rsidP="00670B1C">
            <w:pPr>
              <w:jc w:val="left"/>
              <w:rPr>
                <w:rFonts w:hint="eastAsia"/>
                <w:color w:val="000000"/>
                <w:sz w:val="21"/>
              </w:rPr>
            </w:pPr>
            <w:r w:rsidRPr="00670B1C">
              <w:rPr>
                <w:rFonts w:hint="eastAsia"/>
                <w:color w:val="000000"/>
                <w:sz w:val="21"/>
              </w:rPr>
              <w:t>华赛能源</w:t>
            </w:r>
          </w:p>
        </w:tc>
        <w:tc>
          <w:tcPr>
            <w:tcW w:w="1139" w:type="pct"/>
            <w:tcBorders>
              <w:top w:val="single" w:sz="4" w:space="0" w:color="010000"/>
            </w:tcBorders>
            <w:vAlign w:val="center"/>
          </w:tcPr>
          <w:p w14:paraId="12FF138D" w14:textId="77777777" w:rsidR="004A0C46" w:rsidRPr="00670B1C" w:rsidRDefault="00000000" w:rsidP="00670B1C">
            <w:pPr>
              <w:jc w:val="left"/>
              <w:rPr>
                <w:rFonts w:hint="eastAsia"/>
                <w:color w:val="000000"/>
                <w:sz w:val="21"/>
              </w:rPr>
            </w:pPr>
            <w:r w:rsidRPr="00670B1C">
              <w:rPr>
                <w:rFonts w:hint="eastAsia"/>
                <w:color w:val="000000"/>
                <w:sz w:val="21"/>
              </w:rPr>
              <w:t>2025</w:t>
            </w:r>
            <w:r w:rsidRPr="00670B1C">
              <w:rPr>
                <w:rFonts w:hint="eastAsia"/>
                <w:color w:val="000000"/>
                <w:sz w:val="21"/>
              </w:rPr>
              <w:t>年</w:t>
            </w:r>
            <w:r w:rsidRPr="00670B1C">
              <w:rPr>
                <w:rFonts w:hint="eastAsia"/>
                <w:color w:val="000000"/>
                <w:sz w:val="21"/>
              </w:rPr>
              <w:t>9</w:t>
            </w:r>
            <w:r w:rsidRPr="00670B1C">
              <w:rPr>
                <w:rFonts w:hint="eastAsia"/>
                <w:color w:val="000000"/>
                <w:sz w:val="21"/>
              </w:rPr>
              <w:t>月</w:t>
            </w:r>
            <w:r w:rsidRPr="00670B1C">
              <w:rPr>
                <w:rFonts w:hint="eastAsia"/>
                <w:color w:val="000000"/>
                <w:sz w:val="21"/>
              </w:rPr>
              <w:t>9</w:t>
            </w:r>
            <w:r w:rsidRPr="00670B1C">
              <w:rPr>
                <w:rFonts w:hint="eastAsia"/>
                <w:color w:val="000000"/>
                <w:sz w:val="21"/>
              </w:rPr>
              <w:t>日与中信证券签署辅导协议，</w:t>
            </w:r>
            <w:r w:rsidRPr="00670B1C">
              <w:rPr>
                <w:rFonts w:hint="eastAsia"/>
                <w:color w:val="000000"/>
                <w:sz w:val="21"/>
              </w:rPr>
              <w:t>2026</w:t>
            </w:r>
            <w:r w:rsidRPr="00670B1C">
              <w:rPr>
                <w:rFonts w:hint="eastAsia"/>
                <w:color w:val="000000"/>
                <w:sz w:val="21"/>
              </w:rPr>
              <w:t>年</w:t>
            </w:r>
            <w:r w:rsidRPr="00670B1C">
              <w:rPr>
                <w:rFonts w:hint="eastAsia"/>
                <w:color w:val="000000"/>
                <w:sz w:val="21"/>
              </w:rPr>
              <w:t>1</w:t>
            </w:r>
            <w:r w:rsidRPr="00670B1C">
              <w:rPr>
                <w:rFonts w:hint="eastAsia"/>
                <w:color w:val="000000"/>
                <w:sz w:val="21"/>
              </w:rPr>
              <w:t>月</w:t>
            </w:r>
            <w:r w:rsidRPr="00670B1C">
              <w:rPr>
                <w:rFonts w:hint="eastAsia"/>
                <w:color w:val="000000"/>
                <w:sz w:val="21"/>
              </w:rPr>
              <w:t>9</w:t>
            </w:r>
            <w:r w:rsidRPr="00670B1C">
              <w:rPr>
                <w:rFonts w:hint="eastAsia"/>
                <w:color w:val="000000"/>
                <w:sz w:val="21"/>
              </w:rPr>
              <w:t>日完成安徽证监局辅导备案。</w:t>
            </w:r>
          </w:p>
        </w:tc>
        <w:tc>
          <w:tcPr>
            <w:tcW w:w="1325" w:type="pct"/>
            <w:tcBorders>
              <w:top w:val="single" w:sz="4" w:space="0" w:color="010000"/>
            </w:tcBorders>
            <w:vAlign w:val="center"/>
          </w:tcPr>
          <w:p w14:paraId="5E9DD4C3" w14:textId="77777777" w:rsidR="004A0C46" w:rsidRPr="00670B1C" w:rsidRDefault="00000000" w:rsidP="00670B1C">
            <w:pPr>
              <w:jc w:val="left"/>
              <w:rPr>
                <w:rFonts w:hint="eastAsia"/>
                <w:color w:val="000000"/>
                <w:sz w:val="21"/>
              </w:rPr>
            </w:pPr>
            <w:r w:rsidRPr="00670B1C">
              <w:rPr>
                <w:rFonts w:hint="eastAsia"/>
                <w:color w:val="000000"/>
                <w:sz w:val="21"/>
              </w:rPr>
              <w:t>围绕压缩空气储能和风光制氢提供工艺研发、设备研制、系统集成、工程建设及维护运营服务。</w:t>
            </w:r>
          </w:p>
        </w:tc>
        <w:tc>
          <w:tcPr>
            <w:tcW w:w="1752" w:type="pct"/>
            <w:tcBorders>
              <w:top w:val="single" w:sz="4" w:space="0" w:color="010000"/>
            </w:tcBorders>
            <w:vAlign w:val="center"/>
          </w:tcPr>
          <w:p w14:paraId="67F81870" w14:textId="77777777" w:rsidR="004A0C46" w:rsidRPr="00670B1C" w:rsidRDefault="00000000" w:rsidP="00670B1C">
            <w:pPr>
              <w:jc w:val="left"/>
              <w:rPr>
                <w:rFonts w:hint="eastAsia"/>
                <w:color w:val="000000"/>
                <w:sz w:val="21"/>
              </w:rPr>
            </w:pPr>
            <w:r w:rsidRPr="00670B1C">
              <w:rPr>
                <w:rFonts w:hint="eastAsia"/>
                <w:color w:val="000000"/>
                <w:sz w:val="21"/>
              </w:rPr>
              <w:t>尚处辅导阶段，未形成公开招股书；截至统计日，未见披露可用于倒算估值的拟募金额，也未见面向公众披露的</w:t>
            </w:r>
            <w:r w:rsidRPr="00670B1C">
              <w:rPr>
                <w:rFonts w:hint="eastAsia"/>
                <w:color w:val="000000"/>
                <w:sz w:val="21"/>
              </w:rPr>
              <w:t>2025</w:t>
            </w:r>
            <w:r w:rsidRPr="00670B1C">
              <w:rPr>
                <w:rFonts w:hint="eastAsia"/>
                <w:color w:val="000000"/>
                <w:sz w:val="21"/>
              </w:rPr>
              <w:t>年完整经审计营业收入和净利润。</w:t>
            </w:r>
          </w:p>
        </w:tc>
      </w:tr>
      <w:tr w:rsidR="004A0C46" w:rsidRPr="00670B1C" w14:paraId="467B6452" w14:textId="77777777" w:rsidTr="00670B1C">
        <w:trPr>
          <w:cantSplit/>
          <w:trHeight w:val="397"/>
          <w:jc w:val="center"/>
        </w:trPr>
        <w:tc>
          <w:tcPr>
            <w:tcW w:w="785" w:type="pct"/>
            <w:vAlign w:val="center"/>
          </w:tcPr>
          <w:p w14:paraId="11A6F9DC" w14:textId="77777777" w:rsidR="004A0C46" w:rsidRPr="00670B1C" w:rsidRDefault="00000000" w:rsidP="00670B1C">
            <w:pPr>
              <w:jc w:val="left"/>
              <w:rPr>
                <w:rFonts w:hint="eastAsia"/>
                <w:color w:val="000000"/>
                <w:sz w:val="21"/>
              </w:rPr>
            </w:pPr>
            <w:r w:rsidRPr="00670B1C">
              <w:rPr>
                <w:rFonts w:hint="eastAsia"/>
                <w:color w:val="000000"/>
                <w:sz w:val="21"/>
              </w:rPr>
              <w:t>海尔新能源</w:t>
            </w:r>
          </w:p>
        </w:tc>
        <w:tc>
          <w:tcPr>
            <w:tcW w:w="1139" w:type="pct"/>
            <w:vAlign w:val="center"/>
          </w:tcPr>
          <w:p w14:paraId="4DCC2EB5" w14:textId="77777777" w:rsidR="004A0C46" w:rsidRPr="00670B1C" w:rsidRDefault="00000000" w:rsidP="00670B1C">
            <w:pPr>
              <w:jc w:val="left"/>
              <w:rPr>
                <w:rFonts w:hint="eastAsia"/>
                <w:color w:val="000000"/>
                <w:sz w:val="21"/>
              </w:rPr>
            </w:pPr>
            <w:r w:rsidRPr="00670B1C">
              <w:rPr>
                <w:rFonts w:hint="eastAsia"/>
                <w:color w:val="000000"/>
                <w:sz w:val="21"/>
              </w:rPr>
              <w:t>青岛证监局公开汇总表显示，公司辅导备案日期为</w:t>
            </w:r>
            <w:r w:rsidRPr="00670B1C">
              <w:rPr>
                <w:rFonts w:hint="eastAsia"/>
                <w:color w:val="000000"/>
                <w:sz w:val="21"/>
              </w:rPr>
              <w:t>2025</w:t>
            </w:r>
            <w:r w:rsidRPr="00670B1C">
              <w:rPr>
                <w:rFonts w:hint="eastAsia"/>
                <w:color w:val="000000"/>
                <w:sz w:val="21"/>
              </w:rPr>
              <w:t>年</w:t>
            </w:r>
            <w:r w:rsidRPr="00670B1C">
              <w:rPr>
                <w:rFonts w:hint="eastAsia"/>
                <w:color w:val="000000"/>
                <w:sz w:val="21"/>
              </w:rPr>
              <w:t>12</w:t>
            </w:r>
            <w:r w:rsidRPr="00670B1C">
              <w:rPr>
                <w:rFonts w:hint="eastAsia"/>
                <w:color w:val="000000"/>
                <w:sz w:val="21"/>
              </w:rPr>
              <w:t>月</w:t>
            </w:r>
            <w:r w:rsidRPr="00670B1C">
              <w:rPr>
                <w:rFonts w:hint="eastAsia"/>
                <w:color w:val="000000"/>
                <w:sz w:val="21"/>
              </w:rPr>
              <w:t>31</w:t>
            </w:r>
            <w:r w:rsidRPr="00670B1C">
              <w:rPr>
                <w:rFonts w:hint="eastAsia"/>
                <w:color w:val="000000"/>
                <w:sz w:val="21"/>
              </w:rPr>
              <w:t>日。</w:t>
            </w:r>
          </w:p>
        </w:tc>
        <w:tc>
          <w:tcPr>
            <w:tcW w:w="1325" w:type="pct"/>
            <w:vAlign w:val="center"/>
          </w:tcPr>
          <w:p w14:paraId="2D28C207" w14:textId="77777777" w:rsidR="004A0C46" w:rsidRPr="00670B1C" w:rsidRDefault="00000000" w:rsidP="00670B1C">
            <w:pPr>
              <w:jc w:val="left"/>
              <w:rPr>
                <w:rFonts w:hint="eastAsia"/>
                <w:color w:val="000000"/>
                <w:sz w:val="21"/>
              </w:rPr>
            </w:pPr>
            <w:r w:rsidRPr="00670B1C">
              <w:rPr>
                <w:rFonts w:hint="eastAsia"/>
                <w:color w:val="000000"/>
                <w:sz w:val="21"/>
              </w:rPr>
              <w:t>围绕分布式光伏和储能提供勘察、设计、安装、售后及运维服务，同时布局户用光储充和工商业微网产品。</w:t>
            </w:r>
          </w:p>
        </w:tc>
        <w:tc>
          <w:tcPr>
            <w:tcW w:w="1752" w:type="pct"/>
            <w:vAlign w:val="center"/>
          </w:tcPr>
          <w:p w14:paraId="0FA84C14" w14:textId="77777777" w:rsidR="004A0C46" w:rsidRPr="00670B1C" w:rsidRDefault="00000000" w:rsidP="00670B1C">
            <w:pPr>
              <w:jc w:val="left"/>
              <w:rPr>
                <w:rFonts w:hint="eastAsia"/>
                <w:color w:val="000000"/>
                <w:sz w:val="21"/>
              </w:rPr>
            </w:pPr>
            <w:r w:rsidRPr="00670B1C">
              <w:rPr>
                <w:rFonts w:hint="eastAsia"/>
                <w:color w:val="000000"/>
                <w:sz w:val="21"/>
              </w:rPr>
              <w:t>尚处辅导阶段，未公开披露拟募金额和发行比例；截至统计日，未见面向公众披露的</w:t>
            </w:r>
            <w:r w:rsidRPr="00670B1C">
              <w:rPr>
                <w:rFonts w:hint="eastAsia"/>
                <w:color w:val="000000"/>
                <w:sz w:val="21"/>
              </w:rPr>
              <w:t>2025</w:t>
            </w:r>
            <w:r w:rsidRPr="00670B1C">
              <w:rPr>
                <w:rFonts w:hint="eastAsia"/>
                <w:color w:val="000000"/>
                <w:sz w:val="21"/>
              </w:rPr>
              <w:t>年完整经审计营业收入和净利润。</w:t>
            </w:r>
          </w:p>
        </w:tc>
      </w:tr>
    </w:tbl>
    <w:p w14:paraId="3AC0C691" w14:textId="77777777" w:rsidR="004A0C46" w:rsidRPr="00592284" w:rsidRDefault="00000000" w:rsidP="00592284">
      <w:pPr>
        <w:pStyle w:val="3"/>
        <w:numPr>
          <w:ilvl w:val="0"/>
          <w:numId w:val="0"/>
        </w:numPr>
        <w:spacing w:before="156" w:after="156"/>
        <w:rPr>
          <w:rFonts w:hint="eastAsia"/>
        </w:rPr>
      </w:pPr>
      <w:bookmarkStart w:id="56" w:name="toc_target_29"/>
      <w:bookmarkStart w:id="57" w:name="_Toc236992666"/>
      <w:r w:rsidRPr="00592284">
        <w:rPr>
          <w:rFonts w:hint="eastAsia"/>
        </w:rPr>
        <w:lastRenderedPageBreak/>
        <w:t xml:space="preserve">6.4 </w:t>
      </w:r>
      <w:r w:rsidRPr="00592284">
        <w:rPr>
          <w:rFonts w:hint="eastAsia"/>
        </w:rPr>
        <w:t>申请失效或状态发生变化的企业</w:t>
      </w:r>
      <w:bookmarkEnd w:id="56"/>
      <w:bookmarkEnd w:id="57"/>
    </w:p>
    <w:tbl>
      <w:tblPr>
        <w:tblW w:w="560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val="04A0" w:firstRow="1" w:lastRow="0" w:firstColumn="1" w:lastColumn="0" w:noHBand="0" w:noVBand="1"/>
      </w:tblPr>
      <w:tblGrid>
        <w:gridCol w:w="1569"/>
        <w:gridCol w:w="2477"/>
        <w:gridCol w:w="2242"/>
        <w:gridCol w:w="3260"/>
      </w:tblGrid>
      <w:tr w:rsidR="004A0C46" w:rsidRPr="00670B1C" w14:paraId="6DFCCED8" w14:textId="77777777" w:rsidTr="00670B1C">
        <w:trPr>
          <w:cantSplit/>
          <w:trHeight w:val="397"/>
          <w:tblHeader/>
          <w:jc w:val="center"/>
        </w:trPr>
        <w:tc>
          <w:tcPr>
            <w:tcW w:w="822" w:type="pct"/>
            <w:tcBorders>
              <w:top w:val="single" w:sz="12" w:space="0" w:color="010000"/>
              <w:bottom w:val="single" w:sz="4" w:space="0" w:color="010000"/>
            </w:tcBorders>
            <w:vAlign w:val="center"/>
          </w:tcPr>
          <w:p w14:paraId="108E6FB6" w14:textId="77777777" w:rsidR="004A0C46" w:rsidRPr="00670B1C" w:rsidRDefault="00000000" w:rsidP="00670B1C">
            <w:pPr>
              <w:keepNext/>
              <w:jc w:val="center"/>
              <w:rPr>
                <w:rFonts w:hint="eastAsia"/>
                <w:b/>
                <w:color w:val="000000"/>
                <w:sz w:val="21"/>
              </w:rPr>
            </w:pPr>
            <w:r w:rsidRPr="00670B1C">
              <w:rPr>
                <w:rFonts w:hint="eastAsia"/>
                <w:b/>
                <w:color w:val="000000"/>
                <w:sz w:val="21"/>
              </w:rPr>
              <w:t>企业</w:t>
            </w:r>
          </w:p>
        </w:tc>
        <w:tc>
          <w:tcPr>
            <w:tcW w:w="1297" w:type="pct"/>
            <w:tcBorders>
              <w:top w:val="single" w:sz="12" w:space="0" w:color="010000"/>
              <w:bottom w:val="single" w:sz="4" w:space="0" w:color="010000"/>
            </w:tcBorders>
            <w:vAlign w:val="center"/>
          </w:tcPr>
          <w:p w14:paraId="43605416" w14:textId="77777777" w:rsidR="004A0C46" w:rsidRPr="00670B1C" w:rsidRDefault="00000000" w:rsidP="00670B1C">
            <w:pPr>
              <w:keepNext/>
              <w:jc w:val="center"/>
              <w:rPr>
                <w:rFonts w:hint="eastAsia"/>
                <w:b/>
                <w:color w:val="000000"/>
                <w:sz w:val="21"/>
              </w:rPr>
            </w:pPr>
            <w:r w:rsidRPr="00670B1C">
              <w:rPr>
                <w:rFonts w:hint="eastAsia"/>
                <w:b/>
                <w:color w:val="000000"/>
                <w:sz w:val="21"/>
              </w:rPr>
              <w:t>上市进度</w:t>
            </w:r>
          </w:p>
        </w:tc>
        <w:tc>
          <w:tcPr>
            <w:tcW w:w="1174" w:type="pct"/>
            <w:tcBorders>
              <w:top w:val="single" w:sz="12" w:space="0" w:color="010000"/>
              <w:bottom w:val="single" w:sz="4" w:space="0" w:color="010000"/>
            </w:tcBorders>
            <w:vAlign w:val="center"/>
          </w:tcPr>
          <w:p w14:paraId="6186A7F5" w14:textId="77777777" w:rsidR="004A0C46" w:rsidRPr="00670B1C" w:rsidRDefault="00000000" w:rsidP="00670B1C">
            <w:pPr>
              <w:keepNext/>
              <w:jc w:val="center"/>
              <w:rPr>
                <w:rFonts w:hint="eastAsia"/>
                <w:b/>
                <w:color w:val="000000"/>
                <w:sz w:val="21"/>
              </w:rPr>
            </w:pPr>
            <w:r w:rsidRPr="00670B1C">
              <w:rPr>
                <w:rFonts w:hint="eastAsia"/>
                <w:b/>
                <w:color w:val="000000"/>
                <w:sz w:val="21"/>
              </w:rPr>
              <w:t>核心业务</w:t>
            </w:r>
          </w:p>
        </w:tc>
        <w:tc>
          <w:tcPr>
            <w:tcW w:w="1708" w:type="pct"/>
            <w:tcBorders>
              <w:top w:val="single" w:sz="12" w:space="0" w:color="010000"/>
              <w:bottom w:val="single" w:sz="4" w:space="0" w:color="010000"/>
            </w:tcBorders>
            <w:vAlign w:val="center"/>
          </w:tcPr>
          <w:p w14:paraId="05E6454A" w14:textId="77777777" w:rsidR="004A0C46" w:rsidRPr="00670B1C" w:rsidRDefault="00000000" w:rsidP="00670B1C">
            <w:pPr>
              <w:keepNext/>
              <w:jc w:val="center"/>
              <w:rPr>
                <w:rFonts w:hint="eastAsia"/>
                <w:b/>
                <w:color w:val="000000"/>
                <w:sz w:val="21"/>
              </w:rPr>
            </w:pPr>
            <w:r w:rsidRPr="00670B1C">
              <w:rPr>
                <w:rFonts w:hint="eastAsia"/>
                <w:b/>
                <w:color w:val="000000"/>
                <w:sz w:val="21"/>
              </w:rPr>
              <w:t>公开财务及估值信息</w:t>
            </w:r>
          </w:p>
        </w:tc>
      </w:tr>
      <w:tr w:rsidR="004A0C46" w:rsidRPr="00670B1C" w14:paraId="1EA94415" w14:textId="77777777" w:rsidTr="00670B1C">
        <w:trPr>
          <w:cantSplit/>
          <w:trHeight w:val="397"/>
          <w:jc w:val="center"/>
        </w:trPr>
        <w:tc>
          <w:tcPr>
            <w:tcW w:w="822" w:type="pct"/>
            <w:tcBorders>
              <w:top w:val="single" w:sz="4" w:space="0" w:color="010000"/>
            </w:tcBorders>
            <w:vAlign w:val="center"/>
          </w:tcPr>
          <w:p w14:paraId="16981FB2" w14:textId="77777777" w:rsidR="004A0C46" w:rsidRPr="00670B1C" w:rsidRDefault="00000000" w:rsidP="00670B1C">
            <w:pPr>
              <w:jc w:val="left"/>
              <w:rPr>
                <w:rFonts w:hint="eastAsia"/>
                <w:color w:val="000000"/>
                <w:sz w:val="21"/>
              </w:rPr>
            </w:pPr>
            <w:r w:rsidRPr="00670B1C">
              <w:rPr>
                <w:rFonts w:hint="eastAsia"/>
                <w:color w:val="000000"/>
                <w:sz w:val="21"/>
              </w:rPr>
              <w:t>海辰储能</w:t>
            </w:r>
          </w:p>
        </w:tc>
        <w:tc>
          <w:tcPr>
            <w:tcW w:w="1297" w:type="pct"/>
            <w:tcBorders>
              <w:top w:val="single" w:sz="4" w:space="0" w:color="010000"/>
            </w:tcBorders>
            <w:vAlign w:val="center"/>
          </w:tcPr>
          <w:p w14:paraId="6504A071" w14:textId="77777777" w:rsidR="004A0C46" w:rsidRPr="00670B1C" w:rsidRDefault="00000000" w:rsidP="00670B1C">
            <w:pPr>
              <w:jc w:val="left"/>
              <w:rPr>
                <w:rFonts w:hint="eastAsia"/>
                <w:color w:val="000000"/>
                <w:sz w:val="21"/>
              </w:rPr>
            </w:pPr>
            <w:r w:rsidRPr="00670B1C">
              <w:rPr>
                <w:rFonts w:hint="eastAsia"/>
                <w:color w:val="000000"/>
                <w:sz w:val="21"/>
              </w:rPr>
              <w:t>公司于</w:t>
            </w:r>
            <w:r w:rsidRPr="00670B1C">
              <w:rPr>
                <w:rFonts w:hint="eastAsia"/>
                <w:color w:val="000000"/>
                <w:sz w:val="21"/>
              </w:rPr>
              <w:t>2025</w:t>
            </w:r>
            <w:r w:rsidRPr="00670B1C">
              <w:rPr>
                <w:rFonts w:hint="eastAsia"/>
                <w:color w:val="000000"/>
                <w:sz w:val="21"/>
              </w:rPr>
              <w:t>年</w:t>
            </w:r>
            <w:r w:rsidRPr="00670B1C">
              <w:rPr>
                <w:rFonts w:hint="eastAsia"/>
                <w:color w:val="000000"/>
                <w:sz w:val="21"/>
              </w:rPr>
              <w:t>10</w:t>
            </w:r>
            <w:r w:rsidRPr="00670B1C">
              <w:rPr>
                <w:rFonts w:hint="eastAsia"/>
                <w:color w:val="000000"/>
                <w:sz w:val="21"/>
              </w:rPr>
              <w:t>月</w:t>
            </w:r>
            <w:r w:rsidRPr="00670B1C">
              <w:rPr>
                <w:rFonts w:hint="eastAsia"/>
                <w:color w:val="000000"/>
                <w:sz w:val="21"/>
              </w:rPr>
              <w:t>27</w:t>
            </w:r>
            <w:r w:rsidRPr="00670B1C">
              <w:rPr>
                <w:rFonts w:hint="eastAsia"/>
                <w:color w:val="000000"/>
                <w:sz w:val="21"/>
              </w:rPr>
              <w:t>日第二次向港交所递交上市申请；截至</w:t>
            </w:r>
            <w:r w:rsidRPr="00670B1C">
              <w:rPr>
                <w:rFonts w:hint="eastAsia"/>
                <w:color w:val="000000"/>
                <w:sz w:val="21"/>
              </w:rPr>
              <w:t>2026</w:t>
            </w:r>
            <w:r w:rsidRPr="00670B1C">
              <w:rPr>
                <w:rFonts w:hint="eastAsia"/>
                <w:color w:val="000000"/>
                <w:sz w:val="21"/>
              </w:rPr>
              <w:t>年</w:t>
            </w:r>
            <w:r w:rsidRPr="00670B1C">
              <w:rPr>
                <w:rFonts w:hint="eastAsia"/>
                <w:color w:val="000000"/>
                <w:sz w:val="21"/>
              </w:rPr>
              <w:t>5</w:t>
            </w:r>
            <w:r w:rsidRPr="00670B1C">
              <w:rPr>
                <w:rFonts w:hint="eastAsia"/>
                <w:color w:val="000000"/>
                <w:sz w:val="21"/>
              </w:rPr>
              <w:t>月初的公开信息，该申请版本已失效。</w:t>
            </w:r>
          </w:p>
        </w:tc>
        <w:tc>
          <w:tcPr>
            <w:tcW w:w="1174" w:type="pct"/>
            <w:tcBorders>
              <w:top w:val="single" w:sz="4" w:space="0" w:color="010000"/>
            </w:tcBorders>
            <w:vAlign w:val="center"/>
          </w:tcPr>
          <w:p w14:paraId="7D8BF267" w14:textId="77777777" w:rsidR="004A0C46" w:rsidRPr="00670B1C" w:rsidRDefault="00000000" w:rsidP="00670B1C">
            <w:pPr>
              <w:jc w:val="left"/>
              <w:rPr>
                <w:rFonts w:hint="eastAsia"/>
                <w:color w:val="000000"/>
                <w:sz w:val="21"/>
              </w:rPr>
            </w:pPr>
            <w:r w:rsidRPr="00670B1C">
              <w:rPr>
                <w:rFonts w:hint="eastAsia"/>
                <w:color w:val="000000"/>
                <w:sz w:val="21"/>
              </w:rPr>
              <w:t>专注于储能电池和储能系统的研发、生产与销售，产品覆盖大型储能、户用储能及长时储能场景。</w:t>
            </w:r>
          </w:p>
        </w:tc>
        <w:tc>
          <w:tcPr>
            <w:tcW w:w="1708" w:type="pct"/>
            <w:tcBorders>
              <w:top w:val="single" w:sz="4" w:space="0" w:color="010000"/>
            </w:tcBorders>
            <w:vAlign w:val="center"/>
          </w:tcPr>
          <w:p w14:paraId="7CDF5412" w14:textId="77777777" w:rsidR="004A0C46" w:rsidRPr="00670B1C" w:rsidRDefault="00000000" w:rsidP="00670B1C">
            <w:pPr>
              <w:jc w:val="left"/>
              <w:rPr>
                <w:rFonts w:hint="eastAsia"/>
                <w:color w:val="000000"/>
                <w:sz w:val="21"/>
              </w:rPr>
            </w:pPr>
            <w:r w:rsidRPr="00670B1C">
              <w:rPr>
                <w:rFonts w:hint="eastAsia"/>
                <w:color w:val="000000"/>
                <w:sz w:val="21"/>
              </w:rPr>
              <w:t>申请失效后暂无发行定价或可用于倒算估值的拟募集资金和发行比例。失效申请材料披露至</w:t>
            </w:r>
            <w:r w:rsidRPr="00670B1C">
              <w:rPr>
                <w:rFonts w:hint="eastAsia"/>
                <w:color w:val="000000"/>
                <w:sz w:val="21"/>
              </w:rPr>
              <w:t>2025</w:t>
            </w:r>
            <w:r w:rsidRPr="00670B1C">
              <w:rPr>
                <w:rFonts w:hint="eastAsia"/>
                <w:color w:val="000000"/>
                <w:sz w:val="21"/>
              </w:rPr>
              <w:t>年部分期间，未披露</w:t>
            </w:r>
            <w:r w:rsidRPr="00670B1C">
              <w:rPr>
                <w:rFonts w:hint="eastAsia"/>
                <w:color w:val="000000"/>
                <w:sz w:val="21"/>
              </w:rPr>
              <w:t>2025</w:t>
            </w:r>
            <w:r w:rsidRPr="00670B1C">
              <w:rPr>
                <w:rFonts w:hint="eastAsia"/>
                <w:color w:val="000000"/>
                <w:sz w:val="21"/>
              </w:rPr>
              <w:t>年全年经审计营业收入和净利润。</w:t>
            </w:r>
          </w:p>
        </w:tc>
      </w:tr>
    </w:tbl>
    <w:p w14:paraId="10D54E77" w14:textId="77777777" w:rsidR="004A0C46" w:rsidRDefault="004A0C46" w:rsidP="00670B1C">
      <w:pPr>
        <w:pStyle w:val="a0"/>
        <w:spacing w:before="156"/>
        <w:ind w:firstLine="480"/>
        <w:rPr>
          <w:rFonts w:eastAsia="宋体" w:hint="eastAsia"/>
          <w:szCs w:val="21"/>
        </w:rPr>
      </w:pPr>
    </w:p>
    <w:sectPr w:rsidR="004A0C46">
      <w:pgSz w:w="11906" w:h="16838"/>
      <w:pgMar w:top="1440" w:right="1800" w:bottom="1440" w:left="1800" w:header="720" w:footer="72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06E93" w14:textId="77777777" w:rsidR="00587D39" w:rsidRDefault="00587D39">
      <w:r>
        <w:separator/>
      </w:r>
    </w:p>
  </w:endnote>
  <w:endnote w:type="continuationSeparator" w:id="0">
    <w:p w14:paraId="4850330F" w14:textId="77777777" w:rsidR="00587D39" w:rsidRDefault="00587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84E0A" w14:textId="459487C3" w:rsidR="004A0C46" w:rsidRDefault="004A0C46" w:rsidP="000E155A">
    <w:pPr>
      <w:pStyle w:val="a8"/>
      <w:jc w:val="cen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0811145"/>
      <w:docPartObj>
        <w:docPartGallery w:val="Page Numbers (Bottom of Page)"/>
        <w:docPartUnique/>
      </w:docPartObj>
    </w:sdtPr>
    <w:sdtEndPr>
      <w:rPr>
        <w:rFonts w:ascii="Times New Roman" w:eastAsia="宋体" w:hAnsi="Times New Roman"/>
        <w:sz w:val="21"/>
        <w:szCs w:val="21"/>
      </w:rPr>
    </w:sdtEndPr>
    <w:sdtContent>
      <w:p w14:paraId="72B0EFA0" w14:textId="77777777" w:rsidR="000E155A" w:rsidRPr="000E155A" w:rsidRDefault="000E155A" w:rsidP="000E155A">
        <w:pPr>
          <w:pStyle w:val="a8"/>
          <w:jc w:val="center"/>
          <w:rPr>
            <w:rFonts w:ascii="Times New Roman" w:eastAsia="宋体" w:hAnsi="Times New Roman" w:hint="eastAsia"/>
            <w:sz w:val="21"/>
            <w:szCs w:val="21"/>
          </w:rPr>
        </w:pPr>
        <w:r w:rsidRPr="000E155A">
          <w:rPr>
            <w:rFonts w:ascii="Times New Roman" w:eastAsia="宋体" w:hAnsi="Times New Roman"/>
            <w:sz w:val="21"/>
            <w:szCs w:val="21"/>
          </w:rPr>
          <w:fldChar w:fldCharType="begin"/>
        </w:r>
        <w:r w:rsidRPr="000E155A">
          <w:rPr>
            <w:rFonts w:ascii="Times New Roman" w:eastAsia="宋体" w:hAnsi="Times New Roman"/>
            <w:sz w:val="21"/>
            <w:szCs w:val="21"/>
          </w:rPr>
          <w:instrText>PAGE   \* MERGEFORMAT</w:instrText>
        </w:r>
        <w:r w:rsidRPr="000E155A">
          <w:rPr>
            <w:rFonts w:ascii="Times New Roman" w:eastAsia="宋体" w:hAnsi="Times New Roman"/>
            <w:sz w:val="21"/>
            <w:szCs w:val="21"/>
          </w:rPr>
          <w:fldChar w:fldCharType="separate"/>
        </w:r>
        <w:r w:rsidRPr="000E155A">
          <w:rPr>
            <w:rFonts w:ascii="Times New Roman" w:eastAsia="宋体" w:hAnsi="Times New Roman"/>
            <w:sz w:val="21"/>
            <w:szCs w:val="21"/>
            <w:lang w:val="zh-CN"/>
          </w:rPr>
          <w:t>2</w:t>
        </w:r>
        <w:r w:rsidRPr="000E155A">
          <w:rPr>
            <w:rFonts w:ascii="Times New Roman" w:eastAsia="宋体" w:hAnsi="Times New Roman"/>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5E1C9" w14:textId="77777777" w:rsidR="00587D39" w:rsidRDefault="00587D39">
      <w:r>
        <w:separator/>
      </w:r>
    </w:p>
  </w:footnote>
  <w:footnote w:type="continuationSeparator" w:id="0">
    <w:p w14:paraId="50F506F9" w14:textId="77777777" w:rsidR="00587D39" w:rsidRDefault="00587D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79DB93"/>
    <w:multiLevelType w:val="singleLevel"/>
    <w:tmpl w:val="05D40FFA"/>
    <w:lvl w:ilvl="0">
      <w:start w:val="1"/>
      <w:numFmt w:val="chineseCounting"/>
      <w:suff w:val="nothing"/>
      <w:lvlText w:val="%1、"/>
      <w:lvlJc w:val="left"/>
      <w:rPr>
        <w:rFonts w:hint="eastAsia"/>
      </w:rPr>
    </w:lvl>
  </w:abstractNum>
  <w:abstractNum w:abstractNumId="1" w15:restartNumberingAfterBreak="0">
    <w:nsid w:val="211E2CC6"/>
    <w:multiLevelType w:val="multilevel"/>
    <w:tmpl w:val="54FE1F4C"/>
    <w:lvl w:ilvl="0">
      <w:start w:val="1"/>
      <w:numFmt w:val="chineseCounting"/>
      <w:lvlRestart w:val="0"/>
      <w:pStyle w:val="1"/>
      <w:suff w:val="space"/>
      <w:lvlText w:val="第%1节"/>
      <w:lvlJc w:val="left"/>
      <w:pPr>
        <w:ind w:left="0" w:firstLine="0"/>
      </w:pPr>
      <w:rPr>
        <w:rFonts w:ascii="黑体" w:eastAsia="黑体" w:hAnsi="黑体" w:hint="eastAsia"/>
        <w:b w:val="0"/>
        <w:i w:val="0"/>
        <w:sz w:val="32"/>
      </w:rPr>
    </w:lvl>
    <w:lvl w:ilvl="1">
      <w:start w:val="1"/>
      <w:numFmt w:val="chineseCounting"/>
      <w:pStyle w:val="2"/>
      <w:suff w:val="nothing"/>
      <w:lvlText w:val="%2、"/>
      <w:lvlJc w:val="left"/>
      <w:pPr>
        <w:ind w:left="0" w:firstLine="0"/>
      </w:pPr>
      <w:rPr>
        <w:rFonts w:hint="default"/>
        <w:b w:val="0"/>
        <w:i w:val="0"/>
        <w:sz w:val="28"/>
      </w:rPr>
    </w:lvl>
    <w:lvl w:ilvl="2">
      <w:start w:val="1"/>
      <w:numFmt w:val="chineseCounting"/>
      <w:pStyle w:val="3"/>
      <w:suff w:val="nothing"/>
      <w:lvlText w:val="（%3）"/>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suff w:val="nothing"/>
      <w:lvlText w:val="%4、"/>
      <w:lvlJc w:val="left"/>
      <w:pPr>
        <w:ind w:left="0" w:firstLine="0"/>
      </w:pPr>
      <w:rPr>
        <w:rFonts w:ascii="Times New Roman" w:hAnsi="Times New Roman" w:cs="Times New Roman" w:hint="default"/>
        <w:b/>
        <w:i w:val="0"/>
        <w:sz w:val="24"/>
      </w:rPr>
    </w:lvl>
    <w:lvl w:ilvl="4">
      <w:start w:val="1"/>
      <w:numFmt w:val="decimal"/>
      <w:pStyle w:val="5"/>
      <w:suff w:val="nothing"/>
      <w:lvlText w:val="（%5）"/>
      <w:lvlJc w:val="left"/>
      <w:pPr>
        <w:ind w:left="0" w:firstLine="0"/>
      </w:pPr>
      <w:rPr>
        <w:rFonts w:hint="default"/>
        <w:b w:val="0"/>
        <w:bCs w:val="0"/>
        <w:i w:val="0"/>
        <w:iCs w:val="0"/>
        <w:caps w:val="0"/>
        <w:smallCaps w:val="0"/>
        <w:strike w:val="0"/>
        <w:dstrike w:val="0"/>
        <w:outline w:val="0"/>
        <w:shadow w:val="0"/>
        <w:emboss w:val="0"/>
        <w:imprint w:val="0"/>
        <w:noProof w:val="0"/>
        <w:vanish w:val="0"/>
        <w:spacing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6"/>
      <w:suff w:val="nothing"/>
      <w:lvlText w:val="%6）"/>
      <w:lvlJc w:val="left"/>
      <w:pPr>
        <w:ind w:left="0" w:firstLine="0"/>
      </w:pPr>
      <w:rPr>
        <w:rFonts w:ascii="Times New Roman" w:hAnsi="Times New Roman" w:cs="Times New Roman" w:hint="default"/>
        <w:b w:val="0"/>
        <w:i w:val="0"/>
        <w:sz w:val="24"/>
        <w:u w:val="none"/>
        <w:em w:val="none"/>
      </w:rPr>
    </w:lvl>
    <w:lvl w:ilvl="6">
      <w:start w:val="1"/>
      <w:numFmt w:val="decimalEnclosedCircle"/>
      <w:pStyle w:val="7"/>
      <w:suff w:val="nothing"/>
      <w:lvlText w:val="%7"/>
      <w:lvlJc w:val="left"/>
      <w:pPr>
        <w:ind w:left="0" w:firstLine="0"/>
      </w:pPr>
      <w:rPr>
        <w:rFonts w:ascii="Times New Roman" w:hAnsi="Times New Roman" w:cs="Times New Roman" w:hint="default"/>
        <w:b w:val="0"/>
        <w:i w:val="0"/>
        <w:sz w:val="24"/>
        <w:lang w:val="en-US"/>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CFD45B3"/>
    <w:multiLevelType w:val="multilevel"/>
    <w:tmpl w:val="4718CA14"/>
    <w:lvl w:ilvl="0">
      <w:start w:val="1"/>
      <w:numFmt w:val="chineseCounting"/>
      <w:lvlRestart w:val="0"/>
      <w:suff w:val="space"/>
      <w:lvlText w:val="第%1节"/>
      <w:lvlJc w:val="left"/>
      <w:pPr>
        <w:ind w:left="0" w:firstLine="0"/>
      </w:pPr>
      <w:rPr>
        <w:rFonts w:ascii="黑体" w:eastAsia="黑体" w:hAnsi="黑体" w:hint="eastAsia"/>
        <w:b w:val="0"/>
        <w:i w:val="0"/>
        <w:sz w:val="32"/>
      </w:rPr>
    </w:lvl>
    <w:lvl w:ilvl="1">
      <w:start w:val="1"/>
      <w:numFmt w:val="chineseCounting"/>
      <w:suff w:val="nothing"/>
      <w:lvlText w:val="%2、"/>
      <w:lvlJc w:val="left"/>
      <w:pPr>
        <w:ind w:left="0" w:firstLine="0"/>
      </w:pPr>
      <w:rPr>
        <w:rFonts w:ascii="黑体" w:eastAsia="黑体" w:hAnsi="黑体" w:hint="eastAsia"/>
        <w:b w:val="0"/>
        <w:sz w:val="28"/>
      </w:rPr>
    </w:lvl>
    <w:lvl w:ilvl="2">
      <w:start w:val="1"/>
      <w:numFmt w:val="chineseCounting"/>
      <w:suff w:val="nothing"/>
      <w:lvlText w:val="（%3）"/>
      <w:lvlJc w:val="left"/>
      <w:pPr>
        <w:ind w:left="0" w:firstLine="0"/>
      </w:pPr>
      <w:rPr>
        <w:rFonts w:ascii="Times New Roman" w:hAnsi="Times New Roman" w:cs="Times New Roman"/>
        <w:b w:val="0"/>
        <w:sz w:val="24"/>
      </w:rPr>
    </w:lvl>
    <w:lvl w:ilvl="3">
      <w:start w:val="1"/>
      <w:numFmt w:val="decimal"/>
      <w:suff w:val="nothing"/>
      <w:lvlText w:val="%4、"/>
      <w:lvlJc w:val="left"/>
      <w:pPr>
        <w:ind w:left="0" w:firstLine="0"/>
      </w:pPr>
      <w:rPr>
        <w:rFonts w:ascii="Times New Roman" w:hAnsi="Times New Roman" w:cs="Times New Roman"/>
        <w:b/>
        <w:sz w:val="24"/>
      </w:rPr>
    </w:lvl>
    <w:lvl w:ilvl="4">
      <w:start w:val="1"/>
      <w:numFmt w:val="decimal"/>
      <w:suff w:val="nothing"/>
      <w:lvlText w:val="（%5）"/>
      <w:lvlJc w:val="left"/>
      <w:pPr>
        <w:ind w:left="0" w:firstLine="0"/>
      </w:pPr>
      <w:rPr>
        <w:rFonts w:ascii="Times New Roman" w:hAnsi="Times New Roman" w:cs="Times New Roman"/>
        <w:b w:val="0"/>
        <w:sz w:val="24"/>
      </w:rPr>
    </w:lvl>
    <w:lvl w:ilvl="5">
      <w:start w:val="1"/>
      <w:numFmt w:val="decimal"/>
      <w:suff w:val="nothing"/>
      <w:lvlText w:val="%6）"/>
      <w:lvlJc w:val="left"/>
      <w:pPr>
        <w:ind w:left="0" w:firstLine="0"/>
      </w:pPr>
      <w:rPr>
        <w:rFonts w:ascii="Times New Roman" w:hAnsi="Times New Roman" w:cs="Times New Roman"/>
        <w:b w:val="0"/>
        <w:sz w:val="24"/>
      </w:rPr>
    </w:lvl>
    <w:lvl w:ilvl="6">
      <w:start w:val="1"/>
      <w:numFmt w:val="decimalEnclosedCircle"/>
      <w:suff w:val="nothing"/>
      <w:lvlText w:val="%7"/>
      <w:lvlJc w:val="left"/>
      <w:pPr>
        <w:ind w:left="0" w:firstLine="0"/>
      </w:pPr>
      <w:rPr>
        <w:rFonts w:ascii="Times New Roman" w:hAnsi="Times New Roman" w:cs="Times New Roman"/>
        <w:b w:val="0"/>
        <w:sz w:val="24"/>
      </w:r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009019390">
    <w:abstractNumId w:val="0"/>
  </w:num>
  <w:num w:numId="2" w16cid:durableId="748382803">
    <w:abstractNumId w:val="1"/>
  </w:num>
  <w:num w:numId="3" w16cid:durableId="1148666522">
    <w:abstractNumId w:val="1"/>
  </w:num>
  <w:num w:numId="4" w16cid:durableId="1149790210">
    <w:abstractNumId w:val="1"/>
  </w:num>
  <w:num w:numId="5" w16cid:durableId="1733045307">
    <w:abstractNumId w:val="1"/>
  </w:num>
  <w:num w:numId="6" w16cid:durableId="138157883">
    <w:abstractNumId w:val="1"/>
  </w:num>
  <w:num w:numId="7" w16cid:durableId="1450584076">
    <w:abstractNumId w:val="1"/>
  </w:num>
  <w:num w:numId="8" w16cid:durableId="4719513">
    <w:abstractNumId w:val="1"/>
  </w:num>
  <w:num w:numId="9" w16cid:durableId="408430222">
    <w:abstractNumId w:val="2"/>
  </w:num>
  <w:num w:numId="10" w16cid:durableId="1237394881">
    <w:abstractNumId w:val="1"/>
  </w:num>
  <w:num w:numId="11" w16cid:durableId="653611128">
    <w:abstractNumId w:val="1"/>
  </w:num>
  <w:num w:numId="12" w16cid:durableId="1363748588">
    <w:abstractNumId w:val="1"/>
  </w:num>
  <w:num w:numId="13" w16cid:durableId="1630043532">
    <w:abstractNumId w:val="1"/>
  </w:num>
  <w:num w:numId="14" w16cid:durableId="972950653">
    <w:abstractNumId w:val="1"/>
  </w:num>
  <w:num w:numId="15" w16cid:durableId="1214850664">
    <w:abstractNumId w:val="1"/>
  </w:num>
  <w:num w:numId="16" w16cid:durableId="370418407">
    <w:abstractNumId w:val="1"/>
  </w:num>
  <w:num w:numId="17" w16cid:durableId="597367823">
    <w:abstractNumId w:val="1"/>
  </w:num>
  <w:num w:numId="18" w16cid:durableId="1243833782">
    <w:abstractNumId w:val="1"/>
  </w:num>
  <w:num w:numId="19" w16cid:durableId="1207722889">
    <w:abstractNumId w:val="1"/>
  </w:num>
  <w:num w:numId="20" w16cid:durableId="1554660264">
    <w:abstractNumId w:val="1"/>
  </w:num>
  <w:num w:numId="21" w16cid:durableId="1780833768">
    <w:abstractNumId w:val="1"/>
  </w:num>
  <w:num w:numId="22" w16cid:durableId="1908758277">
    <w:abstractNumId w:val="1"/>
  </w:num>
  <w:num w:numId="23" w16cid:durableId="1026911488">
    <w:abstractNumId w:val="1"/>
  </w:num>
  <w:num w:numId="24" w16cid:durableId="661542715">
    <w:abstractNumId w:val="1"/>
  </w:num>
  <w:num w:numId="25" w16cid:durableId="485240193">
    <w:abstractNumId w:val="1"/>
  </w:num>
  <w:num w:numId="26" w16cid:durableId="1799104121">
    <w:abstractNumId w:val="1"/>
  </w:num>
  <w:num w:numId="27" w16cid:durableId="1695225271">
    <w:abstractNumId w:val="1"/>
  </w:num>
  <w:num w:numId="28" w16cid:durableId="171526905">
    <w:abstractNumId w:val="1"/>
  </w:num>
  <w:num w:numId="29" w16cid:durableId="1766533285">
    <w:abstractNumId w:val="1"/>
  </w:num>
  <w:num w:numId="30" w16cid:durableId="816261382">
    <w:abstractNumId w:val="1"/>
  </w:num>
  <w:num w:numId="31" w16cid:durableId="438379917">
    <w:abstractNumId w:val="1"/>
  </w:num>
  <w:num w:numId="32" w16cid:durableId="19406082">
    <w:abstractNumId w:val="1"/>
  </w:num>
  <w:num w:numId="33" w16cid:durableId="248007036">
    <w:abstractNumId w:val="1"/>
  </w:num>
  <w:num w:numId="34" w16cid:durableId="1127120554">
    <w:abstractNumId w:val="1"/>
  </w:num>
  <w:num w:numId="35" w16cid:durableId="996304787">
    <w:abstractNumId w:val="1"/>
  </w:num>
  <w:num w:numId="36" w16cid:durableId="501506145">
    <w:abstractNumId w:val="1"/>
  </w:num>
  <w:num w:numId="37" w16cid:durableId="545683955">
    <w:abstractNumId w:val="1"/>
  </w:num>
  <w:num w:numId="38" w16cid:durableId="1273778634">
    <w:abstractNumId w:val="1"/>
  </w:num>
  <w:num w:numId="39" w16cid:durableId="845708765">
    <w:abstractNumId w:val="1"/>
  </w:num>
  <w:num w:numId="40" w16cid:durableId="426122848">
    <w:abstractNumId w:val="1"/>
  </w:num>
  <w:num w:numId="41" w16cid:durableId="856576277">
    <w:abstractNumId w:val="1"/>
  </w:num>
  <w:num w:numId="42" w16cid:durableId="2071923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ACFBC7B2"/>
    <w:rsid w:val="00085726"/>
    <w:rsid w:val="000E155A"/>
    <w:rsid w:val="000F283C"/>
    <w:rsid w:val="0011270F"/>
    <w:rsid w:val="001349C6"/>
    <w:rsid w:val="001950A1"/>
    <w:rsid w:val="0039617E"/>
    <w:rsid w:val="004378BA"/>
    <w:rsid w:val="004A0C46"/>
    <w:rsid w:val="004F7178"/>
    <w:rsid w:val="00555E6A"/>
    <w:rsid w:val="00587D39"/>
    <w:rsid w:val="00592284"/>
    <w:rsid w:val="005E7246"/>
    <w:rsid w:val="00662F6D"/>
    <w:rsid w:val="00670B1C"/>
    <w:rsid w:val="00795354"/>
    <w:rsid w:val="007E5EB5"/>
    <w:rsid w:val="00A34D1B"/>
    <w:rsid w:val="00AE02CD"/>
    <w:rsid w:val="00E419C7"/>
    <w:rsid w:val="00EC0E9A"/>
    <w:rsid w:val="00F27C6B"/>
    <w:rsid w:val="00FF56FE"/>
    <w:rsid w:val="29F9C83D"/>
    <w:rsid w:val="33F53DC0"/>
    <w:rsid w:val="353FEB1E"/>
    <w:rsid w:val="3DF3A5E0"/>
    <w:rsid w:val="3FCF0B00"/>
    <w:rsid w:val="3FF54F6B"/>
    <w:rsid w:val="3FFCB0C0"/>
    <w:rsid w:val="5717597D"/>
    <w:rsid w:val="5CBF3D48"/>
    <w:rsid w:val="5F7BA9D3"/>
    <w:rsid w:val="64DFFEC1"/>
    <w:rsid w:val="69B5CEB2"/>
    <w:rsid w:val="69FF8DFA"/>
    <w:rsid w:val="6EFB830B"/>
    <w:rsid w:val="77CDD5AC"/>
    <w:rsid w:val="7BFB9EEF"/>
    <w:rsid w:val="7C772AB6"/>
    <w:rsid w:val="7EF8F3DE"/>
    <w:rsid w:val="7F3BEA07"/>
    <w:rsid w:val="7FDD237B"/>
    <w:rsid w:val="ACFBC7B2"/>
    <w:rsid w:val="BAD50396"/>
    <w:rsid w:val="BDBEA619"/>
    <w:rsid w:val="BFB6F836"/>
    <w:rsid w:val="BFFBB6BF"/>
    <w:rsid w:val="DCFF672D"/>
    <w:rsid w:val="DF9FA881"/>
    <w:rsid w:val="DFFC800C"/>
    <w:rsid w:val="EC255AAB"/>
    <w:rsid w:val="EDB96F0D"/>
    <w:rsid w:val="EFFF2415"/>
    <w:rsid w:val="FB9D90C9"/>
    <w:rsid w:val="FCBD6A06"/>
    <w:rsid w:val="FDD2248A"/>
    <w:rsid w:val="FEE5C490"/>
    <w:rsid w:val="FF6EC6C0"/>
    <w:rsid w:val="FFA594DA"/>
    <w:rsid w:val="FFAEF88F"/>
    <w:rsid w:val="FFCB1C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0C6BCC"/>
  <w15:docId w15:val="{9B25C5D5-99CB-4FAB-AF7E-478891F1D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1" w:qFormat="1"/>
    <w:lsdException w:name="heading 2"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2" w:unhideWhenUsed="1" w:qFormat="1"/>
    <w:lsdException w:name="heading 8" w:semiHidden="1" w:unhideWhenUsed="1" w:qFormat="1"/>
    <w:lsdException w:name="heading 9" w:semiHidden="1" w:unhideWhenUsed="1" w:qFormat="1"/>
    <w:lsdException w:name="toc 1" w:uiPriority="39"/>
    <w:lsdException w:name="toc 2" w:uiPriority="39"/>
    <w:lsdException w:name="Normal Indent" w:qFormat="1"/>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62F6D"/>
    <w:pPr>
      <w:widowControl w:val="0"/>
      <w:jc w:val="both"/>
    </w:pPr>
    <w:rPr>
      <w:kern w:val="2"/>
    </w:rPr>
  </w:style>
  <w:style w:type="paragraph" w:styleId="1">
    <w:name w:val="heading 1"/>
    <w:next w:val="a0"/>
    <w:link w:val="10"/>
    <w:autoRedefine/>
    <w:uiPriority w:val="1"/>
    <w:qFormat/>
    <w:rsid w:val="000E155A"/>
    <w:pPr>
      <w:keepNext/>
      <w:keepLines/>
      <w:pageBreakBefore/>
      <w:numPr>
        <w:numId w:val="16"/>
      </w:numPr>
      <w:spacing w:beforeLines="50" w:before="50" w:afterLines="50" w:after="50" w:line="360" w:lineRule="auto"/>
      <w:jc w:val="center"/>
      <w:outlineLvl w:val="0"/>
    </w:pPr>
    <w:rPr>
      <w:rFonts w:eastAsia="黑体"/>
      <w:bCs/>
      <w:sz w:val="32"/>
      <w:szCs w:val="44"/>
    </w:rPr>
  </w:style>
  <w:style w:type="paragraph" w:styleId="2">
    <w:name w:val="heading 2"/>
    <w:next w:val="a0"/>
    <w:link w:val="20"/>
    <w:autoRedefine/>
    <w:uiPriority w:val="1"/>
    <w:qFormat/>
    <w:rsid w:val="000E155A"/>
    <w:pPr>
      <w:keepNext/>
      <w:keepLines/>
      <w:numPr>
        <w:ilvl w:val="1"/>
        <w:numId w:val="16"/>
      </w:numPr>
      <w:spacing w:beforeLines="50" w:before="50" w:afterLines="50" w:line="360" w:lineRule="auto"/>
      <w:jc w:val="both"/>
      <w:outlineLvl w:val="1"/>
    </w:pPr>
    <w:rPr>
      <w:rFonts w:eastAsia="黑体"/>
      <w:bCs/>
      <w:kern w:val="2"/>
      <w:sz w:val="28"/>
      <w:szCs w:val="32"/>
    </w:rPr>
  </w:style>
  <w:style w:type="paragraph" w:styleId="3">
    <w:name w:val="heading 3"/>
    <w:next w:val="a0"/>
    <w:link w:val="30"/>
    <w:autoRedefine/>
    <w:uiPriority w:val="1"/>
    <w:qFormat/>
    <w:rsid w:val="000F283C"/>
    <w:pPr>
      <w:keepNext/>
      <w:keepLines/>
      <w:numPr>
        <w:ilvl w:val="2"/>
        <w:numId w:val="16"/>
      </w:numPr>
      <w:spacing w:beforeLines="50" w:before="50" w:afterLines="50" w:line="360" w:lineRule="auto"/>
      <w:jc w:val="both"/>
      <w:outlineLvl w:val="2"/>
    </w:pPr>
    <w:rPr>
      <w:rFonts w:eastAsia="黑体"/>
      <w:bCs/>
      <w:color w:val="000000"/>
      <w:sz w:val="24"/>
      <w:szCs w:val="24"/>
      <w:lang w:eastAsia="ar-SA"/>
    </w:rPr>
  </w:style>
  <w:style w:type="paragraph" w:styleId="4">
    <w:name w:val="heading 4"/>
    <w:next w:val="a0"/>
    <w:link w:val="40"/>
    <w:autoRedefine/>
    <w:uiPriority w:val="1"/>
    <w:qFormat/>
    <w:rsid w:val="000E155A"/>
    <w:pPr>
      <w:keepNext/>
      <w:keepLines/>
      <w:numPr>
        <w:ilvl w:val="3"/>
        <w:numId w:val="16"/>
      </w:numPr>
      <w:spacing w:beforeLines="50" w:before="50" w:afterLines="50" w:after="50" w:line="360" w:lineRule="auto"/>
      <w:jc w:val="both"/>
      <w:outlineLvl w:val="3"/>
    </w:pPr>
    <w:rPr>
      <w:b/>
      <w:bCs/>
      <w:kern w:val="2"/>
      <w:szCs w:val="28"/>
    </w:rPr>
  </w:style>
  <w:style w:type="paragraph" w:styleId="5">
    <w:name w:val="heading 5"/>
    <w:next w:val="a0"/>
    <w:link w:val="50"/>
    <w:autoRedefine/>
    <w:uiPriority w:val="1"/>
    <w:qFormat/>
    <w:rsid w:val="000E155A"/>
    <w:pPr>
      <w:keepNext/>
      <w:keepLines/>
      <w:numPr>
        <w:ilvl w:val="4"/>
        <w:numId w:val="16"/>
      </w:numPr>
      <w:spacing w:beforeLines="50" w:before="50" w:afterLines="50" w:after="50" w:line="360" w:lineRule="auto"/>
      <w:outlineLvl w:val="4"/>
    </w:pPr>
    <w:rPr>
      <w:bCs/>
      <w:kern w:val="2"/>
      <w:szCs w:val="28"/>
    </w:rPr>
  </w:style>
  <w:style w:type="paragraph" w:styleId="6">
    <w:name w:val="heading 6"/>
    <w:next w:val="a0"/>
    <w:link w:val="60"/>
    <w:autoRedefine/>
    <w:uiPriority w:val="1"/>
    <w:qFormat/>
    <w:rsid w:val="000E155A"/>
    <w:pPr>
      <w:numPr>
        <w:ilvl w:val="5"/>
        <w:numId w:val="16"/>
      </w:numPr>
      <w:spacing w:beforeLines="50" w:before="50" w:afterLines="50" w:after="50" w:line="360" w:lineRule="auto"/>
      <w:jc w:val="both"/>
      <w:outlineLvl w:val="5"/>
    </w:pPr>
    <w:rPr>
      <w:bCs/>
      <w:kern w:val="2"/>
      <w:szCs w:val="24"/>
    </w:rPr>
  </w:style>
  <w:style w:type="paragraph" w:styleId="7">
    <w:name w:val="heading 7"/>
    <w:next w:val="a0"/>
    <w:link w:val="70"/>
    <w:autoRedefine/>
    <w:uiPriority w:val="2"/>
    <w:unhideWhenUsed/>
    <w:qFormat/>
    <w:rsid w:val="000E155A"/>
    <w:pPr>
      <w:keepNext/>
      <w:keepLines/>
      <w:numPr>
        <w:ilvl w:val="6"/>
        <w:numId w:val="16"/>
      </w:numPr>
      <w:spacing w:beforeLines="50" w:before="50" w:afterLines="50" w:after="50" w:line="360" w:lineRule="auto"/>
      <w:outlineLvl w:val="6"/>
    </w:pPr>
    <w:rPr>
      <w:bCs/>
      <w:kern w:val="2"/>
      <w:szCs w:val="24"/>
    </w:rPr>
  </w:style>
  <w:style w:type="character" w:default="1" w:styleId="a1">
    <w:name w:val="Default Paragraph Font"/>
    <w:uiPriority w:val="1"/>
    <w:semiHidden/>
    <w:unhideWhenUsed/>
  </w:style>
  <w:style w:type="table" w:default="1" w:styleId="a2">
    <w:name w:val="Normal Table"/>
    <w:uiPriority w:val="99"/>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1"/>
    <w:link w:val="1"/>
    <w:uiPriority w:val="1"/>
    <w:rsid w:val="000E155A"/>
    <w:rPr>
      <w:rFonts w:eastAsia="黑体"/>
      <w:bCs/>
      <w:sz w:val="32"/>
      <w:szCs w:val="44"/>
    </w:rPr>
  </w:style>
  <w:style w:type="paragraph" w:styleId="TOC">
    <w:name w:val="TOC Heading"/>
    <w:basedOn w:val="1"/>
    <w:next w:val="a"/>
    <w:uiPriority w:val="39"/>
    <w:unhideWhenUsed/>
    <w:qFormat/>
    <w:rsid w:val="000E155A"/>
    <w:pPr>
      <w:pageBreakBefore w:val="0"/>
      <w:numPr>
        <w:numId w:val="0"/>
      </w:numPr>
      <w:snapToGrid w:val="0"/>
      <w:spacing w:beforeLines="0" w:before="240" w:afterLines="0" w:after="0" w:line="259" w:lineRule="auto"/>
      <w:outlineLvl w:val="9"/>
    </w:pPr>
    <w:rPr>
      <w:bCs w:val="0"/>
      <w:szCs w:val="32"/>
    </w:rPr>
  </w:style>
  <w:style w:type="paragraph" w:styleId="TOC1">
    <w:name w:val="toc 1"/>
    <w:basedOn w:val="a"/>
    <w:next w:val="a"/>
    <w:autoRedefine/>
    <w:uiPriority w:val="39"/>
    <w:unhideWhenUsed/>
    <w:rsid w:val="00AE02CD"/>
    <w:pPr>
      <w:tabs>
        <w:tab w:val="right" w:leader="dot" w:pos="8299"/>
      </w:tabs>
    </w:pPr>
    <w:rPr>
      <w:rFonts w:cs="宋体"/>
      <w:b/>
      <w:bCs/>
      <w:noProof/>
    </w:rPr>
  </w:style>
  <w:style w:type="paragraph" w:styleId="TOC2">
    <w:name w:val="toc 2"/>
    <w:basedOn w:val="a"/>
    <w:next w:val="a"/>
    <w:autoRedefine/>
    <w:uiPriority w:val="39"/>
    <w:unhideWhenUsed/>
    <w:rsid w:val="000E155A"/>
    <w:pPr>
      <w:ind w:leftChars="200" w:left="420"/>
    </w:pPr>
    <w:rPr>
      <w:rFonts w:eastAsia="黑体"/>
    </w:rPr>
  </w:style>
  <w:style w:type="character" w:styleId="a5">
    <w:name w:val="Hyperlink"/>
    <w:basedOn w:val="a1"/>
    <w:uiPriority w:val="99"/>
    <w:unhideWhenUsed/>
    <w:rsid w:val="00085726"/>
    <w:rPr>
      <w:color w:val="0026E5" w:themeColor="hyperlink"/>
      <w:u w:val="single"/>
    </w:rPr>
  </w:style>
  <w:style w:type="paragraph" w:customStyle="1" w:styleId="11">
    <w:name w:val="样式1"/>
    <w:basedOn w:val="a"/>
    <w:qFormat/>
    <w:rsid w:val="000E155A"/>
    <w:pPr>
      <w:widowControl/>
      <w:spacing w:before="156" w:after="156" w:line="360" w:lineRule="auto"/>
      <w:ind w:firstLine="480"/>
    </w:pPr>
    <w:rPr>
      <w:rFonts w:ascii="宋体" w:hAnsi="宋体" w:cs="宋体"/>
      <w:szCs w:val="21"/>
    </w:rPr>
  </w:style>
  <w:style w:type="paragraph" w:styleId="a0">
    <w:name w:val="Normal Indent"/>
    <w:autoRedefine/>
    <w:qFormat/>
    <w:rsid w:val="000F283C"/>
    <w:pPr>
      <w:spacing w:beforeLines="50" w:before="50" w:line="360" w:lineRule="auto"/>
      <w:ind w:firstLineChars="200" w:firstLine="200"/>
      <w:jc w:val="both"/>
    </w:pPr>
    <w:rPr>
      <w:rFonts w:eastAsia="Times New Roman"/>
      <w:kern w:val="2"/>
      <w:sz w:val="24"/>
      <w:szCs w:val="23"/>
    </w:rPr>
  </w:style>
  <w:style w:type="character" w:customStyle="1" w:styleId="20">
    <w:name w:val="标题 2 字符"/>
    <w:basedOn w:val="a1"/>
    <w:link w:val="2"/>
    <w:uiPriority w:val="1"/>
    <w:rsid w:val="000E155A"/>
    <w:rPr>
      <w:rFonts w:eastAsia="黑体"/>
      <w:bCs/>
      <w:kern w:val="2"/>
      <w:sz w:val="28"/>
      <w:szCs w:val="32"/>
    </w:rPr>
  </w:style>
  <w:style w:type="character" w:customStyle="1" w:styleId="30">
    <w:name w:val="标题 3 字符"/>
    <w:basedOn w:val="a1"/>
    <w:link w:val="3"/>
    <w:uiPriority w:val="1"/>
    <w:rsid w:val="000F283C"/>
    <w:rPr>
      <w:rFonts w:eastAsia="黑体"/>
      <w:bCs/>
      <w:color w:val="000000"/>
      <w:sz w:val="24"/>
      <w:szCs w:val="24"/>
      <w:lang w:eastAsia="ar-SA"/>
    </w:rPr>
  </w:style>
  <w:style w:type="character" w:customStyle="1" w:styleId="40">
    <w:name w:val="标题 4 字符"/>
    <w:basedOn w:val="a1"/>
    <w:link w:val="4"/>
    <w:uiPriority w:val="1"/>
    <w:rsid w:val="000E155A"/>
    <w:rPr>
      <w:b/>
      <w:bCs/>
      <w:kern w:val="2"/>
      <w:szCs w:val="28"/>
    </w:rPr>
  </w:style>
  <w:style w:type="character" w:customStyle="1" w:styleId="50">
    <w:name w:val="标题 5 字符"/>
    <w:basedOn w:val="a1"/>
    <w:link w:val="5"/>
    <w:uiPriority w:val="1"/>
    <w:rsid w:val="000E155A"/>
    <w:rPr>
      <w:bCs/>
      <w:kern w:val="2"/>
      <w:szCs w:val="28"/>
    </w:rPr>
  </w:style>
  <w:style w:type="character" w:customStyle="1" w:styleId="60">
    <w:name w:val="标题 6 字符"/>
    <w:basedOn w:val="a1"/>
    <w:link w:val="6"/>
    <w:uiPriority w:val="1"/>
    <w:rsid w:val="000E155A"/>
    <w:rPr>
      <w:bCs/>
      <w:kern w:val="2"/>
      <w:szCs w:val="24"/>
    </w:rPr>
  </w:style>
  <w:style w:type="character" w:customStyle="1" w:styleId="70">
    <w:name w:val="标题 7 字符"/>
    <w:basedOn w:val="a1"/>
    <w:link w:val="7"/>
    <w:uiPriority w:val="2"/>
    <w:rsid w:val="000E155A"/>
    <w:rPr>
      <w:bCs/>
      <w:kern w:val="2"/>
      <w:szCs w:val="24"/>
    </w:rPr>
  </w:style>
  <w:style w:type="paragraph" w:customStyle="1" w:styleId="a6">
    <w:name w:val="表格后说明"/>
    <w:next w:val="a0"/>
    <w:autoRedefine/>
    <w:uiPriority w:val="3"/>
    <w:qFormat/>
    <w:rsid w:val="00F27C6B"/>
    <w:pPr>
      <w:jc w:val="both"/>
    </w:pPr>
    <w:rPr>
      <w:kern w:val="2"/>
      <w:sz w:val="21"/>
      <w:szCs w:val="28"/>
    </w:rPr>
  </w:style>
  <w:style w:type="paragraph" w:customStyle="1" w:styleId="a7">
    <w:name w:val="表格前单位"/>
    <w:next w:val="a0"/>
    <w:autoRedefine/>
    <w:uiPriority w:val="2"/>
    <w:qFormat/>
    <w:rsid w:val="000E155A"/>
    <w:pPr>
      <w:keepNext/>
      <w:jc w:val="right"/>
    </w:pPr>
    <w:rPr>
      <w:kern w:val="2"/>
      <w:szCs w:val="24"/>
    </w:rPr>
  </w:style>
  <w:style w:type="paragraph" w:styleId="a8">
    <w:name w:val="footer"/>
    <w:basedOn w:val="a"/>
    <w:link w:val="a9"/>
    <w:uiPriority w:val="99"/>
    <w:unhideWhenUsed/>
    <w:rsid w:val="000E155A"/>
    <w:pPr>
      <w:widowControl/>
      <w:tabs>
        <w:tab w:val="center" w:pos="4680"/>
        <w:tab w:val="right" w:pos="9360"/>
      </w:tabs>
      <w:jc w:val="left"/>
    </w:pPr>
    <w:rPr>
      <w:rFonts w:asciiTheme="minorHAnsi" w:eastAsiaTheme="minorEastAsia" w:hAnsiTheme="minorHAnsi"/>
      <w:kern w:val="0"/>
      <w:sz w:val="22"/>
      <w:szCs w:val="22"/>
    </w:rPr>
  </w:style>
  <w:style w:type="character" w:customStyle="1" w:styleId="a9">
    <w:name w:val="页脚 字符"/>
    <w:basedOn w:val="a1"/>
    <w:link w:val="a8"/>
    <w:uiPriority w:val="99"/>
    <w:rsid w:val="000E155A"/>
    <w:rPr>
      <w:rFonts w:asciiTheme="minorHAnsi" w:eastAsiaTheme="minorEastAsia" w:hAnsiTheme="minorHAnsi"/>
      <w:sz w:val="22"/>
      <w:szCs w:val="22"/>
    </w:rPr>
  </w:style>
  <w:style w:type="paragraph" w:styleId="aa">
    <w:name w:val="header"/>
    <w:basedOn w:val="a"/>
    <w:link w:val="ab"/>
    <w:rsid w:val="000E155A"/>
    <w:pPr>
      <w:tabs>
        <w:tab w:val="center" w:pos="4153"/>
        <w:tab w:val="right" w:pos="8306"/>
      </w:tabs>
      <w:snapToGrid w:val="0"/>
      <w:jc w:val="center"/>
    </w:pPr>
    <w:rPr>
      <w:sz w:val="18"/>
      <w:szCs w:val="18"/>
    </w:rPr>
  </w:style>
  <w:style w:type="character" w:customStyle="1" w:styleId="ab">
    <w:name w:val="页眉 字符"/>
    <w:basedOn w:val="a1"/>
    <w:link w:val="aa"/>
    <w:rsid w:val="000E155A"/>
    <w:rPr>
      <w:kern w:val="2"/>
      <w:sz w:val="18"/>
      <w:szCs w:val="18"/>
    </w:rPr>
  </w:style>
  <w:style w:type="paragraph" w:styleId="ac">
    <w:name w:val="Body Text Indent"/>
    <w:basedOn w:val="a"/>
    <w:link w:val="ad"/>
    <w:rsid w:val="000F283C"/>
    <w:pPr>
      <w:spacing w:after="120"/>
      <w:ind w:leftChars="200" w:left="420"/>
    </w:pPr>
  </w:style>
  <w:style w:type="character" w:customStyle="1" w:styleId="ad">
    <w:name w:val="正文文本缩进 字符"/>
    <w:basedOn w:val="a1"/>
    <w:link w:val="ac"/>
    <w:rsid w:val="000F283C"/>
    <w:rPr>
      <w:kern w:val="2"/>
    </w:rPr>
  </w:style>
  <w:style w:type="paragraph" w:styleId="12">
    <w:name w:val="index 1"/>
    <w:basedOn w:val="a"/>
    <w:next w:val="a"/>
    <w:autoRedefine/>
    <w:rsid w:val="000F283C"/>
  </w:style>
  <w:style w:type="paragraph" w:styleId="ae">
    <w:name w:val="index heading"/>
    <w:basedOn w:val="a"/>
    <w:next w:val="12"/>
    <w:rsid w:val="000F283C"/>
    <w:rPr>
      <w:rFonts w:asciiTheme="majorHAnsi" w:eastAsiaTheme="majorEastAsia" w:hAnsiTheme="majorHAnsi" w:cstheme="majorBidi"/>
      <w:b/>
      <w:bCs/>
    </w:rPr>
  </w:style>
  <w:style w:type="character" w:styleId="af">
    <w:name w:val="Strong"/>
    <w:basedOn w:val="a1"/>
    <w:qFormat/>
    <w:rsid w:val="00670B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B6E4C-15A4-441E-96C7-705407B4C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21</Pages>
  <Words>2508</Words>
  <Characters>14298</Characters>
  <Application>Microsoft Office Word</Application>
  <DocSecurity>0</DocSecurity>
  <Lines>119</Lines>
  <Paragraphs>33</Paragraphs>
  <ScaleCrop>false</ScaleCrop>
  <Company/>
  <LinksUpToDate>false</LinksUpToDate>
  <CharactersWithSpaces>16773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Wayne</dc:creator>
  <cp:lastModifiedBy>jack chan</cp:lastModifiedBy>
  <cp:revision>19</cp:revision>
  <dcterms:created xsi:type="dcterms:W3CDTF">2026-08-07T18:08:00Z</dcterms:created>
  <dcterms:modified xsi:type="dcterms:W3CDTF">2026-08-07T03:23:00Z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764EF9BCEDFD4B753EE5746A73860050_43</vt:lpwstr>
  </property>
</Properties>
</file>