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22</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w:t>
      </w:r>
    </w:p>
    <w:p>
      <w:pPr>
        <w:pStyle w:val="a0"/>
      </w:pPr>
      <w:r>
        <w:rPr>
          <w:rFonts w:hint="eastAsia"/>
        </w:rPr>
        <w:t>顺着机型往下查，气体喷头的技术路线可以收敛到金属一路，依据有三。一是机型本身。AHM、STRATA、Q-STRATA同属泛林VECTOR系列，为等离子体增强化学气相沉积与原子层沉积平台，用于介质薄膜沉积，并非刻蚀平台；而硅与碳化硅材质的气体分配盘主要用在刻蚀设备上。二是材质表述。行业媒体报道公司本轮融资用于全氟密封圈、金属喷头等配件，直接以金属指称该产品。三是经营范围。其中列有金属制品研发与制造，未见硅、碳化硅等半导体材料加工的对应项。据此判断，公司的气体喷头为铝合金加表面处理的金属件，装配于薄膜沉积设备，而非刻蚀设备用的硅或碳化硅气体分配盘；材料牌号与表面处理工艺仍需当面确认。公司四条产品线仍跨两条材料路线：喷头与门板走金属，加热盘走陶瓷，O型圈走高分子。</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列，本报告判断公司实际走金属路线，非金属一行一并列出以备核对；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气体喷头按两条材料路线分列，本报告判断公司实际走金属路线。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气体喷头按两条材料路线分列，本报告判断公司实际走金属路线。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无锡金源三条主力产品线分属不同材料，上游的约束是分开的：加热盘看氮化铝粉体，O型圈看全氟醚胶料，气体喷头按本报告的判断走金属路线，看铝材与表面处理。三者的国产化程度差得很远。</w:t>
      </w:r>
    </w:p>
    <w:p>
      <w:pPr>
        <w:pStyle w:val="a0"/>
      </w:pPr>
      <w:r>
        <w:rPr>
          <w:rFonts w:hint="eastAsia"/>
        </w:rPr>
        <w:t>氮化铝这一端正在快速切换。珂玛科技披露，我国先进陶瓷产业起步较晚，缺乏陶瓷粉料的一流国产供应商，氧化铝、氮化铝粉末终端需向日本、欧洲厂商采购。但其氮化铝原粉来自境外终端的比例，由2021年的91.86%降至2022年的80.70%、2023年的29.33%，境内生产商相应升至70.67%；同期氧化铝原粉仍有99.998%来自境外。陶瓷粉体整体仍靠进口，氮化铝是已经换过来的那一种。</w:t>
      </w:r>
    </w:p>
    <w:p>
      <w:pPr>
        <w:pStyle w:val="a0"/>
      </w:pPr>
      <w:r>
        <w:rPr>
          <w:rFonts w:hint="eastAsia"/>
        </w:rPr>
        <w:t>全氟醚胶料仍由境外主导，但下游已有成规模的国内供应商。芯密科技以半导体级全氟醚橡胶密封圈为主业，客户覆盖中国大陆前十大晶圆制造厂商中的九家，目前在科创板在审；其刻蚀用密封圈2022至2024年的毛利率为58.70%、61.72%、65.54%，高于本报告所列五家可比公司中的任何一家。这个毛利率说明门槛不在成型，而在胶料配方与验证。铝材一端门槛最低，差距体现在阳极氧化、熔射涂层等表面处理上。三条线合起来，公司在上游的真实风险集中在全氟醚胶料，氮化铝次之，铝材基本不构成风险。</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keepNext/>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气体分配盘／匀气盘（含硅、金属、碳化硅材质）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金属材质国内已有多家量产：先锋精科2023年匀气盘收入4,287.18万元、销量6,034件；托伦斯2025年匀气盘与气体分布盘合计5,369.76万元。碳化硅材质由日系、韩系制造商主导，国内尚无稳定量产企业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Electric等企业主导；国内产业化程度较低，氮化铝路线国产化率不足10%。但已有企业突破：珂玛科技的陶瓷加热器已实现量产并完成国产替代，先锋精科2023年加热器收入4,857.94万元、销量1,407件</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国内已有企业成规模供货：芯密科技（科创板在审）的刻蚀用密封圈2022至2024年收入由1,121.70万元增至9,109.84万元、销量由8,840个增至113,918个，客户覆盖中国大陆前十大晶圆制造厂商中的九家</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资料来源：臻宝科技招股说明书（注册稿）及其第二轮审核问询函回复；先锋精科、托伦斯、珂玛科技招股说明书（注册稿），本报告整理。注一：前两个品类的规模数据发布机构为QY Research（QYR）；后两个品类无独立的公开市场规模统计，本报告不作估算。注二：第一行中“国内尚无稳定量产企业”在臻宝科技招股说明书中专指碳化硅材质，而规模数据为含硅、金属、碳化硅的全品类，两者口径不同，本报告分别列示。注三：芯密科技数据取自臻宝科技第二轮问询回复所引其招股说明书。注四：金属结构件的国产化表述取自托伦斯招股说明书的机械类口径。注五：托伦斯匀气盘与气体分布盘的合计数系本报告加总。</w:t>
      </w:r>
    </w:p>
    <w:p>
      <w:pPr>
        <w:pStyle w:val="a0"/>
      </w:pPr>
      <w:r>
        <w:rPr>
          <w:rFonts w:hint="eastAsia"/>
        </w:rPr>
        <w:t>这四个品类的国内供给状况，需要按材质分开看，不能一概说空白。匀气盘、气体分布盘与加热器，国内已有多家公司成规模生产：先锋精科在薄膜沉积领域供应加热器与匀气盘，2023年两项收入合计9,145.12万元；托伦斯的匀气盘、气体分布盘与加热器2025年合计6,664.91万元；珂玛科技承担国家02专项的PECVD设备用陶瓷加热盘课题，产品已实现量产，并被同行认定为完成了该部件的国产替代；富创精密的工艺零部件中同样包含匀气盘。真正尚无国产稳定量产的，是碳化硅材质的气体分配盘；氮化铝路线的陶瓷加热器国产化率不足10%，属于刚被突破、尚未铺开的状态。密封件一端，芯密科技的刻蚀用密封圈三年内收入从1,121.70万元做到9,109.84万元，销量由8,840个增至113,918个，也已不是空白市场。</w:t>
      </w:r>
    </w:p>
    <w:p>
      <w:pPr>
        <w:pStyle w:val="a0"/>
      </w:pPr>
      <w:r>
        <w:rPr>
          <w:rFonts w:hint="eastAsia"/>
        </w:rPr>
        <w:t>四条产品线的分量并不相同。气体喷头与加热盘所在的品类价值量高、门槛集中在材料与精度，境外厂商仍占主导，替代空间最大；O型圈已有芯密科技这样的先行者，竞争不再是有无的问题；门板所属的金属结构件国产化率本身就较高，门槛集中在机加工与装配。</w:t>
      </w:r>
    </w:p>
    <w:p>
      <w:pPr>
        <w:pStyle w:val="a0"/>
      </w:pPr>
      <w:r>
        <w:rPr>
          <w:rFonts w:hint="eastAsia"/>
        </w:rPr>
        <w:t>本报告判断，公司的技术能力集中在气体喷头与加热盘两项，依据有三。一是替换位置。公司的喷头按泛林机型对位供货，尺寸、接口以至关键指标都要与进口原件对齐，否则无法装机。能进入这个位置，本身就是能力的证明。二是技术归属。加热盘走陶瓷路线，公司的技术积累以自有专利为载体，不依附于外部授权。三是服务形态。气体喷头属可再生耗材，公司在新件之外还能提供修复再用，这在同品类供应商中并不普遍。O型圈与密封件门板不构成主要的能力来源，本报告不单独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并不在这条曲线的同一位置。金属匀气盘属于已被国内厂商打开的品类，竞争对手是同行而非进口件；氮化铝陶瓷加热盘的国产化率仍不足10%，境外厂商占主导，替代空间更大。不过，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先锋精科的重合度最高：同样以金属件切入，在薄膜沉积领域供应加热器与匀气盘，与本报告对无锡金源的判断一致，且按单品披露毛利率。托伦斯的匀气盘、气体分布盘与加热器同样覆盖两条产品线，未标明适配机台。</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keepNext/>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按本报告判断为金属件，落在低毛利率一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keepNext/>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在薄膜沉积领域供应匀气盘与加热器，均为金属件，与两条核心产品线的对应关系最紧密，且按单品披露毛利率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产品与无锡金源不重合，入选理由为审核颗粒度：四轮问询下的产销勾稽与单位能耗核查为五家样本中最细，属制造型企业的共性问题</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主营刻蚀用单晶硅材料与硅零部件，与无锡金源的金属件不属同一材料路线，所处设备环节亦不同，本章仅援引其对制造型企业具有共性的问题，不作产品与经营层面的类比；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keepNext/>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同处零部件环节；其硅电极用于刻蚀设备，与无锡金源用于薄膜沉积的金属喷头功能相近、材料与机台均不同</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设备整机环节；按本报告判断，无锡金源的气体喷头与加热盘即用于薄膜沉积设备腔体，与该公司的整机系列直接对应</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同处零部件与耗材环节；其硅电极用于刻蚀设备，与无锡金源的金属喷头在材料与机台上均不同</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是否为铝合金加表面处理的金属件、是否只配薄膜沉积机台？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本报告依据官网机型、媒体表述与经营范围判断喷头走金属路线，需当面证实。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