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图1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1" name="Picture 1"/>
            <wp:cNvGraphicFramePr>
              <a:graphicFrameLocks noChangeAspect="1"/>
            </wp:cNvGraphicFramePr>
            <a:graphic>
              <a:graphicData uri="http://schemas.openxmlformats.org/drawingml/2006/picture">
                <pic:pic>
                  <pic:nvPicPr>
                    <pic:cNvPr id="0" name="fig0.png"/>
                    <pic:cNvPicPr/>
                  </pic:nvPicPr>
                  <pic:blipFill>
                    <a:blip r:embed="rId36"/>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公司处于中游环节，以一体化关节模组为主要产品形态。该环节向上对接基础材料与通用零部件供应，向下直接面向整机厂商，是连接基础制造能力与整机性能的中间环节。</w:t>
      </w:r>
    </w:p>
    <w:p>
      <w:pPr>
        <w:spacing w:line="360" w:lineRule="auto" w:before="120"/>
        <w:ind w:firstLine="482"/>
        <w:jc w:val="both"/>
      </w:pPr>
      <w:r>
        <w:rPr>
          <w:rFonts w:ascii="Times New Roman" w:hAnsi="Times New Roman" w:eastAsia="宋体"/>
          <w:b/>
          <w:sz w:val="24"/>
        </w:rPr>
        <w:t>2、一体化关节模组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成本方面，据觅途咨询测算，2025年特斯拉Optimus Gen2整机硬件成本约29万元，其中关节模组约15.8万元、占比约54%；该机型使用约28个关节模组，单个模组的平均成本约4,000元至6,500元。该机构同时判断，随着核心零部件国产化、结构集成化与装配自动化的推进，一体化关节模组的成本较当前水平仍有40%至60%的下降空间。</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3、谐波减速机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4、下游行业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需求放量的前提是人形机器人相对于人工岗位具备经济替代性。随着执行器自研、关键零部件垂直整合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从产业阶段看，觅途咨询将2025年界定为人形机器人小批量产元年、2026年为规模量产元年。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觅途咨询将产业价值中心的迁移划分为三个阶段：2025年以前为技术验证阶段，价值中心在整机厂；2026年至2030年为规模量产阶段，整机厂与关节模组厂商共同主导；2030年以后进入产业成熟阶段，由关节模组一级供应商主导。这一转变的成立需要三个前提：下游出货量达到可预测的规模、关节模组的接口与规格形成一定程度的标准化、供应商具备稳定的批量交付与一致性保障能力。更可能的形态是自研与外购并行，整机厂商在差异化环节保留自研，在标准化程度较高的规格上转向外购。对公司而言，未来数年是进入头部整机厂商供应体系的窗口期。</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表明本环节的竞争已转向规模与成本，对企业的供应链管理和量产成本控制能力提出了更高要求。</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觅途咨询则将一体化关节模组的核心壁垒归纳为设计、工艺、标定和供应链四个方面。就新进入者而言，本行业的主要壁垒体现为以下五类。</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占执行器成本的30%至50%，具备谐波减速机自研与量产能力的关节模组厂商在成本控制上具有起点优势；公司在谐波减速机之外进一步实现了驱动器、编码器和力传感器组件的自研，自研范围覆盖关节模组的主要构成部件。</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