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3"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_Toc900003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6"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_Toc900006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3.3 下游客户结构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0"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_Toc900010 \h </w:instrText>
            </w:r>
            <w:r>
              <w:rPr>
                <w:webHidden/>
                <w:noProof/>
                <w:sz w:val="24"/>
                <w:szCs w:val="24"/>
              </w:rPr>
              <w:fldChar w:fldCharType="separate"/>
            </w:r>
            <w:r>
              <w:rPr>
                <w:webHidden/>
                <w:noProof/>
                <w:sz w:val="24"/>
                <w:szCs w:val="24"/>
              </w:rPr>
              <w:t>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4"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_Toc900014 \h </w:instrText>
            </w:r>
            <w:r>
              <w:rPr>
                <w:webHidden/>
                <w:noProof/>
                <w:sz w:val="24"/>
                <w:szCs w:val="24"/>
              </w:rPr>
              <w:fldChar w:fldCharType="separate"/>
            </w:r>
            <w:r>
              <w:rPr>
                <w:webHidden/>
                <w:noProof/>
                <w:sz w:val="24"/>
                <w:szCs w:val="24"/>
              </w:rPr>
              <w:t>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5.2 不同材料路线的毛利率差异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9"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_Toc900019 \h </w:instrText>
            </w:r>
            <w:r>
              <w:rPr>
                <w:webHidden/>
                <w:noProof/>
                <w:sz w:val="24"/>
                <w:szCs w:val="24"/>
              </w:rPr>
              <w:fldChar w:fldCharType="separate"/>
            </w:r>
            <w:r>
              <w:rPr>
                <w:webHidden/>
                <w:noProof/>
                <w:sz w:val="24"/>
                <w:szCs w:val="24"/>
              </w:rPr>
              <w:t>10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_Toc900028 \h </w:instrText>
            </w:r>
            <w:r>
              <w:rPr>
                <w:webHidden/>
                <w:noProof/>
                <w:sz w:val="24"/>
                <w:szCs w:val="24"/>
              </w:rPr>
              <w:fldChar w:fldCharType="separate"/>
            </w:r>
            <w:r>
              <w:rPr>
                <w:webHidden/>
                <w:noProof/>
                <w:sz w:val="24"/>
                <w:szCs w:val="24"/>
              </w:rPr>
              <w:t>16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17</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九、 口径说明</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用于全氟密封圈、金属喷头等半导体设备关键配件的研发扩产与工艺优化；融资金额、投资方名单与特殊权利条款未见公开披露。</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公司官网产品中心列示四条产品线。各产品的材料牌号与工艺路线未作公开披露，下表右两列为同类部件的通行做法，公司的实际选择需当面确认。</w:t>
      </w:r>
    </w:p>
    <w:p>
      <w:pPr>
        <w:keepNext/>
        <w:jc w:val="center"/>
      </w:pPr>
      <w:r>
        <w:rPr>
          <w:rFonts w:hint="eastAsia"/>
          <w:b/>
          <w:sz w:val="21"/>
        </w:rPr>
        <w:t>表1  无锡金源产品线与同类产品的材料及工艺</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c>
          <w:tcPr>
            <w:tcW w:w="909" w:type="pct"/>
            <w:tcBorders>
              <w:top w:val="single" w:sz="12" w:space="0" w:color="010000"/>
              <w:bottom w:val="single" w:sz="4" w:space="0" w:color="010000"/>
            </w:tcBorders>
            <w:vAlign w:val="center"/>
          </w:tcPr>
          <w:p>
            <w:pPr>
              <w:keepNext/>
              <w:jc w:val="center"/>
            </w:pPr>
            <w:r/>
            <w:r>
              <w:rPr>
                <w:rFonts w:hint="eastAsia"/>
                <w:b/>
                <w:color w:val="000000"/>
                <w:sz w:val="21"/>
              </w:rPr>
              <w:t>同类产品的常见材料</w:t>
            </w:r>
          </w:p>
        </w:tc>
        <w:tc>
          <w:tcPr>
            <w:tcW w:w="1364" w:type="pct"/>
            <w:tcBorders>
              <w:top w:val="single" w:sz="12" w:space="0" w:color="010000"/>
              <w:bottom w:val="single" w:sz="4" w:space="0" w:color="010000"/>
            </w:tcBorders>
            <w:vAlign w:val="center"/>
          </w:tcPr>
          <w:p>
            <w:pPr>
              <w:keepNext/>
              <w:jc w:val="center"/>
            </w:pPr>
            <w:r/>
            <w:r>
              <w:rPr>
                <w:rFonts w:hint="eastAsia"/>
                <w:b/>
                <w:color w:val="000000"/>
                <w:sz w:val="21"/>
              </w:rPr>
              <w:t>同类产品的主要工艺</w:t>
            </w:r>
          </w:p>
        </w:tc>
      </w:tr>
      <w:tr>
        <w:trPr>
          <w:cantSplit/>
          <w:jc w:val="center"/>
        </w:trPr>
        <w:tc>
          <w:tcPr>
            <w:tcW w:w="545" w:type="pct"/>
            <w:tcBorders>
              <w:top w:val="single" w:sz="4" w:space="0" w:color="010000"/>
            </w:tcBorders>
            <w:vAlign w:val="center"/>
          </w:tcPr>
          <w:p>
            <w:pPr>
              <w:jc w:val="center"/>
            </w:pPr>
            <w:r/>
            <w:r>
              <w:rPr>
                <w:rFonts w:hint="eastAsia"/>
                <w:color w:val="000000"/>
                <w:sz w:val="21"/>
              </w:rPr>
              <w:t>精密气体喷头</w:t>
            </w:r>
          </w:p>
        </w:tc>
        <w:tc>
          <w:tcPr>
            <w:tcW w:w="1182" w:type="pct"/>
            <w:tcBorders>
              <w:top w:val="single" w:sz="4" w:space="0" w:color="010000"/>
            </w:tcBorders>
            <w:vAlign w:val="center"/>
          </w:tcPr>
          <w:p>
            <w:pPr>
              <w:jc w:val="left"/>
            </w:pPr>
            <w:r/>
            <w:r>
              <w:rPr>
                <w:rFonts w:hint="eastAsia"/>
                <w:color w:val="000000"/>
                <w:sz w:val="21"/>
              </w:rPr>
              <w:t>LAM AHM 300mm、LAM STRATA 300mm、LAM Q-STRATA 300mm</w:t>
            </w:r>
          </w:p>
        </w:tc>
        <w:tc>
          <w:tcPr>
            <w:tcW w:w="1000" w:type="pct"/>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909" w:type="pct"/>
            <w:tcBorders>
              <w:top w:val="single" w:sz="4" w:space="0" w:color="010000"/>
            </w:tcBorders>
            <w:vAlign w:val="center"/>
          </w:tcPr>
          <w:p>
            <w:pPr>
              <w:jc w:val="left"/>
            </w:pPr>
            <w:r/>
            <w:r>
              <w:rPr>
                <w:rFonts w:hint="eastAsia"/>
                <w:color w:val="000000"/>
                <w:sz w:val="21"/>
              </w:rPr>
              <w:t>铝合金及其表面处理层；硅；碳化硅；石英</w:t>
            </w:r>
          </w:p>
        </w:tc>
        <w:tc>
          <w:tcPr>
            <w:tcW w:w="1364" w:type="pct"/>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545" w:type="pct"/>
            <w:tcBorders>
              <w:top w:val="single" w:sz="4" w:space="0" w:color="010000"/>
            </w:tcBorders>
            <w:vAlign w:val="center"/>
          </w:tcPr>
          <w:p>
            <w:pPr>
              <w:jc w:val="center"/>
            </w:pPr>
            <w:r/>
            <w:r>
              <w:rPr>
                <w:rFonts w:hint="eastAsia"/>
                <w:color w:val="000000"/>
                <w:sz w:val="21"/>
              </w:rPr>
              <w:t>加热盘</w:t>
            </w:r>
          </w:p>
        </w:tc>
        <w:tc>
          <w:tcPr>
            <w:tcW w:w="1182" w:type="pct"/>
            <w:tcBorders>
              <w:top w:val="single" w:sz="4" w:space="0" w:color="010000"/>
            </w:tcBorders>
            <w:vAlign w:val="center"/>
          </w:tcPr>
          <w:p>
            <w:pPr>
              <w:jc w:val="left"/>
            </w:pPr>
            <w:r/>
            <w:r>
              <w:rPr>
                <w:rFonts w:hint="eastAsia"/>
                <w:color w:val="000000"/>
                <w:sz w:val="21"/>
              </w:rPr>
              <w:t>该栏目未列示具体型号</w:t>
            </w:r>
          </w:p>
        </w:tc>
        <w:tc>
          <w:tcPr>
            <w:tcW w:w="1000" w:type="pct"/>
            <w:tcBorders>
              <w:top w:val="single" w:sz="4" w:space="0" w:color="010000"/>
            </w:tcBorders>
            <w:vAlign w:val="center"/>
          </w:tcPr>
          <w:p>
            <w:pPr>
              <w:jc w:val="left"/>
            </w:pPr>
            <w:r/>
            <w:r>
              <w:rPr>
                <w:rFonts w:hint="eastAsia"/>
                <w:color w:val="000000"/>
                <w:sz w:val="21"/>
              </w:rPr>
              <w:t>承载晶圆并控制温度均匀性与稳定性</w:t>
            </w:r>
          </w:p>
        </w:tc>
        <w:tc>
          <w:tcPr>
            <w:tcW w:w="909" w:type="pct"/>
            <w:tcBorders>
              <w:top w:val="single" w:sz="4" w:space="0" w:color="010000"/>
            </w:tcBorders>
            <w:vAlign w:val="center"/>
          </w:tcPr>
          <w:p>
            <w:pPr>
              <w:jc w:val="left"/>
            </w:pPr>
            <w:r/>
            <w:r>
              <w:rPr>
                <w:rFonts w:hint="eastAsia"/>
                <w:color w:val="000000"/>
                <w:sz w:val="21"/>
              </w:rPr>
              <w:t>氮化铝陶瓷；氧化铝陶瓷；铝合金</w:t>
            </w:r>
          </w:p>
        </w:tc>
        <w:tc>
          <w:tcPr>
            <w:tcW w:w="1364" w:type="pct"/>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545" w:type="pct"/>
            <w:tcBorders>
              <w:top w:val="single" w:sz="4" w:space="0" w:color="010000"/>
            </w:tcBorders>
            <w:vAlign w:val="center"/>
          </w:tcPr>
          <w:p>
            <w:pPr>
              <w:jc w:val="center"/>
            </w:pPr>
            <w:r/>
            <w:r>
              <w:rPr>
                <w:rFonts w:hint="eastAsia"/>
                <w:color w:val="000000"/>
                <w:sz w:val="21"/>
              </w:rPr>
              <w:t>O型圈</w:t>
            </w:r>
          </w:p>
        </w:tc>
        <w:tc>
          <w:tcPr>
            <w:tcW w:w="1182"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000" w:type="pct"/>
            <w:tcBorders>
              <w:top w:val="single" w:sz="4" w:space="0" w:color="010000"/>
            </w:tcBorders>
            <w:vAlign w:val="center"/>
          </w:tcPr>
          <w:p>
            <w:pPr>
              <w:jc w:val="left"/>
            </w:pPr>
            <w:r/>
            <w:r>
              <w:rPr>
                <w:rFonts w:hint="eastAsia"/>
                <w:color w:val="000000"/>
                <w:sz w:val="21"/>
              </w:rPr>
              <w:t>真空腔体密封</w:t>
            </w:r>
          </w:p>
        </w:tc>
        <w:tc>
          <w:tcPr>
            <w:tcW w:w="909" w:type="pct"/>
            <w:tcBorders>
              <w:top w:val="single" w:sz="4" w:space="0" w:color="010000"/>
            </w:tcBorders>
            <w:vAlign w:val="center"/>
          </w:tcPr>
          <w:p>
            <w:pPr>
              <w:jc w:val="left"/>
            </w:pPr>
            <w:r/>
            <w:r>
              <w:rPr>
                <w:rFonts w:hint="eastAsia"/>
                <w:color w:val="000000"/>
                <w:sz w:val="21"/>
              </w:rPr>
              <w:t>全氟醚橡胶（FFKM）等高分子材料</w:t>
            </w:r>
          </w:p>
        </w:tc>
        <w:tc>
          <w:tcPr>
            <w:tcW w:w="1364" w:type="pct"/>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545" w:type="pct"/>
            <w:tcBorders>
              <w:top w:val="single" w:sz="4" w:space="0" w:color="010000"/>
            </w:tcBorders>
            <w:vAlign w:val="center"/>
          </w:tcPr>
          <w:p>
            <w:pPr>
              <w:jc w:val="center"/>
            </w:pPr>
            <w:r/>
            <w:r>
              <w:rPr>
                <w:rFonts w:hint="eastAsia"/>
                <w:color w:val="000000"/>
                <w:sz w:val="21"/>
              </w:rPr>
              <w:t>密封件门板</w:t>
            </w:r>
          </w:p>
        </w:tc>
        <w:tc>
          <w:tcPr>
            <w:tcW w:w="1182" w:type="pct"/>
            <w:tcBorders>
              <w:top w:val="single" w:sz="4" w:space="0" w:color="010000"/>
            </w:tcBorders>
            <w:vAlign w:val="center"/>
          </w:tcPr>
          <w:p>
            <w:pPr>
              <w:jc w:val="left"/>
            </w:pPr>
            <w:r/>
            <w:r>
              <w:rPr>
                <w:rFonts w:hint="eastAsia"/>
                <w:color w:val="000000"/>
                <w:sz w:val="21"/>
              </w:rPr>
              <w:t>方形门板、圆形门板</w:t>
            </w:r>
          </w:p>
        </w:tc>
        <w:tc>
          <w:tcPr>
            <w:tcW w:w="1000" w:type="pct"/>
            <w:tcBorders>
              <w:top w:val="single" w:sz="4" w:space="0" w:color="010000"/>
            </w:tcBorders>
            <w:vAlign w:val="center"/>
          </w:tcPr>
          <w:p>
            <w:pPr>
              <w:jc w:val="left"/>
            </w:pPr>
            <w:r/>
            <w:r>
              <w:rPr>
                <w:rFonts w:hint="eastAsia"/>
                <w:color w:val="000000"/>
                <w:sz w:val="21"/>
              </w:rPr>
              <w:t>腔体开合部位的密封与结构支撑</w:t>
            </w:r>
          </w:p>
        </w:tc>
        <w:tc>
          <w:tcPr>
            <w:tcW w:w="909" w:type="pct"/>
            <w:tcBorders>
              <w:top w:val="single" w:sz="4" w:space="0" w:color="010000"/>
            </w:tcBorders>
            <w:vAlign w:val="center"/>
          </w:tcPr>
          <w:p>
            <w:pPr>
              <w:jc w:val="left"/>
            </w:pPr>
            <w:r/>
            <w:r>
              <w:rPr>
                <w:rFonts w:hint="eastAsia"/>
                <w:color w:val="000000"/>
                <w:sz w:val="21"/>
              </w:rPr>
              <w:t>金属件与高分子密封件的组合</w:t>
            </w:r>
          </w:p>
        </w:tc>
        <w:tc>
          <w:tcPr>
            <w:tcW w:w="1364" w:type="pct"/>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w:t>
      </w:r>
    </w:p>
    <w:p>
      <w:pPr>
        <w:pStyle w:val="a0"/>
      </w:pPr>
      <w:r>
        <w:rPr>
          <w:rFonts w:hint="eastAsia"/>
        </w:rPr>
        <w:t>产品按客户机型命名。官网精密气体喷头栏目下的三个型号，标注的是设备厂商、平台名称与300mm制程，而非公司自定的规格编号，产品需与特定机型的既有部件在尺寸与接口上对应。公司的经营范围则同时覆盖金属与非金属两条材料路线，密封件制造、特种陶瓷制品制造与金属制品制造均在列。</w:t>
      </w:r>
    </w:p>
    <w:p>
      <w:pPr>
        <w:pStyle w:val="2"/>
        <w:spacing w:before="156" w:after="156"/>
      </w:pPr>
      <w:bookmarkStart w:id="1003" w:name="_Toc900003"/>
      <w:r>
        <w:rPr>
          <w:rFonts w:hint="eastAsia"/>
          <w:b/>
        </w:rPr>
        <w:t>所处环节与耗材属性</w:t>
      </w:r>
      <w:bookmarkEnd w:id="1003"/>
    </w:p>
    <w:p>
      <w:pPr>
        <w:pStyle w:val="3"/>
        <w:numPr>
          <w:ilvl w:val="0"/>
          <w:numId w:val="0"/>
        </w:numPr>
        <w:spacing w:before="156" w:after="156"/>
      </w:pPr>
      <w:bookmarkStart w:id="1004" w:name="_Toc900004"/>
      <w:r>
        <w:rPr>
          <w:rFonts w:hint="eastAsia"/>
        </w:rPr>
        <w:t>2.1 环节定位与零部件分类</w:t>
      </w:r>
      <w:bookmarkEnd w:id="1004"/>
    </w:p>
    <w:p>
      <w:pPr>
        <w:pStyle w:val="a0"/>
      </w:pPr>
      <w:r>
        <w:rPr>
          <w:rFonts w:hint="eastAsia"/>
        </w:rPr>
        <w:t>半导体设备零部件位于设备制造与晶圆制造之间，有两条采购路径：设备厂商采购用于整机装配，晶圆厂在设备运行中采购用于替换损耗件。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细分</w:t>
            </w:r>
          </w:p>
        </w:tc>
        <w:tc>
          <w:tcPr>
            <w:tcW w:w="2200"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0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金属工艺件</w:t>
            </w:r>
          </w:p>
        </w:tc>
        <w:tc>
          <w:tcPr>
            <w:tcW w:w="2200" w:type="pct"/>
            <w:tcBorders>
              <w:top w:val="single" w:sz="4" w:space="0" w:color="010000"/>
            </w:tcBorders>
            <w:vAlign w:val="center"/>
          </w:tcPr>
          <w:p>
            <w:pPr>
              <w:jc w:val="left"/>
            </w:pPr>
            <w:r/>
            <w:r>
              <w:rPr>
                <w:rFonts w:hint="eastAsia"/>
                <w:b/>
                <w:color w:val="000000"/>
                <w:sz w:val="21"/>
              </w:rPr>
              <w:t>反应腔、传输腔、过渡腔、金属上下部电极、金属壁板等</w:t>
            </w:r>
          </w:p>
        </w:tc>
        <w:tc>
          <w:tcPr>
            <w:tcW w:w="1300"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金属结构件</w:t>
            </w:r>
          </w:p>
        </w:tc>
        <w:tc>
          <w:tcPr>
            <w:tcW w:w="2200" w:type="pct"/>
            <w:tcBorders>
              <w:top w:val="single" w:sz="4" w:space="0" w:color="010000"/>
            </w:tcBorders>
            <w:vAlign w:val="center"/>
          </w:tcPr>
          <w:p>
            <w:pPr>
              <w:jc w:val="left"/>
            </w:pPr>
            <w:r/>
            <w:r>
              <w:rPr>
                <w:rFonts w:hint="eastAsia"/>
                <w:b/>
                <w:color w:val="000000"/>
                <w:sz w:val="21"/>
              </w:rPr>
              <w:t>托盘、底座、冷却板等</w:t>
            </w:r>
          </w:p>
        </w:tc>
        <w:tc>
          <w:tcPr>
            <w:tcW w:w="1300" w:type="pct"/>
            <w:tcBorders>
              <w:top w:val="single" w:sz="4" w:space="0" w:color="010000"/>
            </w:tcBorders>
            <w:vAlign w:val="center"/>
          </w:tcPr>
          <w:p>
            <w:pPr>
              <w:jc w:val="center"/>
            </w:pPr>
            <w:r/>
            <w:r>
              <w:rPr>
                <w:rFonts w:hint="eastAsia"/>
                <w:b/>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非金属机械件</w:t>
            </w:r>
          </w:p>
        </w:tc>
        <w:tc>
          <w:tcPr>
            <w:tcW w:w="2200" w:type="pct"/>
            <w:tcBorders>
              <w:top w:val="single" w:sz="4" w:space="0" w:color="010000"/>
            </w:tcBorders>
            <w:vAlign w:val="center"/>
          </w:tcPr>
          <w:p>
            <w:pPr>
              <w:jc w:val="left"/>
            </w:pPr>
            <w:r/>
            <w:r>
              <w:rPr>
                <w:rFonts w:hint="eastAsia"/>
                <w:b/>
                <w:color w:val="000000"/>
                <w:sz w:val="21"/>
              </w:rPr>
              <w:t>石英零部件、硅零部件、陶瓷零部件等</w:t>
            </w:r>
          </w:p>
        </w:tc>
        <w:tc>
          <w:tcPr>
            <w:tcW w:w="1300" w:type="pct"/>
            <w:tcBorders>
              <w:top w:val="single" w:sz="4" w:space="0" w:color="010000"/>
            </w:tcBorders>
            <w:vAlign w:val="center"/>
          </w:tcPr>
          <w:p>
            <w:pPr>
              <w:jc w:val="center"/>
            </w:pPr>
            <w:r/>
            <w:r>
              <w:rPr>
                <w:rFonts w:hint="eastAsia"/>
                <w:b/>
                <w:color w:val="000000"/>
                <w:sz w:val="21"/>
              </w:rPr>
              <w:t>精密气体喷头（非金属路线）、加热盘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气体输送系统类</w:t>
            </w:r>
          </w:p>
        </w:tc>
        <w:tc>
          <w:tcPr>
            <w:tcW w:w="2200" w:type="pct"/>
            <w:tcBorders>
              <w:top w:val="single" w:sz="4" w:space="0" w:color="010000"/>
            </w:tcBorders>
            <w:vAlign w:val="center"/>
          </w:tcPr>
          <w:p>
            <w:pPr>
              <w:jc w:val="left"/>
            </w:pPr>
            <w:r/>
            <w:r>
              <w:rPr>
                <w:rFonts w:hint="eastAsia"/>
                <w:color w:val="000000"/>
                <w:sz w:val="21"/>
              </w:rPr>
              <w:t>气柜、气体管路等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真空系统类</w:t>
            </w:r>
          </w:p>
        </w:tc>
        <w:tc>
          <w:tcPr>
            <w:tcW w:w="2200" w:type="pct"/>
            <w:tcBorders>
              <w:top w:val="single" w:sz="4" w:space="0" w:color="010000"/>
            </w:tcBorders>
            <w:vAlign w:val="center"/>
          </w:tcPr>
          <w:p>
            <w:pPr>
              <w:jc w:val="left"/>
            </w:pPr>
            <w:r/>
            <w:r>
              <w:rPr>
                <w:rFonts w:hint="eastAsia"/>
                <w:color w:val="000000"/>
                <w:sz w:val="21"/>
              </w:rPr>
              <w:t>真空阀门、分子泵等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气动液压系统类</w:t>
            </w:r>
          </w:p>
        </w:tc>
        <w:tc>
          <w:tcPr>
            <w:tcW w:w="2200" w:type="pct"/>
            <w:tcBorders>
              <w:top w:val="single" w:sz="4" w:space="0" w:color="010000"/>
            </w:tcBorders>
            <w:vAlign w:val="center"/>
          </w:tcPr>
          <w:p>
            <w:pPr>
              <w:jc w:val="left"/>
            </w:pPr>
            <w:r/>
            <w:r>
              <w:rPr>
                <w:rFonts w:hint="eastAsia"/>
                <w:color w:val="000000"/>
                <w:sz w:val="21"/>
              </w:rPr>
              <w:t>阀门、过滤器、液体管路等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射频电源、射频匹配器、供电系统等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设备前端模块、机械手、腔体模组、阀体模组、温控系统等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气体流量计、真空压力计等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激光源、物镜等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b/>
                <w:color w:val="000000"/>
                <w:sz w:val="21"/>
              </w:rPr>
              <w:t>其他</w:t>
            </w:r>
          </w:p>
        </w:tc>
        <w:tc>
          <w:tcPr>
            <w:tcW w:w="700" w:type="pct"/>
            <w:tcBorders>
              <w:top w:val="single" w:sz="4" w:space="0" w:color="010000"/>
            </w:tcBorders>
            <w:vAlign w:val="center"/>
          </w:tcPr>
          <w:p>
            <w:pPr>
              <w:jc w:val="center"/>
            </w:pPr>
            <w:r/>
            <w:r>
              <w:rPr>
                <w:rFonts w:hint="eastAsia"/>
                <w:b/>
                <w:color w:val="000000"/>
                <w:sz w:val="21"/>
              </w:rPr>
              <w:t>—</w:t>
            </w:r>
          </w:p>
        </w:tc>
        <w:tc>
          <w:tcPr>
            <w:tcW w:w="2200" w:type="pct"/>
            <w:tcBorders>
              <w:top w:val="single" w:sz="4" w:space="0" w:color="010000"/>
            </w:tcBorders>
            <w:vAlign w:val="center"/>
          </w:tcPr>
          <w:p>
            <w:pPr>
              <w:jc w:val="left"/>
            </w:pPr>
            <w:r/>
            <w:r>
              <w:rPr>
                <w:rFonts w:hint="eastAsia"/>
                <w:b/>
                <w:color w:val="000000"/>
                <w:sz w:val="21"/>
              </w:rPr>
              <w:t>各类耗材等</w:t>
            </w:r>
          </w:p>
        </w:tc>
        <w:tc>
          <w:tcPr>
            <w:tcW w:w="1300" w:type="pct"/>
            <w:tcBorders>
              <w:top w:val="single" w:sz="4" w:space="0" w:color="010000"/>
            </w:tcBorders>
            <w:vAlign w:val="center"/>
          </w:tcPr>
          <w:p>
            <w:pPr>
              <w:jc w:val="center"/>
            </w:pPr>
            <w:r/>
            <w:r>
              <w:rPr>
                <w:rFonts w:hint="eastAsia"/>
                <w:b/>
                <w:color w:val="000000"/>
                <w:sz w:val="21"/>
              </w:rPr>
              <w:t>O型圈</w:t>
            </w:r>
          </w:p>
        </w:tc>
      </w:tr>
    </w:tbl>
    <w:p>
      <w:pPr>
        <w:pStyle w:val="a6"/>
        <w:jc w:val="center"/>
      </w:pPr>
      <w:r>
        <w:rPr>
          <w:rFonts w:hint="eastAsia"/>
          <w:sz w:val="11"/>
          <w:szCs w:val="11"/>
        </w:rPr>
        <w:t>资料来源：臻宝科技招股说明书（注册稿），本报告整理。注：分类与细分口径取自臻宝科技招股说明书；无锡金源对应产品一列系本报告按产品功能与材料属性归入——气体喷头按材料路线分别归入金属工艺件与非金属机械件，加热盘按陶瓷零部件归入非金属机械件，密封件门板按结构件归入金属结构件，O型圈按耗材归入其他类；标注为“—”者公司无对应产品。</w:t>
      </w:r>
    </w:p>
    <w:p>
      <w:pPr>
        <w:pStyle w:val="3"/>
        <w:numPr>
          <w:ilvl w:val="0"/>
          <w:numId w:val="0"/>
        </w:numPr>
        <w:spacing w:before="156" w:after="156"/>
      </w:pPr>
      <w:bookmarkStart w:id="1005" w:name="_Toc900005"/>
      <w:r>
        <w:rPr>
          <w:rFonts w:hint="eastAsia"/>
        </w:rPr>
        <w:t>2.2 耗材属性与更换周期</w:t>
      </w:r>
      <w:bookmarkEnd w:id="1005"/>
    </w:p>
    <w:p>
      <w:pPr>
        <w:keepNext/>
        <w:jc w:val="center"/>
      </w:pPr>
      <w:r>
        <w:rPr>
          <w:rFonts w:hint="eastAsia"/>
          <w:b/>
          <w:sz w:val="21"/>
        </w:rPr>
        <w:t>表3  零部件的更换属性与无锡金源产品对应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82"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73"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c>
          <w:tcPr>
            <w:tcW w:w="1275"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金属工艺零部件</w:t>
            </w:r>
          </w:p>
        </w:tc>
        <w:tc>
          <w:tcPr>
            <w:tcW w:w="1471" w:type="pct"/>
            <w:tcBorders>
              <w:top w:val="single" w:sz="4" w:space="0" w:color="010000"/>
            </w:tcBorders>
            <w:vAlign w:val="center"/>
          </w:tcPr>
          <w:p>
            <w:pPr>
              <w:jc w:val="left"/>
            </w:pPr>
            <w:r/>
            <w:r>
              <w:rPr>
                <w:rFonts w:hint="eastAsia"/>
                <w:b/>
                <w:color w:val="000000"/>
                <w:sz w:val="21"/>
              </w:rPr>
              <w:t>内衬、匀气盘、气体分布盘等</w:t>
            </w:r>
          </w:p>
        </w:tc>
        <w:tc>
          <w:tcPr>
            <w:tcW w:w="1373" w:type="pct"/>
            <w:tcBorders>
              <w:top w:val="single" w:sz="4" w:space="0" w:color="010000"/>
            </w:tcBorders>
            <w:vAlign w:val="center"/>
          </w:tcPr>
          <w:p>
            <w:pPr>
              <w:jc w:val="left"/>
            </w:pPr>
            <w:r/>
            <w:r>
              <w:rPr>
                <w:rFonts w:hint="eastAsia"/>
                <w:b/>
                <w:color w:val="000000"/>
                <w:sz w:val="21"/>
              </w:rPr>
              <w:t>需要，周期相对较长，可经表面处理后再次使用</w:t>
            </w:r>
          </w:p>
        </w:tc>
        <w:tc>
          <w:tcPr>
            <w:tcW w:w="1275"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金属结构零部件</w:t>
            </w:r>
          </w:p>
        </w:tc>
        <w:tc>
          <w:tcPr>
            <w:tcW w:w="1471" w:type="pct"/>
            <w:tcBorders>
              <w:top w:val="single" w:sz="4" w:space="0" w:color="010000"/>
            </w:tcBorders>
            <w:vAlign w:val="center"/>
          </w:tcPr>
          <w:p>
            <w:pPr>
              <w:jc w:val="left"/>
            </w:pPr>
            <w:r/>
            <w:r>
              <w:rPr>
                <w:rFonts w:hint="eastAsia"/>
                <w:b/>
                <w:color w:val="000000"/>
                <w:sz w:val="21"/>
              </w:rPr>
              <w:t>托盘、底座、冷却板、腔体、法兰等</w:t>
            </w:r>
          </w:p>
        </w:tc>
        <w:tc>
          <w:tcPr>
            <w:tcW w:w="1373" w:type="pct"/>
            <w:tcBorders>
              <w:top w:val="single" w:sz="4" w:space="0" w:color="010000"/>
            </w:tcBorders>
            <w:vAlign w:val="center"/>
          </w:tcPr>
          <w:p>
            <w:pPr>
              <w:jc w:val="left"/>
            </w:pPr>
            <w:r/>
            <w:r>
              <w:rPr>
                <w:rFonts w:hint="eastAsia"/>
                <w:b/>
                <w:color w:val="000000"/>
                <w:sz w:val="21"/>
              </w:rPr>
              <w:t>否，伴随设备生命周期</w:t>
            </w:r>
          </w:p>
        </w:tc>
        <w:tc>
          <w:tcPr>
            <w:tcW w:w="1275" w:type="pct"/>
            <w:tcBorders>
              <w:top w:val="single" w:sz="4" w:space="0" w:color="010000"/>
            </w:tcBorders>
            <w:vAlign w:val="center"/>
          </w:tcPr>
          <w:p>
            <w:pPr>
              <w:jc w:val="center"/>
            </w:pPr>
            <w:r/>
            <w:r>
              <w:rPr>
                <w:rFonts w:hint="eastAsia"/>
                <w:b/>
                <w:color w:val="000000"/>
                <w:sz w:val="21"/>
              </w:rPr>
              <w:t>密封件门板（门板本体）</w:t>
            </w:r>
          </w:p>
        </w:tc>
      </w:tr>
      <w:tr>
        <w:trPr>
          <w:cantSplit/>
          <w:jc w:val="center"/>
        </w:trPr>
        <w:tc>
          <w:tcPr>
            <w:tcW w:w="882" w:type="pct"/>
            <w:tcBorders>
              <w:top w:val="single" w:sz="4" w:space="0" w:color="010000"/>
            </w:tcBorders>
            <w:vAlign w:val="center"/>
          </w:tcPr>
          <w:p>
            <w:pPr>
              <w:jc w:val="center"/>
            </w:pPr>
            <w:r/>
            <w:r>
              <w:rPr>
                <w:rFonts w:hint="eastAsia"/>
                <w:b/>
                <w:color w:val="000000"/>
                <w:sz w:val="21"/>
              </w:rPr>
              <w:t>硅、石英、碳化硅零部件</w:t>
            </w:r>
          </w:p>
        </w:tc>
        <w:tc>
          <w:tcPr>
            <w:tcW w:w="1471" w:type="pct"/>
            <w:tcBorders>
              <w:top w:val="single" w:sz="4" w:space="0" w:color="010000"/>
            </w:tcBorders>
            <w:vAlign w:val="center"/>
          </w:tcPr>
          <w:p>
            <w:pPr>
              <w:jc w:val="left"/>
            </w:pPr>
            <w:r/>
            <w:r>
              <w:rPr>
                <w:rFonts w:hint="eastAsia"/>
                <w:b/>
                <w:color w:val="000000"/>
                <w:sz w:val="21"/>
              </w:rPr>
              <w:t>硅电极、聚焦环、石英舟、碳化硅气体分配盘等</w:t>
            </w:r>
          </w:p>
        </w:tc>
        <w:tc>
          <w:tcPr>
            <w:tcW w:w="1373" w:type="pct"/>
            <w:tcBorders>
              <w:top w:val="single" w:sz="4" w:space="0" w:color="010000"/>
            </w:tcBorders>
            <w:vAlign w:val="center"/>
          </w:tcPr>
          <w:p>
            <w:pPr>
              <w:jc w:val="left"/>
            </w:pPr>
            <w:r/>
            <w:r>
              <w:rPr>
                <w:rFonts w:hint="eastAsia"/>
                <w:b/>
                <w:color w:val="000000"/>
                <w:sz w:val="21"/>
              </w:rPr>
              <w:t>需要，刻蚀设备中用量大、更换周期较短</w:t>
            </w:r>
          </w:p>
        </w:tc>
        <w:tc>
          <w:tcPr>
            <w:tcW w:w="1275" w:type="pct"/>
            <w:tcBorders>
              <w:top w:val="single" w:sz="4" w:space="0" w:color="010000"/>
            </w:tcBorders>
            <w:vAlign w:val="center"/>
          </w:tcPr>
          <w:p>
            <w:pPr>
              <w:jc w:val="center"/>
            </w:pPr>
            <w:r/>
            <w:r>
              <w:rPr>
                <w:rFonts w:hint="eastAsia"/>
                <w:b/>
                <w:color w:val="000000"/>
                <w:sz w:val="21"/>
              </w:rPr>
              <w:t>精密气体喷头（非金属路线）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陶瓷零部件</w:t>
            </w:r>
          </w:p>
        </w:tc>
        <w:tc>
          <w:tcPr>
            <w:tcW w:w="1471" w:type="pct"/>
            <w:tcBorders>
              <w:top w:val="single" w:sz="4" w:space="0" w:color="010000"/>
            </w:tcBorders>
            <w:vAlign w:val="center"/>
          </w:tcPr>
          <w:p>
            <w:pPr>
              <w:jc w:val="left"/>
            </w:pPr>
            <w:r/>
            <w:r>
              <w:rPr>
                <w:rFonts w:hint="eastAsia"/>
                <w:b/>
                <w:color w:val="000000"/>
                <w:sz w:val="21"/>
              </w:rPr>
              <w:t>陶瓷加热器、陶瓷筒、陶瓷板等</w:t>
            </w:r>
          </w:p>
        </w:tc>
        <w:tc>
          <w:tcPr>
            <w:tcW w:w="1373" w:type="pct"/>
            <w:tcBorders>
              <w:top w:val="single" w:sz="4" w:space="0" w:color="010000"/>
            </w:tcBorders>
            <w:vAlign w:val="center"/>
          </w:tcPr>
          <w:p>
            <w:pPr>
              <w:jc w:val="left"/>
            </w:pPr>
            <w:r/>
            <w:r>
              <w:rPr>
                <w:rFonts w:hint="eastAsia"/>
                <w:b/>
                <w:color w:val="000000"/>
                <w:sz w:val="21"/>
              </w:rPr>
              <w:t>需要，约1至3年更换一次</w:t>
            </w:r>
          </w:p>
        </w:tc>
        <w:tc>
          <w:tcPr>
            <w:tcW w:w="1275" w:type="pct"/>
            <w:tcBorders>
              <w:top w:val="single" w:sz="4" w:space="0" w:color="010000"/>
            </w:tcBorders>
            <w:vAlign w:val="center"/>
          </w:tcPr>
          <w:p>
            <w:pPr>
              <w:jc w:val="center"/>
            </w:pPr>
            <w:r/>
            <w:r>
              <w:rPr>
                <w:rFonts w:hint="eastAsia"/>
                <w:b/>
                <w:color w:val="000000"/>
                <w:sz w:val="21"/>
              </w:rPr>
              <w:t>加热盘（陶瓷路线）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密封件</w:t>
            </w:r>
          </w:p>
        </w:tc>
        <w:tc>
          <w:tcPr>
            <w:tcW w:w="1471" w:type="pct"/>
            <w:tcBorders>
              <w:top w:val="single" w:sz="4" w:space="0" w:color="010000"/>
            </w:tcBorders>
            <w:vAlign w:val="center"/>
          </w:tcPr>
          <w:p>
            <w:pPr>
              <w:jc w:val="left"/>
            </w:pPr>
            <w:r/>
            <w:r>
              <w:rPr>
                <w:rFonts w:hint="eastAsia"/>
                <w:b/>
                <w:color w:val="000000"/>
                <w:sz w:val="21"/>
              </w:rPr>
              <w:t>O型圈、密封垫等</w:t>
            </w:r>
          </w:p>
        </w:tc>
        <w:tc>
          <w:tcPr>
            <w:tcW w:w="1373" w:type="pct"/>
            <w:tcBorders>
              <w:top w:val="single" w:sz="4" w:space="0" w:color="010000"/>
            </w:tcBorders>
            <w:vAlign w:val="center"/>
          </w:tcPr>
          <w:p>
            <w:pPr>
              <w:jc w:val="left"/>
            </w:pPr>
            <w:r/>
            <w:r>
              <w:rPr>
                <w:rFonts w:hint="eastAsia"/>
                <w:b/>
                <w:color w:val="000000"/>
                <w:sz w:val="21"/>
              </w:rPr>
              <w:t>需要，随腔体开合与工艺环境损耗</w:t>
            </w:r>
          </w:p>
        </w:tc>
        <w:tc>
          <w:tcPr>
            <w:tcW w:w="1275" w:type="pct"/>
            <w:tcBorders>
              <w:top w:val="single" w:sz="4" w:space="0" w:color="010000"/>
            </w:tcBorders>
            <w:vAlign w:val="center"/>
          </w:tcPr>
          <w:p>
            <w:pPr>
              <w:jc w:val="center"/>
            </w:pPr>
            <w:r/>
            <w:r>
              <w:rPr>
                <w:rFonts w:hint="eastAsia"/>
                <w:b/>
                <w:color w:val="000000"/>
                <w:sz w:val="21"/>
              </w:rPr>
              <w:t>O型圈、门板上的密封件</w:t>
            </w:r>
          </w:p>
        </w:tc>
      </w:tr>
    </w:tbl>
    <w:p>
      <w:pPr>
        <w:pStyle w:val="a6"/>
        <w:jc w:val="center"/>
      </w:pPr>
      <w:r>
        <w:rPr>
          <w:rFonts w:hint="eastAsia"/>
          <w:sz w:val="11"/>
          <w:szCs w:val="11"/>
        </w:rPr>
        <w:t>资料来源：臻宝科技招股说明书（注册稿），本报告整理。注：末列系本报告按产品功能与材料属性归入。密封件门板由金属门板本体与其上的密封件组成，本体属结构件、密封件属耗材，两者更换属性不同，公司的实际供货形态为整体供货还是仅供密封件未见公开披露。密封件一行的更换属性未见独立的公开统计，按其在真空腔体中的损耗特征归入耗材。</w:t>
      </w:r>
    </w:p>
    <w:p>
      <w:pPr>
        <w:pStyle w:val="a0"/>
      </w:pPr>
      <w:r>
        <w:rPr>
          <w:rFonts w:hint="eastAsia"/>
        </w:rPr>
        <w:t>无锡金源的四条产品线中，精密气体喷头、加热盘与O型圈均落在需定期更换的品类，收入形态以重复性替换为主；密封件门板的门板本体属结构件，随设备生命周期，其上的密封件属耗材。</w:t>
      </w:r>
    </w:p>
    <w:p>
      <w:pPr>
        <w:pStyle w:val="2"/>
        <w:spacing w:before="156" w:after="156"/>
      </w:pPr>
      <w:bookmarkStart w:id="1006" w:name="_Toc900006"/>
      <w:r>
        <w:rPr>
          <w:rFonts w:hint="eastAsia"/>
          <w:b/>
        </w:rPr>
        <w:t>上游材料与中游制造</w:t>
      </w:r>
      <w:bookmarkEnd w:id="1006"/>
    </w:p>
    <w:p>
      <w:pPr>
        <w:pStyle w:val="3"/>
        <w:numPr>
          <w:ilvl w:val="0"/>
          <w:numId w:val="0"/>
        </w:numPr>
        <w:spacing w:before="156" w:after="156"/>
      </w:pPr>
      <w:bookmarkStart w:id="1007" w:name="_Toc900007"/>
      <w:r>
        <w:rPr>
          <w:rFonts w:hint="eastAsia"/>
        </w:rPr>
        <w:t>3.1 上游：材料与技术难点</w:t>
      </w:r>
      <w:bookmarkEnd w:id="1007"/>
    </w:p>
    <w:p>
      <w:pPr>
        <w:pStyle w:val="a0"/>
      </w:pPr>
      <w:r>
        <w:rPr>
          <w:rFonts w:hint="eastAsia"/>
        </w:rPr>
        <w:t>硅与碳化硅零部件用于刻蚀设备，用量大、更换周期短；石英零部件用于刻蚀与炉管设备；氧化铝与氮化铝陶瓷用于加热与绝缘部件；全氟醚橡胶等高分子材料用于真空密封件。材料的选择同时决定了零部件的耐受性能与加工工艺路线。</w:t>
      </w:r>
    </w:p>
    <w:p>
      <w:pPr>
        <w:keepNext/>
        <w:jc w:val="center"/>
      </w:pPr>
      <w:r>
        <w:rPr>
          <w:rFonts w:hint="eastAsia"/>
          <w:b/>
          <w:sz w:val="21"/>
        </w:rPr>
        <w:t>表4  机械类零部件按材质划分的技术难点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78" w:type="pct"/>
            <w:tcBorders>
              <w:top w:val="single" w:sz="12" w:space="0" w:color="010000"/>
              <w:bottom w:val="single" w:sz="4" w:space="0" w:color="010000"/>
            </w:tcBorders>
            <w:vAlign w:val="center"/>
          </w:tcPr>
          <w:p>
            <w:pPr>
              <w:keepNext/>
              <w:jc w:val="center"/>
            </w:pPr>
            <w:r/>
            <w:r>
              <w:rPr>
                <w:rFonts w:hint="eastAsia"/>
                <w:b/>
                <w:color w:val="000000"/>
                <w:sz w:val="21"/>
              </w:rPr>
              <w:t>材料</w:t>
            </w:r>
          </w:p>
        </w:tc>
        <w:tc>
          <w:tcPr>
            <w:tcW w:w="2889" w:type="pct"/>
            <w:tcBorders>
              <w:top w:val="single" w:sz="12" w:space="0" w:color="010000"/>
              <w:bottom w:val="single" w:sz="4" w:space="0" w:color="010000"/>
            </w:tcBorders>
            <w:vAlign w:val="center"/>
          </w:tcPr>
          <w:p>
            <w:pPr>
              <w:keepNext/>
              <w:jc w:val="center"/>
            </w:pPr>
            <w:r/>
            <w:r>
              <w:rPr>
                <w:rFonts w:hint="eastAsia"/>
                <w:b/>
                <w:color w:val="000000"/>
                <w:sz w:val="21"/>
              </w:rPr>
              <w:t>技术难点</w:t>
            </w:r>
          </w:p>
        </w:tc>
        <w:tc>
          <w:tcPr>
            <w:tcW w:w="1333"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r>
      <w:tr>
        <w:trPr>
          <w:cantSplit/>
          <w:jc w:val="center"/>
        </w:trPr>
        <w:tc>
          <w:tcPr>
            <w:tcW w:w="778" w:type="pct"/>
            <w:tcBorders>
              <w:top w:val="single" w:sz="4" w:space="0" w:color="010000"/>
            </w:tcBorders>
            <w:vAlign w:val="center"/>
          </w:tcPr>
          <w:p>
            <w:pPr>
              <w:jc w:val="center"/>
            </w:pPr>
            <w:r/>
            <w:r>
              <w:rPr>
                <w:rFonts w:hint="eastAsia"/>
                <w:b/>
                <w:color w:val="000000"/>
                <w:sz w:val="21"/>
              </w:rPr>
              <w:t>金属件</w:t>
            </w:r>
          </w:p>
        </w:tc>
        <w:tc>
          <w:tcPr>
            <w:tcW w:w="2889" w:type="pct"/>
            <w:tcBorders>
              <w:top w:val="single" w:sz="4" w:space="0" w:color="010000"/>
            </w:tcBorders>
            <w:vAlign w:val="center"/>
          </w:tcPr>
          <w:p>
            <w:pPr>
              <w:jc w:val="left"/>
            </w:pPr>
            <w:r/>
            <w:r>
              <w:rPr>
                <w:rFonts w:hint="eastAsia"/>
                <w:b/>
                <w:color w:val="000000"/>
                <w:sz w:val="21"/>
              </w:rPr>
              <w:t>能承受较大机械应力和负载，难点集中在加工精度、分析检测、焊接及表面处理，需满足零部件物理结构及洁净度的极高要求</w:t>
            </w:r>
          </w:p>
        </w:tc>
        <w:tc>
          <w:tcPr>
            <w:tcW w:w="1333" w:type="pct"/>
            <w:tcBorders>
              <w:top w:val="single" w:sz="4" w:space="0" w:color="010000"/>
            </w:tcBorders>
            <w:vAlign w:val="center"/>
          </w:tcPr>
          <w:p>
            <w:pPr>
              <w:jc w:val="left"/>
            </w:pPr>
            <w:r/>
            <w:r>
              <w:rPr>
                <w:rFonts w:hint="eastAsia"/>
                <w:b/>
                <w:color w:val="000000"/>
                <w:sz w:val="21"/>
              </w:rPr>
              <w:t>精密气体喷头（金属路线）、密封件门板</w:t>
            </w:r>
          </w:p>
        </w:tc>
      </w:tr>
      <w:tr>
        <w:trPr>
          <w:cantSplit/>
          <w:jc w:val="center"/>
        </w:trPr>
        <w:tc>
          <w:tcPr>
            <w:tcW w:w="778" w:type="pct"/>
            <w:tcBorders>
              <w:top w:val="single" w:sz="4" w:space="0" w:color="010000"/>
            </w:tcBorders>
            <w:vAlign w:val="center"/>
          </w:tcPr>
          <w:p>
            <w:pPr>
              <w:jc w:val="center"/>
            </w:pPr>
            <w:r/>
            <w:r>
              <w:rPr>
                <w:rFonts w:hint="eastAsia"/>
                <w:b/>
                <w:color w:val="000000"/>
                <w:sz w:val="21"/>
              </w:rPr>
              <w:t>硅／碳化硅件</w:t>
            </w:r>
          </w:p>
        </w:tc>
        <w:tc>
          <w:tcPr>
            <w:tcW w:w="2889" w:type="pct"/>
            <w:tcBorders>
              <w:top w:val="single" w:sz="4" w:space="0" w:color="010000"/>
            </w:tcBorders>
            <w:vAlign w:val="center"/>
          </w:tcPr>
          <w:p>
            <w:pPr>
              <w:jc w:val="left"/>
            </w:pPr>
            <w:r/>
            <w:r>
              <w:rPr>
                <w:rFonts w:hint="eastAsia"/>
                <w:b/>
                <w:color w:val="000000"/>
                <w:sz w:val="21"/>
              </w:rPr>
              <w:t>原物料、加工工艺和精度均存在难点，需克服原材料脆性特点并实现高精度和复杂的制造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精密气体喷头（非金属路线）</w:t>
            </w:r>
          </w:p>
        </w:tc>
      </w:tr>
      <w:tr>
        <w:trPr>
          <w:cantSplit/>
          <w:jc w:val="center"/>
        </w:trPr>
        <w:tc>
          <w:tcPr>
            <w:tcW w:w="778" w:type="pct"/>
            <w:tcBorders>
              <w:top w:val="single" w:sz="4" w:space="0" w:color="010000"/>
            </w:tcBorders>
            <w:vAlign w:val="center"/>
          </w:tcPr>
          <w:p>
            <w:pPr>
              <w:jc w:val="center"/>
            </w:pPr>
            <w:r/>
            <w:r>
              <w:rPr>
                <w:rFonts w:hint="eastAsia"/>
                <w:color w:val="000000"/>
                <w:sz w:val="21"/>
              </w:rPr>
              <w:t>石英件</w:t>
            </w:r>
          </w:p>
        </w:tc>
        <w:tc>
          <w:tcPr>
            <w:tcW w:w="2889" w:type="pct"/>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1333" w:type="pct"/>
            <w:tcBorders>
              <w:top w:val="single" w:sz="4" w:space="0" w:color="010000"/>
            </w:tcBorders>
            <w:vAlign w:val="center"/>
          </w:tcPr>
          <w:p>
            <w:pPr>
              <w:jc w:val="left"/>
            </w:pPr>
            <w:r/>
            <w:r>
              <w:rPr>
                <w:rFonts w:hint="eastAsia"/>
                <w:color w:val="000000"/>
                <w:sz w:val="21"/>
              </w:rPr>
              <w:t>—</w:t>
            </w:r>
          </w:p>
        </w:tc>
      </w:tr>
      <w:tr>
        <w:trPr>
          <w:cantSplit/>
          <w:jc w:val="center"/>
        </w:trPr>
        <w:tc>
          <w:tcPr>
            <w:tcW w:w="778" w:type="pct"/>
            <w:tcBorders>
              <w:top w:val="single" w:sz="4" w:space="0" w:color="010000"/>
            </w:tcBorders>
            <w:vAlign w:val="center"/>
          </w:tcPr>
          <w:p>
            <w:pPr>
              <w:jc w:val="center"/>
            </w:pPr>
            <w:r/>
            <w:r>
              <w:rPr>
                <w:rFonts w:hint="eastAsia"/>
                <w:b/>
                <w:color w:val="000000"/>
                <w:sz w:val="21"/>
              </w:rPr>
              <w:t>陶瓷件</w:t>
            </w:r>
          </w:p>
        </w:tc>
        <w:tc>
          <w:tcPr>
            <w:tcW w:w="2889" w:type="pct"/>
            <w:tcBorders>
              <w:top w:val="single" w:sz="4" w:space="0" w:color="010000"/>
            </w:tcBorders>
            <w:vAlign w:val="center"/>
          </w:tcPr>
          <w:p>
            <w:pPr>
              <w:jc w:val="left"/>
            </w:pPr>
            <w:r/>
            <w:r>
              <w:rPr>
                <w:rFonts w:hint="eastAsia"/>
                <w:b/>
                <w:color w:val="000000"/>
                <w:sz w:val="21"/>
              </w:rPr>
              <w:t>对陶瓷原材料纯度要求高，需克服原材料脆性特点并实现高精度和复杂的制造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加热盘（陶瓷路线）</w:t>
            </w:r>
          </w:p>
        </w:tc>
      </w:tr>
    </w:tbl>
    <w:p>
      <w:pPr>
        <w:pStyle w:val="a6"/>
        <w:jc w:val="center"/>
      </w:pPr>
      <w:r>
        <w:rPr>
          <w:rFonts w:hint="eastAsia"/>
          <w:sz w:val="11"/>
          <w:szCs w:val="11"/>
        </w:rPr>
        <w:t>资料来源：托伦斯招股说明书（注册稿），本报告整理。注：末列系本报告按材料属性对应，公司实际采用的材料以当面确认为准。</w:t>
      </w:r>
    </w:p>
    <w:p>
      <w:pPr>
        <w:pStyle w:val="a0"/>
      </w:pPr>
      <w:r>
        <w:rPr>
          <w:rFonts w:hint="eastAsia"/>
        </w:rPr>
        <w:t>非金属零部件的原材料多通过委托加工定制与成品采购取得，主要供应商为境外企业且多数规模较小。这类材料既无市场公开报价，也无可比公司披露的同类采购价格可供对照，采购价格是否公允难以直接验证。</w:t>
      </w:r>
    </w:p>
    <w:p>
      <w:pPr>
        <w:pStyle w:val="3"/>
        <w:numPr>
          <w:ilvl w:val="0"/>
          <w:numId w:val="0"/>
        </w:numPr>
        <w:spacing w:before="156" w:after="156"/>
      </w:pPr>
      <w:bookmarkStart w:id="1008" w:name="_Toc900008"/>
      <w:r>
        <w:rPr>
          <w:rFonts w:hint="eastAsia"/>
        </w:rPr>
        <w:t>3.2 中游：零部件制造与表面处理</w:t>
      </w:r>
      <w:bookmarkEnd w:id="1008"/>
    </w:p>
    <w:p>
      <w:pPr>
        <w:pStyle w:val="a0"/>
      </w:pPr>
      <w:r>
        <w:rPr>
          <w:rFonts w:hint="eastAsia"/>
        </w:rPr>
        <w:t>零部件制造的核心工艺有三类：精密机械加工、焊接、表面处理。产品的特点是精度高、批量小、多品种、尺寸特殊，一件产品往往要同时满足强度、抗腐蚀、电子特性、电磁特性、材料纯度等多项要求。</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3"/>
        <w:numPr>
          <w:ilvl w:val="0"/>
          <w:numId w:val="0"/>
        </w:numPr>
        <w:spacing w:before="156" w:after="156"/>
      </w:pPr>
      <w:bookmarkStart w:id="1009" w:name="_Toc900009"/>
      <w:r>
        <w:rPr>
          <w:rFonts w:hint="eastAsia"/>
        </w:rPr>
        <w:t>3.3 下游客户结构</w:t>
      </w:r>
      <w:bookmarkEnd w:id="1009"/>
    </w:p>
    <w:p>
      <w:pPr>
        <w:pStyle w:val="a0"/>
      </w:pPr>
      <w:r>
        <w:rPr>
          <w:rFonts w:hint="eastAsia"/>
        </w:rPr>
        <w:t>下游环节的需求相对稳定。零部件厂商的客户分两类。一类以设备厂商为主，富创精密、先锋精科、珂玛科技、托伦斯的客户集中于北方华创、中微公司、拓荆科技等设备厂商；一类以晶圆厂为主，臻宝科技的客户为集成电路制造厂商与显示面板厂商。两类的订单节奏不同：前者跟随设备厂的出货与资本开支，后者跟随晶圆厂的产能利用率与工艺运行时长。无锡金源属于哪一类，尚不能判定。</w:t>
      </w:r>
    </w:p>
    <w:p>
      <w:pPr>
        <w:pStyle w:val="2"/>
        <w:spacing w:before="156" w:after="156"/>
      </w:pPr>
      <w:bookmarkStart w:id="1010" w:name="_Toc900010"/>
      <w:r>
        <w:rPr>
          <w:rFonts w:hint="eastAsia"/>
          <w:b/>
        </w:rPr>
        <w:t>市场规模与国产化进度</w:t>
      </w:r>
      <w:bookmarkEnd w:id="1010"/>
    </w:p>
    <w:p>
      <w:pPr>
        <w:pStyle w:val="3"/>
        <w:numPr>
          <w:ilvl w:val="0"/>
          <w:numId w:val="0"/>
        </w:numPr>
        <w:spacing w:before="156" w:after="156"/>
      </w:pPr>
      <w:bookmarkStart w:id="1011" w:name="_Toc900011"/>
      <w:r>
        <w:rPr>
          <w:rFonts w:hint="eastAsia"/>
        </w:rPr>
        <w:t>4.1 零部件环节的规模与结构</w:t>
      </w:r>
      <w:bookmarkEnd w:id="1011"/>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38"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84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2029年预测直接采购额（亿元）</w:t>
            </w:r>
          </w:p>
        </w:tc>
      </w:tr>
      <w:tr>
        <w:trPr>
          <w:cantSplit/>
          <w:jc w:val="center"/>
        </w:trPr>
        <w:tc>
          <w:tcPr>
            <w:tcW w:w="1038" w:type="pct"/>
            <w:tcBorders>
              <w:top w:val="single" w:sz="4" w:space="0" w:color="010000"/>
            </w:tcBorders>
            <w:vAlign w:val="center"/>
          </w:tcPr>
          <w:p>
            <w:pPr>
              <w:jc w:val="left"/>
            </w:pPr>
            <w:r/>
            <w:r>
              <w:rPr>
                <w:rFonts w:hint="eastAsia"/>
                <w:color w:val="000000"/>
                <w:sz w:val="21"/>
              </w:rPr>
              <w:t>零部件整体</w:t>
            </w:r>
          </w:p>
        </w:tc>
        <w:tc>
          <w:tcPr>
            <w:tcW w:w="1038" w:type="pct"/>
            <w:tcBorders>
              <w:top w:val="single" w:sz="4" w:space="0" w:color="010000"/>
            </w:tcBorders>
            <w:vAlign w:val="center"/>
          </w:tcPr>
          <w:p>
            <w:pPr>
              <w:jc w:val="right"/>
            </w:pPr>
            <w:r/>
            <w:r>
              <w:rPr>
                <w:rFonts w:hint="eastAsia"/>
                <w:color w:val="000000"/>
                <w:sz w:val="21"/>
              </w:rPr>
              <w:t>177.2</w:t>
            </w:r>
          </w:p>
        </w:tc>
        <w:tc>
          <w:tcPr>
            <w:tcW w:w="1038" w:type="pct"/>
            <w:tcBorders>
              <w:top w:val="single" w:sz="4" w:space="0" w:color="010000"/>
            </w:tcBorders>
            <w:vAlign w:val="center"/>
          </w:tcPr>
          <w:p>
            <w:pPr>
              <w:jc w:val="right"/>
            </w:pPr>
            <w:r/>
            <w:r>
              <w:rPr>
                <w:rFonts w:hint="eastAsia"/>
                <w:color w:val="000000"/>
                <w:sz w:val="21"/>
              </w:rPr>
              <w:t>126.6</w:t>
            </w:r>
          </w:p>
        </w:tc>
        <w:tc>
          <w:tcPr>
            <w:tcW w:w="849" w:type="pct"/>
            <w:tcBorders>
              <w:top w:val="single" w:sz="4" w:space="0" w:color="010000"/>
            </w:tcBorders>
            <w:vAlign w:val="center"/>
          </w:tcPr>
          <w:p>
            <w:pPr>
              <w:jc w:val="right"/>
            </w:pPr>
            <w:r/>
            <w:r>
              <w:rPr>
                <w:rFonts w:hint="eastAsia"/>
                <w:color w:val="000000"/>
                <w:sz w:val="21"/>
              </w:rPr>
              <w:t>71.4</w:t>
            </w:r>
          </w:p>
        </w:tc>
        <w:tc>
          <w:tcPr>
            <w:tcW w:w="1038" w:type="pct"/>
            <w:tcBorders>
              <w:top w:val="single" w:sz="4" w:space="0" w:color="010000"/>
            </w:tcBorders>
            <w:vAlign w:val="center"/>
          </w:tcPr>
          <w:p>
            <w:pPr>
              <w:jc w:val="right"/>
            </w:pPr>
            <w:r/>
            <w:r>
              <w:rPr>
                <w:rFonts w:hint="eastAsia"/>
                <w:color w:val="000000"/>
                <w:sz w:val="21"/>
              </w:rPr>
              <w:t>291.8</w:t>
            </w:r>
          </w:p>
        </w:tc>
      </w:tr>
      <w:tr>
        <w:trPr>
          <w:cantSplit/>
          <w:jc w:val="center"/>
        </w:trPr>
        <w:tc>
          <w:tcPr>
            <w:tcW w:w="1038" w:type="pct"/>
            <w:tcBorders>
              <w:top w:val="single" w:sz="4" w:space="0" w:color="010000"/>
            </w:tcBorders>
            <w:vAlign w:val="center"/>
          </w:tcPr>
          <w:p>
            <w:pPr>
              <w:jc w:val="left"/>
            </w:pPr>
            <w:r/>
            <w:r>
              <w:rPr>
                <w:rFonts w:hint="eastAsia"/>
                <w:color w:val="000000"/>
                <w:sz w:val="21"/>
              </w:rPr>
              <w:t>其中：非金属零部件</w:t>
            </w:r>
          </w:p>
        </w:tc>
        <w:tc>
          <w:tcPr>
            <w:tcW w:w="1038" w:type="pct"/>
            <w:tcBorders>
              <w:top w:val="single" w:sz="4" w:space="0" w:color="010000"/>
            </w:tcBorders>
            <w:vAlign w:val="center"/>
          </w:tcPr>
          <w:p>
            <w:pPr>
              <w:jc w:val="right"/>
            </w:pPr>
            <w:r/>
            <w:r>
              <w:rPr>
                <w:rFonts w:hint="eastAsia"/>
                <w:color w:val="000000"/>
                <w:sz w:val="21"/>
              </w:rPr>
              <w:t>113.5</w:t>
            </w:r>
          </w:p>
        </w:tc>
        <w:tc>
          <w:tcPr>
            <w:tcW w:w="1038" w:type="pct"/>
            <w:tcBorders>
              <w:top w:val="single" w:sz="4" w:space="0" w:color="010000"/>
            </w:tcBorders>
            <w:vAlign w:val="center"/>
          </w:tcPr>
          <w:p>
            <w:pPr>
              <w:jc w:val="right"/>
            </w:pPr>
            <w:r/>
            <w:r>
              <w:rPr>
                <w:rFonts w:hint="eastAsia"/>
                <w:color w:val="000000"/>
                <w:sz w:val="21"/>
              </w:rPr>
              <w:t>80.4</w:t>
            </w:r>
          </w:p>
        </w:tc>
        <w:tc>
          <w:tcPr>
            <w:tcW w:w="849" w:type="pct"/>
            <w:tcBorders>
              <w:top w:val="single" w:sz="4" w:space="0" w:color="010000"/>
            </w:tcBorders>
            <w:vAlign w:val="center"/>
          </w:tcPr>
          <w:p>
            <w:pPr>
              <w:jc w:val="right"/>
            </w:pPr>
            <w:r/>
            <w:r>
              <w:rPr>
                <w:rFonts w:hint="eastAsia"/>
                <w:color w:val="000000"/>
                <w:sz w:val="21"/>
              </w:rPr>
              <w:t>70.8</w:t>
            </w:r>
          </w:p>
        </w:tc>
        <w:tc>
          <w:tcPr>
            <w:tcW w:w="1038" w:type="pct"/>
            <w:tcBorders>
              <w:top w:val="single" w:sz="4" w:space="0" w:color="010000"/>
            </w:tcBorders>
            <w:vAlign w:val="center"/>
          </w:tcPr>
          <w:p>
            <w:pPr>
              <w:jc w:val="right"/>
            </w:pPr>
            <w:r/>
            <w:r>
              <w:rPr>
                <w:rFonts w:hint="eastAsia"/>
                <w:color w:val="000000"/>
                <w:sz w:val="21"/>
              </w:rPr>
              <w:t>212.0</w:t>
            </w:r>
          </w:p>
        </w:tc>
      </w:tr>
      <w:tr>
        <w:trPr>
          <w:cantSplit/>
          <w:jc w:val="center"/>
        </w:trPr>
        <w:tc>
          <w:tcPr>
            <w:tcW w:w="1038" w:type="pct"/>
            <w:tcBorders>
              <w:top w:val="single" w:sz="4" w:space="0" w:color="010000"/>
            </w:tcBorders>
            <w:vAlign w:val="center"/>
          </w:tcPr>
          <w:p>
            <w:pPr>
              <w:jc w:val="left"/>
            </w:pPr>
            <w:r/>
            <w:r>
              <w:rPr>
                <w:rFonts w:hint="eastAsia"/>
                <w:color w:val="000000"/>
                <w:sz w:val="21"/>
              </w:rPr>
              <w:t>硅零部件</w:t>
            </w:r>
          </w:p>
        </w:tc>
        <w:tc>
          <w:tcPr>
            <w:tcW w:w="1038" w:type="pct"/>
            <w:tcBorders>
              <w:top w:val="single" w:sz="4" w:space="0" w:color="010000"/>
            </w:tcBorders>
            <w:vAlign w:val="center"/>
          </w:tcPr>
          <w:p>
            <w:pPr>
              <w:jc w:val="right"/>
            </w:pPr>
            <w:r/>
            <w:r>
              <w:rPr>
                <w:rFonts w:hint="eastAsia"/>
                <w:color w:val="000000"/>
                <w:sz w:val="21"/>
              </w:rPr>
              <w:t>43.8</w:t>
            </w:r>
          </w:p>
        </w:tc>
        <w:tc>
          <w:tcPr>
            <w:tcW w:w="1038" w:type="pct"/>
            <w:tcBorders>
              <w:top w:val="single" w:sz="4" w:space="0" w:color="010000"/>
            </w:tcBorders>
            <w:vAlign w:val="center"/>
          </w:tcPr>
          <w:p>
            <w:pPr>
              <w:jc w:val="right"/>
            </w:pPr>
            <w:r/>
            <w:r>
              <w:rPr>
                <w:rFonts w:hint="eastAsia"/>
                <w:color w:val="000000"/>
                <w:sz w:val="21"/>
              </w:rPr>
              <w:t>35.7</w:t>
            </w:r>
          </w:p>
        </w:tc>
        <w:tc>
          <w:tcPr>
            <w:tcW w:w="849" w:type="pct"/>
            <w:tcBorders>
              <w:top w:val="single" w:sz="4" w:space="0" w:color="010000"/>
            </w:tcBorders>
            <w:vAlign w:val="center"/>
          </w:tcPr>
          <w:p>
            <w:pPr>
              <w:jc w:val="right"/>
            </w:pPr>
            <w:r/>
            <w:r>
              <w:rPr>
                <w:rFonts w:hint="eastAsia"/>
                <w:color w:val="000000"/>
                <w:sz w:val="21"/>
              </w:rPr>
              <w:t>81.6</w:t>
            </w:r>
          </w:p>
        </w:tc>
        <w:tc>
          <w:tcPr>
            <w:tcW w:w="1038" w:type="pct"/>
            <w:tcBorders>
              <w:top w:val="single" w:sz="4" w:space="0" w:color="010000"/>
            </w:tcBorders>
            <w:vAlign w:val="center"/>
          </w:tcPr>
          <w:p>
            <w:pPr>
              <w:jc w:val="right"/>
            </w:pPr>
            <w:r/>
            <w:r>
              <w:rPr>
                <w:rFonts w:hint="eastAsia"/>
                <w:color w:val="000000"/>
                <w:sz w:val="21"/>
              </w:rPr>
              <w:t>96.9</w:t>
            </w:r>
          </w:p>
        </w:tc>
      </w:tr>
      <w:tr>
        <w:trPr>
          <w:cantSplit/>
          <w:jc w:val="center"/>
        </w:trPr>
        <w:tc>
          <w:tcPr>
            <w:tcW w:w="1038" w:type="pct"/>
            <w:tcBorders>
              <w:top w:val="single" w:sz="4" w:space="0" w:color="010000"/>
            </w:tcBorders>
            <w:vAlign w:val="center"/>
          </w:tcPr>
          <w:p>
            <w:pPr>
              <w:jc w:val="left"/>
            </w:pPr>
            <w:r/>
            <w:r>
              <w:rPr>
                <w:rFonts w:hint="eastAsia"/>
                <w:color w:val="000000"/>
                <w:sz w:val="21"/>
              </w:rPr>
              <w:t>石英零部件</w:t>
            </w:r>
          </w:p>
        </w:tc>
        <w:tc>
          <w:tcPr>
            <w:tcW w:w="1038" w:type="pct"/>
            <w:tcBorders>
              <w:top w:val="single" w:sz="4" w:space="0" w:color="010000"/>
            </w:tcBorders>
            <w:vAlign w:val="center"/>
          </w:tcPr>
          <w:p>
            <w:pPr>
              <w:jc w:val="right"/>
            </w:pPr>
            <w:r/>
            <w:r>
              <w:rPr>
                <w:rFonts w:hint="eastAsia"/>
                <w:color w:val="000000"/>
                <w:sz w:val="21"/>
              </w:rPr>
              <w:t>34.8</w:t>
            </w:r>
          </w:p>
        </w:tc>
        <w:tc>
          <w:tcPr>
            <w:tcW w:w="1038" w:type="pct"/>
            <w:tcBorders>
              <w:top w:val="single" w:sz="4" w:space="0" w:color="010000"/>
            </w:tcBorders>
            <w:vAlign w:val="center"/>
          </w:tcPr>
          <w:p>
            <w:pPr>
              <w:jc w:val="right"/>
            </w:pPr>
            <w:r/>
            <w:r>
              <w:rPr>
                <w:rFonts w:hint="eastAsia"/>
                <w:color w:val="000000"/>
                <w:sz w:val="21"/>
              </w:rPr>
              <w:t>22.7</w:t>
            </w:r>
          </w:p>
        </w:tc>
        <w:tc>
          <w:tcPr>
            <w:tcW w:w="849" w:type="pct"/>
            <w:tcBorders>
              <w:top w:val="single" w:sz="4" w:space="0" w:color="010000"/>
            </w:tcBorders>
            <w:vAlign w:val="center"/>
          </w:tcPr>
          <w:p>
            <w:pPr>
              <w:jc w:val="right"/>
            </w:pPr>
            <w:r/>
            <w:r>
              <w:rPr>
                <w:rFonts w:hint="eastAsia"/>
                <w:color w:val="000000"/>
                <w:sz w:val="21"/>
              </w:rPr>
              <w:t>65.3</w:t>
            </w:r>
          </w:p>
        </w:tc>
        <w:tc>
          <w:tcPr>
            <w:tcW w:w="1038" w:type="pct"/>
            <w:tcBorders>
              <w:top w:val="single" w:sz="4" w:space="0" w:color="010000"/>
            </w:tcBorders>
            <w:vAlign w:val="center"/>
          </w:tcPr>
          <w:p>
            <w:pPr>
              <w:jc w:val="right"/>
            </w:pPr>
            <w:r/>
            <w:r>
              <w:rPr>
                <w:rFonts w:hint="eastAsia"/>
                <w:color w:val="000000"/>
                <w:sz w:val="21"/>
              </w:rPr>
              <w:t>—</w:t>
            </w:r>
          </w:p>
        </w:tc>
      </w:tr>
      <w:tr>
        <w:trPr>
          <w:cantSplit/>
          <w:jc w:val="center"/>
        </w:trPr>
        <w:tc>
          <w:tcPr>
            <w:tcW w:w="1038" w:type="pct"/>
            <w:tcBorders>
              <w:top w:val="single" w:sz="4" w:space="0" w:color="010000"/>
            </w:tcBorders>
            <w:vAlign w:val="center"/>
          </w:tcPr>
          <w:p>
            <w:pPr>
              <w:jc w:val="left"/>
            </w:pPr>
            <w:r/>
            <w:r>
              <w:rPr>
                <w:rFonts w:hint="eastAsia"/>
                <w:color w:val="000000"/>
                <w:sz w:val="21"/>
              </w:rPr>
              <w:t>陶瓷零部件</w:t>
            </w:r>
          </w:p>
        </w:tc>
        <w:tc>
          <w:tcPr>
            <w:tcW w:w="1038" w:type="pct"/>
            <w:tcBorders>
              <w:top w:val="single" w:sz="4" w:space="0" w:color="010000"/>
            </w:tcBorders>
            <w:vAlign w:val="center"/>
          </w:tcPr>
          <w:p>
            <w:pPr>
              <w:jc w:val="right"/>
            </w:pPr>
            <w:r/>
            <w:r>
              <w:rPr>
                <w:rFonts w:hint="eastAsia"/>
                <w:color w:val="000000"/>
                <w:sz w:val="21"/>
              </w:rPr>
              <w:t>29.4</w:t>
            </w:r>
          </w:p>
        </w:tc>
        <w:tc>
          <w:tcPr>
            <w:tcW w:w="1038" w:type="pct"/>
            <w:tcBorders>
              <w:top w:val="single" w:sz="4" w:space="0" w:color="010000"/>
            </w:tcBorders>
            <w:vAlign w:val="center"/>
          </w:tcPr>
          <w:p>
            <w:pPr>
              <w:jc w:val="right"/>
            </w:pPr>
            <w:r/>
            <w:r>
              <w:rPr>
                <w:rFonts w:hint="eastAsia"/>
                <w:color w:val="000000"/>
                <w:sz w:val="21"/>
              </w:rPr>
              <w:t>19.3</w:t>
            </w:r>
          </w:p>
        </w:tc>
        <w:tc>
          <w:tcPr>
            <w:tcW w:w="849" w:type="pct"/>
            <w:tcBorders>
              <w:top w:val="single" w:sz="4" w:space="0" w:color="010000"/>
            </w:tcBorders>
            <w:vAlign w:val="center"/>
          </w:tcPr>
          <w:p>
            <w:pPr>
              <w:jc w:val="right"/>
            </w:pPr>
            <w:r/>
            <w:r>
              <w:rPr>
                <w:rFonts w:hint="eastAsia"/>
                <w:color w:val="000000"/>
                <w:sz w:val="21"/>
              </w:rPr>
              <w:t>65.6</w:t>
            </w:r>
          </w:p>
        </w:tc>
        <w:tc>
          <w:tcPr>
            <w:tcW w:w="1038" w:type="pct"/>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keepNext/>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2" w:name="_Toc900012"/>
      <w:r>
        <w:rPr>
          <w:rFonts w:hint="eastAsia"/>
        </w:rPr>
        <w:t>4.2 与无锡金源产品对应的细分品类</w:t>
      </w:r>
      <w:bookmarkEnd w:id="1012"/>
    </w:p>
    <w:p>
      <w:pPr>
        <w:keepNext/>
        <w:jc w:val="center"/>
      </w:pPr>
      <w:r>
        <w:rPr>
          <w:rFonts w:hint="eastAsia"/>
          <w:b/>
          <w:sz w:val="21"/>
        </w:rPr>
        <w:t>表6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76"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667"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1176"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686" w:type="pct"/>
            <w:tcBorders>
              <w:top w:val="single" w:sz="4" w:space="0" w:color="010000"/>
            </w:tcBorders>
            <w:vAlign w:val="center"/>
          </w:tcPr>
          <w:p>
            <w:pPr>
              <w:jc w:val="center"/>
            </w:pPr>
            <w:r/>
            <w:r>
              <w:rPr>
                <w:rFonts w:hint="eastAsia"/>
                <w:color w:val="000000"/>
                <w:sz w:val="21"/>
              </w:rPr>
              <w:t>精密气体喷头</w:t>
            </w:r>
          </w:p>
        </w:tc>
        <w:tc>
          <w:tcPr>
            <w:tcW w:w="1471"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667"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半导体陶瓷加热器（氮化铝）</w:t>
            </w:r>
          </w:p>
        </w:tc>
        <w:tc>
          <w:tcPr>
            <w:tcW w:w="686" w:type="pct"/>
            <w:tcBorders>
              <w:top w:val="single" w:sz="4" w:space="0" w:color="010000"/>
            </w:tcBorders>
            <w:vAlign w:val="center"/>
          </w:tcPr>
          <w:p>
            <w:pPr>
              <w:jc w:val="center"/>
            </w:pPr>
            <w:r/>
            <w:r>
              <w:rPr>
                <w:rFonts w:hint="eastAsia"/>
                <w:color w:val="000000"/>
                <w:sz w:val="21"/>
              </w:rPr>
              <w:t>加热盘</w:t>
            </w:r>
          </w:p>
        </w:tc>
        <w:tc>
          <w:tcPr>
            <w:tcW w:w="1471"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667" w:type="pct"/>
            <w:tcBorders>
              <w:top w:val="single" w:sz="4" w:space="0" w:color="010000"/>
            </w:tcBorders>
            <w:vAlign w:val="center"/>
          </w:tcPr>
          <w:p>
            <w:pPr>
              <w:jc w:val="left"/>
            </w:pPr>
            <w:r/>
            <w:r>
              <w:rPr>
                <w:rFonts w:hint="eastAsia"/>
                <w:color w:val="000000"/>
                <w:sz w:val="21"/>
              </w:rPr>
              <w:t>主要由日本NGK／NTK、Sumitomo Electric等企业主导；国内产业化程度较低，国产化率不足10%，具备稳定量产能力的企业较少</w:t>
            </w:r>
          </w:p>
        </w:tc>
      </w:tr>
    </w:tbl>
    <w:p>
      <w:pPr>
        <w:pStyle w:val="a6"/>
        <w:jc w:val="center"/>
      </w:pPr>
      <w:r>
        <w:rPr>
          <w:rFonts w:hint="eastAsia"/>
          <w:sz w:val="11"/>
          <w:szCs w:val="11"/>
        </w:rPr>
        <w:t>资料来源：臻宝科技招股说明书（注册稿），本报告整理。注：两个品类的数据发布机构均为QY Research（QYR）。半导体用密封件品类目前无独立的公开市场规模统计，本报告不列示该品类的规模数据。</w:t>
      </w:r>
    </w:p>
    <w:p>
      <w:pPr>
        <w:pStyle w:val="a0"/>
      </w:pPr>
      <w:r>
        <w:rPr>
          <w:rFonts w:hint="eastAsia"/>
        </w:rPr>
        <w:t>碳化硅气体分配盘导热性好，抗等离子体腐蚀能力强于硅和石英，使用寿命是硅气体分配盘的2至4倍，设备的工作在线率也随之提高。材质直接决定这一品类的更换频次。</w:t>
      </w:r>
    </w:p>
    <w:p>
      <w:pPr>
        <w:pStyle w:val="3"/>
        <w:numPr>
          <w:ilvl w:val="0"/>
          <w:numId w:val="0"/>
        </w:numPr>
        <w:spacing w:before="156" w:after="156"/>
      </w:pPr>
      <w:bookmarkStart w:id="1013" w:name="_Toc900013"/>
      <w:r>
        <w:rPr>
          <w:rFonts w:hint="eastAsia"/>
        </w:rPr>
        <w:t>4.3 国产化现状、难点与增长空间</w:t>
      </w:r>
      <w:bookmarkEnd w:id="1013"/>
    </w:p>
    <w:p>
      <w:pPr>
        <w:pStyle w:val="a0"/>
      </w:pPr>
      <w:r>
        <w:rPr>
          <w:rFonts w:hint="eastAsia"/>
        </w:rPr>
        <w:t>零部件是国内半导体设备的主要受制环节之一。IC World在2020年梳理过20类核心零部件的44家主要供应商，美国20家、约占45%，日本16家、约占36%，德国、瑞士、韩国各2家，英国1家，全部为境外企业。</w:t>
      </w:r>
    </w:p>
    <w:p>
      <w:pPr>
        <w:keepNext/>
        <w:jc w:val="center"/>
      </w:pPr>
      <w:r>
        <w:rPr>
          <w:rFonts w:hint="eastAsia"/>
          <w:b/>
          <w:sz w:val="21"/>
        </w:rPr>
        <w:t>表7  半导体设备零部件分类的国产化现状</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141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3590" w:type="pct"/>
            <w:tcBorders>
              <w:top w:val="single" w:sz="12" w:space="0" w:color="010000"/>
              <w:bottom w:val="single" w:sz="4" w:space="0" w:color="010000"/>
            </w:tcBorders>
            <w:vAlign w:val="center"/>
          </w:tcPr>
          <w:p>
            <w:pPr>
              <w:keepNext/>
              <w:jc w:val="center"/>
            </w:pPr>
            <w:r/>
            <w:r>
              <w:rPr>
                <w:rFonts w:hint="eastAsia"/>
                <w:b/>
                <w:color w:val="000000"/>
                <w:sz w:val="21"/>
              </w:rPr>
              <w:t>国产化现状</w:t>
            </w:r>
          </w:p>
        </w:tc>
      </w:tr>
      <w:tr>
        <w:trPr>
          <w:cantSplit/>
          <w:jc w:val="center"/>
        </w:trPr>
        <w:tc>
          <w:tcPr>
            <w:tcW w:w="1410" w:type="pct"/>
            <w:tcBorders>
              <w:top w:val="single" w:sz="4" w:space="0" w:color="010000"/>
            </w:tcBorders>
            <w:vAlign w:val="center"/>
          </w:tcPr>
          <w:p>
            <w:pPr>
              <w:jc w:val="center"/>
            </w:pPr>
            <w:r/>
            <w:r>
              <w:rPr>
                <w:rFonts w:hint="eastAsia"/>
                <w:color w:val="000000"/>
                <w:sz w:val="21"/>
              </w:rPr>
              <w:t>机械类</w:t>
            </w:r>
          </w:p>
        </w:tc>
        <w:tc>
          <w:tcPr>
            <w:tcW w:w="3590" w:type="pct"/>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1410" w:type="pct"/>
            <w:tcBorders>
              <w:top w:val="single" w:sz="4" w:space="0" w:color="010000"/>
            </w:tcBorders>
            <w:vAlign w:val="center"/>
          </w:tcPr>
          <w:p>
            <w:pPr>
              <w:jc w:val="center"/>
            </w:pPr>
            <w:r/>
            <w:r>
              <w:rPr>
                <w:rFonts w:hint="eastAsia"/>
                <w:color w:val="000000"/>
                <w:sz w:val="21"/>
              </w:rPr>
              <w:t>电气类</w:t>
            </w:r>
          </w:p>
        </w:tc>
        <w:tc>
          <w:tcPr>
            <w:tcW w:w="3590" w:type="pct"/>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1410" w:type="pct"/>
            <w:tcBorders>
              <w:top w:val="single" w:sz="4" w:space="0" w:color="010000"/>
            </w:tcBorders>
            <w:vAlign w:val="center"/>
          </w:tcPr>
          <w:p>
            <w:pPr>
              <w:jc w:val="center"/>
            </w:pPr>
            <w:r/>
            <w:r>
              <w:rPr>
                <w:rFonts w:hint="eastAsia"/>
                <w:color w:val="000000"/>
                <w:sz w:val="21"/>
              </w:rPr>
              <w:t>机电一体类</w:t>
            </w:r>
          </w:p>
        </w:tc>
        <w:tc>
          <w:tcPr>
            <w:tcW w:w="3590" w:type="pct"/>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气体、液体、真空系统类</w:t>
            </w:r>
          </w:p>
        </w:tc>
        <w:tc>
          <w:tcPr>
            <w:tcW w:w="3590" w:type="pct"/>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仪器仪表类</w:t>
            </w:r>
          </w:p>
        </w:tc>
        <w:tc>
          <w:tcPr>
            <w:tcW w:w="3590" w:type="pct"/>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光学类</w:t>
            </w:r>
          </w:p>
        </w:tc>
        <w:tc>
          <w:tcPr>
            <w:tcW w:w="3590" w:type="pct"/>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资料来源：托伦斯招股说明书（注册稿），本报告整理。注：本表的分类取自托伦斯，与前文的七类划分顶层一致。</w:t>
      </w:r>
    </w:p>
    <w:p>
      <w:pPr>
        <w:pStyle w:val="a0"/>
      </w:pPr>
      <w:r>
        <w:rPr>
          <w:rFonts w:hint="eastAsia"/>
        </w:rPr>
        <w:t>国产化的难点集中在三处。一是原材料。硅、碳化硅与陶瓷件受制于原材料的纯度与脆性，石英件还要看杂质含量与原材料匹配性。这一层不解决，加工精度无从谈起。二是生产工艺。金属件的难点在加工精度、焊接与表面处理，非金属件则是在脆性材料上做复杂结构，两者的技术积累路径不同。三是供应商导入，这一环最容易被低估。客户端的导入分三步：第一步是合格供应商认证，客户对加工能力、产能、工艺稳定性逐项评估，复杂工艺还要单独考察机加工、焊接与表面处理，全部通过方可进入名录；第二步是产品认证，按具体新品试制并交客户验证；第三步才是批量生产。前两步不产生收入，却决定订单归属。</w:t>
      </w:r>
    </w:p>
    <w:p>
      <w:pPr>
        <w:pStyle w:val="a0"/>
      </w:pPr>
      <w:r>
        <w:rPr>
          <w:rFonts w:hint="eastAsia"/>
        </w:rPr>
        <w:t>机械类中的简单结构件国产化率较高，国内企业已进入国际市场，高端产品仍未突破；仪器仪表类与光学类的高端产品则基本未国产化。越靠近工艺反应、对材料与精度要求越高的部件，国产化率越低。</w:t>
      </w:r>
    </w:p>
    <w:p>
      <w:pPr>
        <w:pStyle w:val="a0"/>
      </w:pPr>
      <w:r>
        <w:rPr>
          <w:rFonts w:hint="eastAsia"/>
        </w:rPr>
        <w:t>无锡金源的两条核心产品线正落在国产化率最低的一端。刻蚀设备用气体分配盘国内尚无稳定量产企业，半导体陶瓷加热器国产化率不足10%、具备稳定量产能力的企业较少。但行业本身增速不高。按QY Research的预测，气体分配盘全球市场2023年至2030年的年复合增长率为7.0%，陶瓷加热器2024年至2030年为6.2%。增长空间主要来自替代而非扩容。2024年国内晶圆厂零部件采购中，向零部件厂商直接采购的比例为71.4%，弗若斯特沙利文预计2029年升至80.3%，非金属零部件由70.8%升至80.7%，这部分增量对应的正是境外供应商让出的份额。国产化率最低的品类，替代空间也最大。</w:t>
      </w:r>
    </w:p>
    <w:p>
      <w:pPr>
        <w:pStyle w:val="2"/>
        <w:spacing w:before="156" w:after="156"/>
      </w:pPr>
      <w:bookmarkStart w:id="1014" w:name="_Toc900014"/>
      <w:r>
        <w:rPr>
          <w:rFonts w:hint="eastAsia"/>
          <w:b/>
        </w:rPr>
        <w:t>可比公司</w:t>
      </w:r>
      <w:bookmarkEnd w:id="1014"/>
    </w:p>
    <w:p>
      <w:pPr>
        <w:pStyle w:val="3"/>
        <w:numPr>
          <w:ilvl w:val="0"/>
          <w:numId w:val="0"/>
        </w:numPr>
        <w:spacing w:before="156" w:after="156"/>
      </w:pPr>
      <w:bookmarkStart w:id="1015" w:name="_Toc900015"/>
      <w:r>
        <w:rPr>
          <w:rFonts w:hint="eastAsia"/>
        </w:rPr>
        <w:t>5.1 可比公司范围</w:t>
      </w:r>
      <w:bookmarkEnd w:id="1015"/>
    </w:p>
    <w:p>
      <w:pPr>
        <w:pStyle w:val="a0"/>
      </w:pPr>
      <w:r>
        <w:rPr>
          <w:rFonts w:hint="eastAsia"/>
        </w:rPr>
        <w:t>本报告选取五家境内上市或在审公司作为可比对象，选取标准为主营产品与无锡金源的气体喷头、加热盘两类核心部件重合，且已有公开披露的经营与毛利率数据。其中托伦斯的匀气盘、气体分布盘与加热器同时覆盖两条核心产品线，产品重合度最高。</w:t>
      </w:r>
    </w:p>
    <w:p>
      <w:pPr>
        <w:keepNext/>
        <w:jc w:val="center"/>
      </w:pPr>
      <w:r>
        <w:rPr>
          <w:rFonts w:hint="eastAsia"/>
          <w:b/>
          <w:sz w:val="21"/>
        </w:rPr>
        <w:t>表8  可比公司范围与2025年经营数据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0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700" w:type="pct"/>
            <w:tcBorders>
              <w:top w:val="single" w:sz="12" w:space="0" w:color="010000"/>
              <w:bottom w:val="single" w:sz="4" w:space="0" w:color="010000"/>
            </w:tcBorders>
            <w:vAlign w:val="center"/>
          </w:tcPr>
          <w:p>
            <w:pPr>
              <w:keepNext/>
              <w:jc w:val="center"/>
            </w:pPr>
            <w:r/>
            <w:r>
              <w:rPr>
                <w:rFonts w:hint="eastAsia"/>
                <w:b/>
                <w:color w:val="000000"/>
                <w:sz w:val="21"/>
              </w:rPr>
              <w:t>与无锡金源重合的产品</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r>
      <w:tr>
        <w:trPr>
          <w:cantSplit/>
          <w:jc w:val="center"/>
        </w:trPr>
        <w:tc>
          <w:tcPr>
            <w:tcW w:w="700" w:type="pct"/>
            <w:tcBorders>
              <w:top w:val="single" w:sz="4" w:space="0" w:color="010000"/>
            </w:tcBorders>
            <w:vAlign w:val="center"/>
          </w:tcPr>
          <w:p>
            <w:pPr>
              <w:jc w:val="center"/>
            </w:pPr>
            <w:r/>
            <w:r>
              <w:rPr>
                <w:rFonts w:hint="eastAsia"/>
                <w:color w:val="000000"/>
                <w:sz w:val="21"/>
              </w:rPr>
              <w:t>托伦斯</w:t>
            </w:r>
          </w:p>
        </w:tc>
        <w:tc>
          <w:tcPr>
            <w:tcW w:w="900" w:type="pct"/>
            <w:tcBorders>
              <w:top w:val="single" w:sz="4" w:space="0" w:color="010000"/>
            </w:tcBorders>
            <w:vAlign w:val="center"/>
          </w:tcPr>
          <w:p>
            <w:pPr>
              <w:jc w:val="center"/>
            </w:pPr>
            <w:r/>
            <w:r>
              <w:rPr>
                <w:rFonts w:hint="eastAsia"/>
                <w:color w:val="000000"/>
                <w:sz w:val="21"/>
              </w:rPr>
              <w:t>301583.SZ（在审）</w:t>
            </w:r>
          </w:p>
        </w:tc>
        <w:tc>
          <w:tcPr>
            <w:tcW w:w="1700" w:type="pct"/>
            <w:tcBorders>
              <w:top w:val="single" w:sz="4" w:space="0" w:color="010000"/>
            </w:tcBorders>
            <w:vAlign w:val="center"/>
          </w:tcPr>
          <w:p>
            <w:pPr>
              <w:jc w:val="left"/>
            </w:pPr>
            <w:r/>
            <w:r>
              <w:rPr>
                <w:rFonts w:hint="eastAsia"/>
                <w:color w:val="000000"/>
                <w:sz w:val="21"/>
              </w:rPr>
              <w:t>匀气盘、气体分布盘、加热器、静电卡盘基体</w:t>
            </w:r>
          </w:p>
        </w:tc>
        <w:tc>
          <w:tcPr>
            <w:tcW w:w="850" w:type="pct"/>
            <w:tcBorders>
              <w:top w:val="single" w:sz="4" w:space="0" w:color="010000"/>
            </w:tcBorders>
            <w:vAlign w:val="center"/>
          </w:tcPr>
          <w:p>
            <w:pPr>
              <w:jc w:val="right"/>
            </w:pPr>
            <w:r/>
            <w:r>
              <w:rPr>
                <w:rFonts w:hint="eastAsia"/>
                <w:color w:val="000000"/>
                <w:sz w:val="21"/>
              </w:rPr>
              <w:t>7.20</w:t>
            </w:r>
          </w:p>
        </w:tc>
        <w:tc>
          <w:tcPr>
            <w:tcW w:w="850" w:type="pct"/>
            <w:tcBorders>
              <w:top w:val="single" w:sz="4" w:space="0" w:color="010000"/>
            </w:tcBorders>
            <w:vAlign w:val="center"/>
          </w:tcPr>
          <w:p>
            <w:pPr>
              <w:jc w:val="right"/>
            </w:pPr>
            <w:r/>
            <w:r>
              <w:rPr>
                <w:rFonts w:hint="eastAsia"/>
                <w:color w:val="000000"/>
                <w:sz w:val="21"/>
              </w:rPr>
              <w:t>0.98</w:t>
            </w:r>
          </w:p>
        </w:tc>
      </w:tr>
      <w:tr>
        <w:trPr>
          <w:cantSplit/>
          <w:jc w:val="center"/>
        </w:trPr>
        <w:tc>
          <w:tcPr>
            <w:tcW w:w="700" w:type="pct"/>
            <w:tcBorders>
              <w:top w:val="single" w:sz="4" w:space="0" w:color="010000"/>
            </w:tcBorders>
            <w:vAlign w:val="center"/>
          </w:tcPr>
          <w:p>
            <w:pPr>
              <w:jc w:val="center"/>
            </w:pPr>
            <w:r/>
            <w:r>
              <w:rPr>
                <w:rFonts w:hint="eastAsia"/>
                <w:color w:val="000000"/>
                <w:sz w:val="21"/>
              </w:rPr>
              <w:t>珂玛科技</w:t>
            </w:r>
          </w:p>
        </w:tc>
        <w:tc>
          <w:tcPr>
            <w:tcW w:w="900" w:type="pct"/>
            <w:tcBorders>
              <w:top w:val="single" w:sz="4" w:space="0" w:color="010000"/>
            </w:tcBorders>
            <w:vAlign w:val="center"/>
          </w:tcPr>
          <w:p>
            <w:pPr>
              <w:jc w:val="center"/>
            </w:pPr>
            <w:r/>
            <w:r>
              <w:rPr>
                <w:rFonts w:hint="eastAsia"/>
                <w:color w:val="000000"/>
                <w:sz w:val="21"/>
              </w:rPr>
              <w:t>301611.SZ</w:t>
            </w:r>
          </w:p>
        </w:tc>
        <w:tc>
          <w:tcPr>
            <w:tcW w:w="1700" w:type="pct"/>
            <w:tcBorders>
              <w:top w:val="single" w:sz="4" w:space="0" w:color="010000"/>
            </w:tcBorders>
            <w:vAlign w:val="center"/>
          </w:tcPr>
          <w:p>
            <w:pPr>
              <w:jc w:val="left"/>
            </w:pPr>
            <w:r/>
            <w:r>
              <w:rPr>
                <w:rFonts w:hint="eastAsia"/>
                <w:color w:val="000000"/>
                <w:sz w:val="21"/>
              </w:rPr>
              <w:t>先进陶瓷材料零部件，含陶瓷加热器</w:t>
            </w:r>
          </w:p>
        </w:tc>
        <w:tc>
          <w:tcPr>
            <w:tcW w:w="850" w:type="pct"/>
            <w:tcBorders>
              <w:top w:val="single" w:sz="4" w:space="0" w:color="010000"/>
            </w:tcBorders>
            <w:vAlign w:val="center"/>
          </w:tcPr>
          <w:p>
            <w:pPr>
              <w:jc w:val="right"/>
            </w:pPr>
            <w:r/>
            <w:r>
              <w:rPr>
                <w:rFonts w:hint="eastAsia"/>
                <w:color w:val="000000"/>
                <w:sz w:val="21"/>
              </w:rPr>
              <w:t>10.73</w:t>
            </w:r>
          </w:p>
        </w:tc>
        <w:tc>
          <w:tcPr>
            <w:tcW w:w="850" w:type="pct"/>
            <w:tcBorders>
              <w:top w:val="single" w:sz="4" w:space="0" w:color="010000"/>
            </w:tcBorders>
            <w:vAlign w:val="center"/>
          </w:tcPr>
          <w:p>
            <w:pPr>
              <w:jc w:val="right"/>
            </w:pPr>
            <w:r/>
            <w:r>
              <w:rPr>
                <w:rFonts w:hint="eastAsia"/>
                <w:color w:val="000000"/>
                <w:sz w:val="21"/>
              </w:rPr>
              <w:t>2.89</w:t>
            </w:r>
          </w:p>
        </w:tc>
      </w:tr>
      <w:tr>
        <w:trPr>
          <w:cantSplit/>
          <w:jc w:val="center"/>
        </w:trPr>
        <w:tc>
          <w:tcPr>
            <w:tcW w:w="700" w:type="pct"/>
            <w:tcBorders>
              <w:top w:val="single" w:sz="4" w:space="0" w:color="010000"/>
            </w:tcBorders>
            <w:vAlign w:val="center"/>
          </w:tcPr>
          <w:p>
            <w:pPr>
              <w:jc w:val="center"/>
            </w:pPr>
            <w:r/>
            <w:r>
              <w:rPr>
                <w:rFonts w:hint="eastAsia"/>
                <w:color w:val="000000"/>
                <w:sz w:val="21"/>
              </w:rPr>
              <w:t>臻宝科技</w:t>
            </w:r>
          </w:p>
        </w:tc>
        <w:tc>
          <w:tcPr>
            <w:tcW w:w="900" w:type="pct"/>
            <w:tcBorders>
              <w:top w:val="single" w:sz="4" w:space="0" w:color="010000"/>
            </w:tcBorders>
            <w:vAlign w:val="center"/>
          </w:tcPr>
          <w:p>
            <w:pPr>
              <w:jc w:val="center"/>
            </w:pPr>
            <w:r/>
            <w:r>
              <w:rPr>
                <w:rFonts w:hint="eastAsia"/>
                <w:color w:val="000000"/>
                <w:sz w:val="21"/>
              </w:rPr>
              <w:t>688797.SH</w:t>
            </w:r>
          </w:p>
        </w:tc>
        <w:tc>
          <w:tcPr>
            <w:tcW w:w="1700" w:type="pct"/>
            <w:tcBorders>
              <w:top w:val="single" w:sz="4" w:space="0" w:color="010000"/>
            </w:tcBorders>
            <w:vAlign w:val="center"/>
          </w:tcPr>
          <w:p>
            <w:pPr>
              <w:jc w:val="left"/>
            </w:pPr>
            <w:r/>
            <w:r>
              <w:rPr>
                <w:rFonts w:hint="eastAsia"/>
                <w:color w:val="000000"/>
                <w:sz w:val="21"/>
              </w:rPr>
              <w:t>硅、石英、碳化硅与氧化铝陶瓷零部件</w:t>
            </w:r>
          </w:p>
        </w:tc>
        <w:tc>
          <w:tcPr>
            <w:tcW w:w="850" w:type="pct"/>
            <w:tcBorders>
              <w:top w:val="single" w:sz="4" w:space="0" w:color="010000"/>
            </w:tcBorders>
            <w:vAlign w:val="center"/>
          </w:tcPr>
          <w:p>
            <w:pPr>
              <w:jc w:val="right"/>
            </w:pPr>
            <w:r/>
            <w:r>
              <w:rPr>
                <w:rFonts w:hint="eastAsia"/>
                <w:color w:val="000000"/>
                <w:sz w:val="21"/>
              </w:rPr>
              <w:t>8.68</w:t>
            </w:r>
          </w:p>
        </w:tc>
        <w:tc>
          <w:tcPr>
            <w:tcW w:w="850" w:type="pct"/>
            <w:tcBorders>
              <w:top w:val="single" w:sz="4" w:space="0" w:color="010000"/>
            </w:tcBorders>
            <w:vAlign w:val="center"/>
          </w:tcPr>
          <w:p>
            <w:pPr>
              <w:jc w:val="right"/>
            </w:pPr>
            <w:r/>
            <w:r>
              <w:rPr>
                <w:rFonts w:hint="eastAsia"/>
                <w:color w:val="000000"/>
                <w:sz w:val="21"/>
              </w:rPr>
              <w:t>2.26</w:t>
            </w:r>
          </w:p>
        </w:tc>
      </w:tr>
      <w:tr>
        <w:trPr>
          <w:cantSplit/>
          <w:jc w:val="center"/>
        </w:trPr>
        <w:tc>
          <w:tcPr>
            <w:tcW w:w="700" w:type="pct"/>
            <w:tcBorders>
              <w:top w:val="single" w:sz="4" w:space="0" w:color="010000"/>
            </w:tcBorders>
            <w:vAlign w:val="center"/>
          </w:tcPr>
          <w:p>
            <w:pPr>
              <w:jc w:val="center"/>
            </w:pPr>
            <w:r/>
            <w:r>
              <w:rPr>
                <w:rFonts w:hint="eastAsia"/>
                <w:color w:val="000000"/>
                <w:sz w:val="21"/>
              </w:rPr>
              <w:t>富创精密</w:t>
            </w:r>
          </w:p>
        </w:tc>
        <w:tc>
          <w:tcPr>
            <w:tcW w:w="900" w:type="pct"/>
            <w:tcBorders>
              <w:top w:val="single" w:sz="4" w:space="0" w:color="010000"/>
            </w:tcBorders>
            <w:vAlign w:val="center"/>
          </w:tcPr>
          <w:p>
            <w:pPr>
              <w:jc w:val="center"/>
            </w:pPr>
            <w:r/>
            <w:r>
              <w:rPr>
                <w:rFonts w:hint="eastAsia"/>
                <w:color w:val="000000"/>
                <w:sz w:val="21"/>
              </w:rPr>
              <w:t>688409.SH</w:t>
            </w:r>
          </w:p>
        </w:tc>
        <w:tc>
          <w:tcPr>
            <w:tcW w:w="1700" w:type="pct"/>
            <w:tcBorders>
              <w:top w:val="single" w:sz="4" w:space="0" w:color="010000"/>
            </w:tcBorders>
            <w:vAlign w:val="center"/>
          </w:tcPr>
          <w:p>
            <w:pPr>
              <w:jc w:val="left"/>
            </w:pPr>
            <w:r/>
            <w:r>
              <w:rPr>
                <w:rFonts w:hint="eastAsia"/>
                <w:color w:val="000000"/>
                <w:sz w:val="21"/>
              </w:rPr>
              <w:t>匀气盘等工艺零部件</w:t>
            </w:r>
          </w:p>
        </w:tc>
        <w:tc>
          <w:tcPr>
            <w:tcW w:w="850" w:type="pct"/>
            <w:tcBorders>
              <w:top w:val="single" w:sz="4" w:space="0" w:color="010000"/>
            </w:tcBorders>
            <w:vAlign w:val="center"/>
          </w:tcPr>
          <w:p>
            <w:pPr>
              <w:jc w:val="right"/>
            </w:pPr>
            <w:r/>
            <w:r>
              <w:rPr>
                <w:rFonts w:hint="eastAsia"/>
                <w:color w:val="000000"/>
                <w:sz w:val="21"/>
              </w:rPr>
              <w:t>35.43</w:t>
            </w:r>
          </w:p>
        </w:tc>
        <w:tc>
          <w:tcPr>
            <w:tcW w:w="850" w:type="pct"/>
            <w:tcBorders>
              <w:top w:val="single" w:sz="4" w:space="0" w:color="010000"/>
            </w:tcBorders>
            <w:vAlign w:val="center"/>
          </w:tcPr>
          <w:p>
            <w:pPr>
              <w:jc w:val="right"/>
            </w:pPr>
            <w:r/>
            <w:r>
              <w:rPr>
                <w:rFonts w:hint="eastAsia"/>
                <w:color w:val="000000"/>
                <w:sz w:val="21"/>
              </w:rPr>
              <w:t>-0.09</w:t>
            </w:r>
          </w:p>
        </w:tc>
      </w:tr>
      <w:tr>
        <w:trPr>
          <w:cantSplit/>
          <w:jc w:val="center"/>
        </w:trPr>
        <w:tc>
          <w:tcPr>
            <w:tcW w:w="700" w:type="pct"/>
            <w:tcBorders>
              <w:top w:val="single" w:sz="4" w:space="0" w:color="010000"/>
            </w:tcBorders>
            <w:vAlign w:val="center"/>
          </w:tcPr>
          <w:p>
            <w:pPr>
              <w:jc w:val="center"/>
            </w:pPr>
            <w:r/>
            <w:r>
              <w:rPr>
                <w:rFonts w:hint="eastAsia"/>
                <w:color w:val="000000"/>
                <w:sz w:val="21"/>
              </w:rPr>
              <w:t>先锋精科</w:t>
            </w:r>
          </w:p>
        </w:tc>
        <w:tc>
          <w:tcPr>
            <w:tcW w:w="900" w:type="pct"/>
            <w:tcBorders>
              <w:top w:val="single" w:sz="4" w:space="0" w:color="010000"/>
            </w:tcBorders>
            <w:vAlign w:val="center"/>
          </w:tcPr>
          <w:p>
            <w:pPr>
              <w:jc w:val="center"/>
            </w:pPr>
            <w:r/>
            <w:r>
              <w:rPr>
                <w:rFonts w:hint="eastAsia"/>
                <w:color w:val="000000"/>
                <w:sz w:val="21"/>
              </w:rPr>
              <w:t>688605.SH</w:t>
            </w:r>
          </w:p>
        </w:tc>
        <w:tc>
          <w:tcPr>
            <w:tcW w:w="1700" w:type="pct"/>
            <w:tcBorders>
              <w:top w:val="single" w:sz="4" w:space="0" w:color="010000"/>
            </w:tcBorders>
            <w:vAlign w:val="center"/>
          </w:tcPr>
          <w:p>
            <w:pPr>
              <w:jc w:val="left"/>
            </w:pPr>
            <w:r/>
            <w:r>
              <w:rPr>
                <w:rFonts w:hint="eastAsia"/>
                <w:color w:val="000000"/>
                <w:sz w:val="21"/>
              </w:rPr>
              <w:t>加热器、匀气盘、气体分配环</w:t>
            </w:r>
          </w:p>
        </w:tc>
        <w:tc>
          <w:tcPr>
            <w:tcW w:w="850" w:type="pct"/>
            <w:tcBorders>
              <w:top w:val="single" w:sz="4" w:space="0" w:color="010000"/>
            </w:tcBorders>
            <w:vAlign w:val="center"/>
          </w:tcPr>
          <w:p>
            <w:pPr>
              <w:jc w:val="right"/>
            </w:pPr>
            <w:r/>
            <w:r>
              <w:rPr>
                <w:rFonts w:hint="eastAsia"/>
                <w:color w:val="000000"/>
                <w:sz w:val="21"/>
              </w:rPr>
              <w:t>12.38</w:t>
            </w:r>
          </w:p>
        </w:tc>
        <w:tc>
          <w:tcPr>
            <w:tcW w:w="850" w:type="pct"/>
            <w:tcBorders>
              <w:top w:val="single" w:sz="4" w:space="0" w:color="010000"/>
            </w:tcBorders>
            <w:vAlign w:val="center"/>
          </w:tcPr>
          <w:p>
            <w:pPr>
              <w:jc w:val="right"/>
            </w:pPr>
            <w:r/>
            <w:r>
              <w:rPr>
                <w:rFonts w:hint="eastAsia"/>
                <w:color w:val="000000"/>
                <w:sz w:val="21"/>
              </w:rPr>
              <w:t>1.89</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6" w:name="_Toc900016"/>
      <w:r>
        <w:rPr>
          <w:rFonts w:hint="eastAsia"/>
        </w:rPr>
        <w:t>5.2 不同材料路线的毛利率差异</w:t>
      </w:r>
      <w:bookmarkEnd w:id="1016"/>
    </w:p>
    <w:p>
      <w:pPr>
        <w:keepNext/>
        <w:jc w:val="center"/>
      </w:pPr>
      <w:r>
        <w:rPr>
          <w:rFonts w:hint="eastAsia"/>
          <w:b/>
          <w:sz w:val="21"/>
        </w:rPr>
        <w:t>表9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2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153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1020" w:type="pct"/>
            <w:tcBorders>
              <w:top w:val="single" w:sz="4" w:space="0" w:color="010000"/>
            </w:tcBorders>
            <w:vAlign w:val="center"/>
          </w:tcPr>
          <w:p>
            <w:pPr>
              <w:jc w:val="center"/>
            </w:pPr>
            <w:r/>
            <w:r>
              <w:rPr>
                <w:rFonts w:hint="eastAsia"/>
                <w:color w:val="000000"/>
                <w:sz w:val="21"/>
              </w:rPr>
              <w:t>珂玛科技</w:t>
            </w:r>
          </w:p>
        </w:tc>
        <w:tc>
          <w:tcPr>
            <w:tcW w:w="816" w:type="pct"/>
            <w:tcBorders>
              <w:top w:val="single" w:sz="4" w:space="0" w:color="010000"/>
            </w:tcBorders>
            <w:vAlign w:val="center"/>
          </w:tcPr>
          <w:p>
            <w:pPr>
              <w:jc w:val="right"/>
            </w:pPr>
            <w:r/>
            <w:r>
              <w:rPr>
                <w:rFonts w:hint="eastAsia"/>
                <w:color w:val="000000"/>
                <w:sz w:val="21"/>
              </w:rPr>
              <w:t>53.94</w:t>
            </w:r>
          </w:p>
        </w:tc>
        <w:tc>
          <w:tcPr>
            <w:tcW w:w="816" w:type="pct"/>
            <w:tcBorders>
              <w:top w:val="single" w:sz="4" w:space="0" w:color="010000"/>
            </w:tcBorders>
            <w:vAlign w:val="center"/>
          </w:tcPr>
          <w:p>
            <w:pPr>
              <w:jc w:val="right"/>
            </w:pPr>
            <w:r/>
            <w:r>
              <w:rPr>
                <w:rFonts w:hint="eastAsia"/>
                <w:color w:val="000000"/>
                <w:sz w:val="21"/>
              </w:rPr>
              <w:t>58.49</w:t>
            </w:r>
          </w:p>
        </w:tc>
        <w:tc>
          <w:tcPr>
            <w:tcW w:w="816" w:type="pct"/>
            <w:tcBorders>
              <w:top w:val="single" w:sz="4" w:space="0" w:color="010000"/>
            </w:tcBorders>
            <w:vAlign w:val="center"/>
          </w:tcPr>
          <w:p>
            <w:pPr>
              <w:jc w:val="right"/>
            </w:pPr>
            <w:r/>
            <w:r>
              <w:rPr>
                <w:rFonts w:hint="eastAsia"/>
                <w:color w:val="000000"/>
                <w:sz w:val="21"/>
              </w:rPr>
              <w:t>39.78</w:t>
            </w:r>
          </w:p>
        </w:tc>
        <w:tc>
          <w:tcPr>
            <w:tcW w:w="1531" w:type="pct"/>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020" w:type="pct"/>
            <w:tcBorders>
              <w:top w:val="single" w:sz="4" w:space="0" w:color="010000"/>
            </w:tcBorders>
            <w:vAlign w:val="center"/>
          </w:tcPr>
          <w:p>
            <w:pPr>
              <w:jc w:val="center"/>
            </w:pPr>
            <w:r/>
            <w:r>
              <w:rPr>
                <w:rFonts w:hint="eastAsia"/>
                <w:color w:val="000000"/>
                <w:sz w:val="21"/>
              </w:rPr>
              <w:t>臻宝科技</w:t>
            </w:r>
          </w:p>
        </w:tc>
        <w:tc>
          <w:tcPr>
            <w:tcW w:w="816" w:type="pct"/>
            <w:tcBorders>
              <w:top w:val="single" w:sz="4" w:space="0" w:color="010000"/>
            </w:tcBorders>
            <w:vAlign w:val="center"/>
          </w:tcPr>
          <w:p>
            <w:pPr>
              <w:jc w:val="right"/>
            </w:pPr>
            <w:r/>
            <w:r>
              <w:rPr>
                <w:rFonts w:hint="eastAsia"/>
                <w:color w:val="000000"/>
                <w:sz w:val="21"/>
              </w:rPr>
              <w:t>49.85</w:t>
            </w:r>
          </w:p>
        </w:tc>
        <w:tc>
          <w:tcPr>
            <w:tcW w:w="816" w:type="pct"/>
            <w:tcBorders>
              <w:top w:val="single" w:sz="4" w:space="0" w:color="010000"/>
            </w:tcBorders>
            <w:vAlign w:val="center"/>
          </w:tcPr>
          <w:p>
            <w:pPr>
              <w:jc w:val="right"/>
            </w:pPr>
            <w:r/>
            <w:r>
              <w:rPr>
                <w:rFonts w:hint="eastAsia"/>
                <w:color w:val="000000"/>
                <w:sz w:val="21"/>
              </w:rPr>
              <w:t>48.05</w:t>
            </w:r>
          </w:p>
        </w:tc>
        <w:tc>
          <w:tcPr>
            <w:tcW w:w="816" w:type="pct"/>
            <w:tcBorders>
              <w:top w:val="single" w:sz="4" w:space="0" w:color="010000"/>
            </w:tcBorders>
            <w:vAlign w:val="center"/>
          </w:tcPr>
          <w:p>
            <w:pPr>
              <w:jc w:val="right"/>
            </w:pPr>
            <w:r/>
            <w:r>
              <w:rPr>
                <w:rFonts w:hint="eastAsia"/>
                <w:color w:val="000000"/>
                <w:sz w:val="21"/>
              </w:rPr>
              <w:t>42.56</w:t>
            </w:r>
          </w:p>
        </w:tc>
        <w:tc>
          <w:tcPr>
            <w:tcW w:w="1531" w:type="pct"/>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020" w:type="pct"/>
            <w:tcBorders>
              <w:top w:val="single" w:sz="4" w:space="0" w:color="010000"/>
            </w:tcBorders>
            <w:vAlign w:val="center"/>
          </w:tcPr>
          <w:p>
            <w:pPr>
              <w:jc w:val="center"/>
            </w:pPr>
            <w:r/>
            <w:r>
              <w:rPr>
                <w:rFonts w:hint="eastAsia"/>
                <w:color w:val="000000"/>
                <w:sz w:val="21"/>
              </w:rPr>
              <w:t>先锋精科</w:t>
            </w:r>
          </w:p>
        </w:tc>
        <w:tc>
          <w:tcPr>
            <w:tcW w:w="816" w:type="pct"/>
            <w:tcBorders>
              <w:top w:val="single" w:sz="4" w:space="0" w:color="010000"/>
            </w:tcBorders>
            <w:vAlign w:val="center"/>
          </w:tcPr>
          <w:p>
            <w:pPr>
              <w:jc w:val="right"/>
            </w:pPr>
            <w:r/>
            <w:r>
              <w:rPr>
                <w:rFonts w:hint="eastAsia"/>
                <w:color w:val="000000"/>
                <w:sz w:val="21"/>
              </w:rPr>
              <w:t>29.02</w:t>
            </w:r>
          </w:p>
        </w:tc>
        <w:tc>
          <w:tcPr>
            <w:tcW w:w="816" w:type="pct"/>
            <w:tcBorders>
              <w:top w:val="single" w:sz="4" w:space="0" w:color="010000"/>
            </w:tcBorders>
            <w:vAlign w:val="center"/>
          </w:tcPr>
          <w:p>
            <w:pPr>
              <w:jc w:val="right"/>
            </w:pPr>
            <w:r/>
            <w:r>
              <w:rPr>
                <w:rFonts w:hint="eastAsia"/>
                <w:color w:val="000000"/>
                <w:sz w:val="21"/>
              </w:rPr>
              <w:t>33.83</w:t>
            </w:r>
          </w:p>
        </w:tc>
        <w:tc>
          <w:tcPr>
            <w:tcW w:w="816" w:type="pct"/>
            <w:tcBorders>
              <w:top w:val="single" w:sz="4" w:space="0" w:color="010000"/>
            </w:tcBorders>
            <w:vAlign w:val="center"/>
          </w:tcPr>
          <w:p>
            <w:pPr>
              <w:jc w:val="right"/>
            </w:pPr>
            <w:r/>
            <w:r>
              <w:rPr>
                <w:rFonts w:hint="eastAsia"/>
                <w:color w:val="000000"/>
                <w:sz w:val="21"/>
              </w:rPr>
              <w:t>29.93</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托伦斯</w:t>
            </w:r>
          </w:p>
        </w:tc>
        <w:tc>
          <w:tcPr>
            <w:tcW w:w="816" w:type="pct"/>
            <w:tcBorders>
              <w:top w:val="single" w:sz="4" w:space="0" w:color="010000"/>
            </w:tcBorders>
            <w:vAlign w:val="center"/>
          </w:tcPr>
          <w:p>
            <w:pPr>
              <w:jc w:val="right"/>
            </w:pPr>
            <w:r/>
            <w:r>
              <w:rPr>
                <w:rFonts w:hint="eastAsia"/>
                <w:color w:val="000000"/>
                <w:sz w:val="21"/>
              </w:rPr>
              <w:t>27.14</w:t>
            </w:r>
          </w:p>
        </w:tc>
        <w:tc>
          <w:tcPr>
            <w:tcW w:w="816" w:type="pct"/>
            <w:tcBorders>
              <w:top w:val="single" w:sz="4" w:space="0" w:color="010000"/>
            </w:tcBorders>
            <w:vAlign w:val="center"/>
          </w:tcPr>
          <w:p>
            <w:pPr>
              <w:jc w:val="right"/>
            </w:pPr>
            <w:r/>
            <w:r>
              <w:rPr>
                <w:rFonts w:hint="eastAsia"/>
                <w:color w:val="000000"/>
                <w:sz w:val="21"/>
              </w:rPr>
              <w:t>29.89</w:t>
            </w:r>
          </w:p>
        </w:tc>
        <w:tc>
          <w:tcPr>
            <w:tcW w:w="816" w:type="pct"/>
            <w:tcBorders>
              <w:top w:val="single" w:sz="4" w:space="0" w:color="010000"/>
            </w:tcBorders>
            <w:vAlign w:val="center"/>
          </w:tcPr>
          <w:p>
            <w:pPr>
              <w:jc w:val="right"/>
            </w:pPr>
            <w:r/>
            <w:r>
              <w:rPr>
                <w:rFonts w:hint="eastAsia"/>
                <w:color w:val="000000"/>
                <w:sz w:val="21"/>
              </w:rPr>
              <w:t>23.26</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富创精密</w:t>
            </w:r>
          </w:p>
        </w:tc>
        <w:tc>
          <w:tcPr>
            <w:tcW w:w="816" w:type="pct"/>
            <w:tcBorders>
              <w:top w:val="single" w:sz="4" w:space="0" w:color="010000"/>
            </w:tcBorders>
            <w:vAlign w:val="center"/>
          </w:tcPr>
          <w:p>
            <w:pPr>
              <w:jc w:val="right"/>
            </w:pPr>
            <w:r/>
            <w:r>
              <w:rPr>
                <w:rFonts w:hint="eastAsia"/>
                <w:color w:val="000000"/>
                <w:sz w:val="21"/>
              </w:rPr>
              <w:t>24.94</w:t>
            </w:r>
          </w:p>
        </w:tc>
        <w:tc>
          <w:tcPr>
            <w:tcW w:w="816" w:type="pct"/>
            <w:tcBorders>
              <w:top w:val="single" w:sz="4" w:space="0" w:color="010000"/>
            </w:tcBorders>
            <w:vAlign w:val="center"/>
          </w:tcPr>
          <w:p>
            <w:pPr>
              <w:jc w:val="right"/>
            </w:pPr>
            <w:r/>
            <w:r>
              <w:rPr>
                <w:rFonts w:hint="eastAsia"/>
                <w:color w:val="000000"/>
                <w:sz w:val="21"/>
              </w:rPr>
              <w:t>25.80</w:t>
            </w:r>
          </w:p>
        </w:tc>
        <w:tc>
          <w:tcPr>
            <w:tcW w:w="816" w:type="pct"/>
            <w:tcBorders>
              <w:top w:val="single" w:sz="4" w:space="0" w:color="010000"/>
            </w:tcBorders>
            <w:vAlign w:val="center"/>
          </w:tcPr>
          <w:p>
            <w:pPr>
              <w:jc w:val="right"/>
            </w:pPr>
            <w:r/>
            <w:r>
              <w:rPr>
                <w:rFonts w:hint="eastAsia"/>
                <w:color w:val="000000"/>
                <w:sz w:val="21"/>
              </w:rPr>
              <w:t>25.20</w:t>
            </w:r>
          </w:p>
        </w:tc>
        <w:tc>
          <w:tcPr>
            <w:tcW w:w="1531" w:type="pct"/>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数据中，托伦斯、先锋精科、臻宝科技为全年口径，珂玛科技、富创精密为2025年1—9月口径；材料属性一列为本报告依据各公司主营产品描述归纳。</w:t>
      </w:r>
    </w:p>
    <w:p>
      <w:pPr>
        <w:keepNext/>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五家公司的毛利率分成两档。非金属路线的珂玛科技、臻宝科技在50%上下；金属路线的先锋精科、托伦斯、富创精密均不到30%，分别为29.02%、27.14%与24.94%。两档之间最窄处也相差约20个百分点。同行业公司对此的解释是加工附加值与原材料成本的比例不同：非金属零部件在加工过程中产生的附加值高于原材料成本，金属件更接近材料加工，模组类产品还要计入外购零部件成本。无锡金源的产品跨这两条路线，综合毛利率取决于各产品线的材质与收入结构。</w:t>
      </w:r>
    </w:p>
    <w:p>
      <w:pPr>
        <w:pStyle w:val="3"/>
        <w:numPr>
          <w:ilvl w:val="0"/>
          <w:numId w:val="0"/>
        </w:numPr>
        <w:spacing w:before="156" w:after="156"/>
      </w:pPr>
      <w:bookmarkStart w:id="1017" w:name="_Toc900017"/>
      <w:r>
        <w:rPr>
          <w:rFonts w:hint="eastAsia"/>
        </w:rPr>
        <w:t>5.3 单一产品的毛利率水平</w:t>
      </w:r>
      <w:bookmarkEnd w:id="1017"/>
    </w:p>
    <w:p>
      <w:pPr>
        <w:pStyle w:val="a0"/>
      </w:pPr>
      <w:r>
        <w:rPr>
          <w:rFonts w:hint="eastAsia"/>
        </w:rPr>
        <w:t>五家可比公司中，托伦斯与先锋精科按单品披露了毛利率，富创精密未作单品拆分。与无锡金源两条核心产品线直接对应的是匀气盘（气体分布盘）与加热器。</w:t>
      </w:r>
    </w:p>
    <w:p>
      <w:pPr>
        <w:keepNext/>
        <w:jc w:val="center"/>
      </w:pPr>
      <w:r>
        <w:rPr>
          <w:rFonts w:hint="eastAsia"/>
          <w:b/>
          <w:sz w:val="21"/>
        </w:rPr>
        <w:t>表10  与无锡金源产品对应品类的分产品毛利率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2022年（%）</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40.73</w:t>
            </w:r>
          </w:p>
        </w:tc>
        <w:tc>
          <w:tcPr>
            <w:tcW w:w="816" w:type="pct"/>
            <w:tcBorders>
              <w:top w:val="single" w:sz="4" w:space="0" w:color="010000"/>
            </w:tcBorders>
            <w:vAlign w:val="center"/>
          </w:tcPr>
          <w:p>
            <w:pPr>
              <w:jc w:val="right"/>
            </w:pPr>
            <w:r/>
            <w:r>
              <w:rPr>
                <w:rFonts w:hint="eastAsia"/>
                <w:b/>
                <w:color w:val="000000"/>
                <w:sz w:val="21"/>
              </w:rPr>
              <w:t>39.76</w:t>
            </w:r>
          </w:p>
        </w:tc>
        <w:tc>
          <w:tcPr>
            <w:tcW w:w="816" w:type="pct"/>
            <w:tcBorders>
              <w:top w:val="single" w:sz="4" w:space="0" w:color="010000"/>
            </w:tcBorders>
            <w:vAlign w:val="center"/>
          </w:tcPr>
          <w:p>
            <w:pPr>
              <w:jc w:val="right"/>
            </w:pPr>
            <w:r/>
            <w:r>
              <w:rPr>
                <w:rFonts w:hint="eastAsia"/>
                <w:b/>
                <w:color w:val="000000"/>
                <w:sz w:val="21"/>
              </w:rPr>
              <w:t>43.31</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31.86</w:t>
            </w:r>
          </w:p>
        </w:tc>
        <w:tc>
          <w:tcPr>
            <w:tcW w:w="816" w:type="pct"/>
            <w:tcBorders>
              <w:top w:val="single" w:sz="4" w:space="0" w:color="010000"/>
            </w:tcBorders>
            <w:vAlign w:val="center"/>
          </w:tcPr>
          <w:p>
            <w:pPr>
              <w:jc w:val="right"/>
            </w:pPr>
            <w:r/>
            <w:r>
              <w:rPr>
                <w:rFonts w:hint="eastAsia"/>
                <w:b/>
                <w:color w:val="000000"/>
                <w:sz w:val="21"/>
              </w:rPr>
              <w:t>27.44</w:t>
            </w:r>
          </w:p>
        </w:tc>
        <w:tc>
          <w:tcPr>
            <w:tcW w:w="816" w:type="pct"/>
            <w:tcBorders>
              <w:top w:val="single" w:sz="4" w:space="0" w:color="010000"/>
            </w:tcBorders>
            <w:vAlign w:val="center"/>
          </w:tcPr>
          <w:p>
            <w:pPr>
              <w:jc w:val="right"/>
            </w:pPr>
            <w:r/>
            <w:r>
              <w:rPr>
                <w:rFonts w:hint="eastAsia"/>
                <w:b/>
                <w:color w:val="000000"/>
                <w:sz w:val="21"/>
              </w:rPr>
              <w:t>26.72</w:t>
            </w:r>
          </w:p>
        </w:tc>
      </w:tr>
      <w:tr>
        <w:trPr>
          <w:cantSplit/>
          <w:jc w:val="center"/>
        </w:trPr>
        <w:tc>
          <w:tcPr>
            <w:tcW w:w="816" w:type="pct"/>
            <w:tcBorders>
              <w:top w:val="single" w:sz="4" w:space="0" w:color="010000"/>
            </w:tcBorders>
            <w:vAlign w:val="center"/>
          </w:tcPr>
          <w:p>
            <w:pPr>
              <w:jc w:val="center"/>
            </w:pPr>
            <w:r/>
            <w:r>
              <w:rPr>
                <w:rFonts w:hint="eastAsia"/>
                <w:b/>
                <w:color w:val="000000"/>
                <w:sz w:val="21"/>
              </w:rPr>
              <w:t>气体分布盘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25.88</w:t>
            </w:r>
          </w:p>
        </w:tc>
        <w:tc>
          <w:tcPr>
            <w:tcW w:w="816" w:type="pct"/>
            <w:tcBorders>
              <w:top w:val="single" w:sz="4" w:space="0" w:color="010000"/>
            </w:tcBorders>
            <w:vAlign w:val="center"/>
          </w:tcPr>
          <w:p>
            <w:pPr>
              <w:jc w:val="right"/>
            </w:pPr>
            <w:r/>
            <w:r>
              <w:rPr>
                <w:rFonts w:hint="eastAsia"/>
                <w:b/>
                <w:color w:val="000000"/>
                <w:sz w:val="21"/>
              </w:rPr>
              <w:t>20.05</w:t>
            </w:r>
          </w:p>
        </w:tc>
        <w:tc>
          <w:tcPr>
            <w:tcW w:w="816" w:type="pct"/>
            <w:tcBorders>
              <w:top w:val="single" w:sz="4" w:space="0" w:color="010000"/>
            </w:tcBorders>
            <w:vAlign w:val="center"/>
          </w:tcPr>
          <w:p>
            <w:pPr>
              <w:jc w:val="right"/>
            </w:pPr>
            <w:r/>
            <w:r>
              <w:rPr>
                <w:rFonts w:hint="eastAsia"/>
                <w:b/>
                <w:color w:val="000000"/>
                <w:sz w:val="21"/>
              </w:rPr>
              <w:t>40.93</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43.66</w:t>
            </w:r>
          </w:p>
        </w:tc>
        <w:tc>
          <w:tcPr>
            <w:tcW w:w="816" w:type="pct"/>
            <w:tcBorders>
              <w:top w:val="single" w:sz="4" w:space="0" w:color="010000"/>
            </w:tcBorders>
            <w:vAlign w:val="center"/>
          </w:tcPr>
          <w:p>
            <w:pPr>
              <w:jc w:val="right"/>
            </w:pPr>
            <w:r/>
            <w:r>
              <w:rPr>
                <w:rFonts w:hint="eastAsia"/>
                <w:b/>
                <w:color w:val="000000"/>
                <w:sz w:val="21"/>
              </w:rPr>
              <w:t>39.85</w:t>
            </w:r>
          </w:p>
        </w:tc>
        <w:tc>
          <w:tcPr>
            <w:tcW w:w="816" w:type="pct"/>
            <w:tcBorders>
              <w:top w:val="single" w:sz="4" w:space="0" w:color="010000"/>
            </w:tcBorders>
            <w:vAlign w:val="center"/>
          </w:tcPr>
          <w:p>
            <w:pPr>
              <w:jc w:val="right"/>
            </w:pPr>
            <w:r/>
            <w:r>
              <w:rPr>
                <w:rFonts w:hint="eastAsia"/>
                <w:b/>
                <w:color w:val="000000"/>
                <w:sz w:val="21"/>
              </w:rPr>
              <w:t>49.85</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52.79</w:t>
            </w:r>
          </w:p>
        </w:tc>
        <w:tc>
          <w:tcPr>
            <w:tcW w:w="816" w:type="pct"/>
            <w:tcBorders>
              <w:top w:val="single" w:sz="4" w:space="0" w:color="010000"/>
            </w:tcBorders>
            <w:vAlign w:val="center"/>
          </w:tcPr>
          <w:p>
            <w:pPr>
              <w:jc w:val="right"/>
            </w:pPr>
            <w:r/>
            <w:r>
              <w:rPr>
                <w:rFonts w:hint="eastAsia"/>
                <w:b/>
                <w:color w:val="000000"/>
                <w:sz w:val="21"/>
              </w:rPr>
              <w:t>14.39</w:t>
            </w:r>
          </w:p>
        </w:tc>
        <w:tc>
          <w:tcPr>
            <w:tcW w:w="816" w:type="pct"/>
            <w:tcBorders>
              <w:top w:val="single" w:sz="4" w:space="0" w:color="010000"/>
            </w:tcBorders>
            <w:vAlign w:val="center"/>
          </w:tcPr>
          <w:p>
            <w:pPr>
              <w:jc w:val="right"/>
            </w:pPr>
            <w:r/>
            <w:r>
              <w:rPr>
                <w:rFonts w:hint="eastAsia"/>
                <w:b/>
                <w:color w:val="000000"/>
                <w:sz w:val="21"/>
              </w:rPr>
              <w:t>-18.68</w:t>
            </w:r>
          </w:p>
        </w:tc>
      </w:tr>
    </w:tbl>
    <w:p>
      <w:pPr>
        <w:pStyle w:val="a6"/>
        <w:jc w:val="center"/>
      </w:pPr>
      <w:r>
        <w:rPr>
          <w:rFonts w:hint="eastAsia"/>
          <w:sz w:val="11"/>
          <w:szCs w:val="11"/>
        </w:rPr>
        <w:t>资料来源：托伦斯关于第二轮审核问询函的回复意见；先锋精科招股说明书（注册稿），本报告整理。注：先锋精科2024年为1—3月数据；托伦斯的气体分布盘与匀气盘为两个独立品类，先锋精科未单列气体分布盘。</w:t>
      </w:r>
    </w:p>
    <w:p>
      <w:pPr>
        <w:pStyle w:val="a0"/>
      </w:pPr>
      <w:r>
        <w:rPr>
          <w:rFonts w:hint="eastAsia"/>
        </w:rPr>
        <w:t>同为匀气盘，先锋精科三年稳定在40%上下，托伦斯则由26.72%逐年升至31.86%。同为加热器，先锋精科在40%至50%区间，托伦斯2022年尚为负毛利，2024年升至52.79%。差异来自产品规格、客户结构与自制外协比例，仅凭单家数据不足以判断这两个品类的合理毛利率区间。先锋精科的单价可作量级参考：2023年匀气盘平均单价7,105.04元／个，加热器34,526.93元／个。</w:t>
      </w:r>
    </w:p>
    <w:p>
      <w:pPr>
        <w:keepNext/>
        <w:jc w:val="center"/>
      </w:pPr>
      <w:r>
        <w:drawing>
          <wp:inline xmlns:a="http://schemas.openxmlformats.org/drawingml/2006/main" xmlns:pic="http://schemas.openxmlformats.org/drawingml/2006/picture">
            <wp:extent cx="5074920" cy="2301417"/>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301417"/>
                    </a:xfrm>
                    <a:prstGeom prst="rect"/>
                  </pic:spPr>
                </pic:pic>
              </a:graphicData>
            </a:graphic>
          </wp:inline>
        </w:drawing>
      </w:r>
    </w:p>
    <w:p>
      <w:pPr>
        <w:jc w:val="center"/>
      </w:pPr>
      <w:r>
        <w:rPr>
          <w:rFonts w:hint="eastAsia"/>
          <w:b/>
          <w:sz w:val="21"/>
        </w:rPr>
        <w:t>图3  与无锡金源产品对应品类的分产品毛利率变动</w:t>
      </w:r>
    </w:p>
    <w:p>
      <w:pPr>
        <w:pStyle w:val="a6"/>
        <w:jc w:val="center"/>
      </w:pPr>
      <w:r>
        <w:rPr>
          <w:rFonts w:hint="eastAsia"/>
          <w:sz w:val="11"/>
          <w:szCs w:val="11"/>
        </w:rPr>
        <w:t>资料来源：托伦斯关于第二轮审核问询函的回复意见；先锋精科招股说明书（注册稿），本报告整理</w:t>
      </w:r>
    </w:p>
    <w:p>
      <w:pPr>
        <w:pStyle w:val="3"/>
        <w:numPr>
          <w:ilvl w:val="0"/>
          <w:numId w:val="0"/>
        </w:numPr>
        <w:spacing w:before="156" w:after="156"/>
      </w:pPr>
      <w:bookmarkStart w:id="1018" w:name="_Toc900018"/>
      <w:r>
        <w:rPr>
          <w:rFonts w:hint="eastAsia"/>
        </w:rPr>
        <w:t>5.4 研发投入水平</w:t>
      </w:r>
      <w:bookmarkEnd w:id="1018"/>
    </w:p>
    <w:p>
      <w:pPr>
        <w:keepNext/>
        <w:jc w:val="center"/>
      </w:pPr>
      <w:r>
        <w:rPr>
          <w:rFonts w:hint="eastAsia"/>
          <w:b/>
          <w:sz w:val="21"/>
        </w:rPr>
        <w:t>表11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447"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447" w:type="pct"/>
            <w:tcBorders>
              <w:top w:val="single" w:sz="4" w:space="0" w:color="010000"/>
            </w:tcBorders>
            <w:vAlign w:val="center"/>
          </w:tcPr>
          <w:p>
            <w:pPr>
              <w:jc w:val="center"/>
            </w:pPr>
            <w:r/>
            <w:r>
              <w:rPr>
                <w:rFonts w:hint="eastAsia"/>
                <w:color w:val="000000"/>
                <w:sz w:val="21"/>
              </w:rPr>
              <w:t>珂玛科技</w:t>
            </w:r>
          </w:p>
        </w:tc>
        <w:tc>
          <w:tcPr>
            <w:tcW w:w="1184" w:type="pct"/>
            <w:tcBorders>
              <w:top w:val="single" w:sz="4" w:space="0" w:color="010000"/>
            </w:tcBorders>
            <w:vAlign w:val="center"/>
          </w:tcPr>
          <w:p>
            <w:pPr>
              <w:jc w:val="right"/>
            </w:pPr>
            <w:r/>
            <w:r>
              <w:rPr>
                <w:rFonts w:hint="eastAsia"/>
                <w:color w:val="000000"/>
                <w:sz w:val="21"/>
              </w:rPr>
              <w:t>9.32</w:t>
            </w:r>
          </w:p>
        </w:tc>
        <w:tc>
          <w:tcPr>
            <w:tcW w:w="1184" w:type="pct"/>
            <w:tcBorders>
              <w:top w:val="single" w:sz="4" w:space="0" w:color="010000"/>
            </w:tcBorders>
            <w:vAlign w:val="center"/>
          </w:tcPr>
          <w:p>
            <w:pPr>
              <w:jc w:val="right"/>
            </w:pPr>
            <w:r/>
            <w:r>
              <w:rPr>
                <w:rFonts w:hint="eastAsia"/>
                <w:color w:val="000000"/>
                <w:sz w:val="21"/>
              </w:rPr>
              <w:t>7.73</w:t>
            </w:r>
          </w:p>
        </w:tc>
        <w:tc>
          <w:tcPr>
            <w:tcW w:w="1184" w:type="pct"/>
            <w:tcBorders>
              <w:top w:val="single" w:sz="4" w:space="0" w:color="010000"/>
            </w:tcBorders>
            <w:vAlign w:val="center"/>
          </w:tcPr>
          <w:p>
            <w:pPr>
              <w:jc w:val="right"/>
            </w:pPr>
            <w:r/>
            <w:r>
              <w:rPr>
                <w:rFonts w:hint="eastAsia"/>
                <w:color w:val="000000"/>
                <w:sz w:val="21"/>
              </w:rPr>
              <w:t>9.69</w:t>
            </w:r>
          </w:p>
        </w:tc>
      </w:tr>
      <w:tr>
        <w:trPr>
          <w:cantSplit/>
          <w:jc w:val="center"/>
        </w:trPr>
        <w:tc>
          <w:tcPr>
            <w:tcW w:w="1447" w:type="pct"/>
            <w:tcBorders>
              <w:top w:val="single" w:sz="4" w:space="0" w:color="010000"/>
            </w:tcBorders>
            <w:vAlign w:val="center"/>
          </w:tcPr>
          <w:p>
            <w:pPr>
              <w:jc w:val="center"/>
            </w:pPr>
            <w:r/>
            <w:r>
              <w:rPr>
                <w:rFonts w:hint="eastAsia"/>
                <w:color w:val="000000"/>
                <w:sz w:val="21"/>
              </w:rPr>
              <w:t>富创精密</w:t>
            </w:r>
          </w:p>
        </w:tc>
        <w:tc>
          <w:tcPr>
            <w:tcW w:w="1184" w:type="pct"/>
            <w:tcBorders>
              <w:top w:val="single" w:sz="4" w:space="0" w:color="010000"/>
            </w:tcBorders>
            <w:vAlign w:val="center"/>
          </w:tcPr>
          <w:p>
            <w:pPr>
              <w:jc w:val="right"/>
            </w:pPr>
            <w:r/>
            <w:r>
              <w:rPr>
                <w:rFonts w:hint="eastAsia"/>
                <w:color w:val="000000"/>
                <w:sz w:val="21"/>
              </w:rPr>
              <w:t>7.15</w:t>
            </w:r>
          </w:p>
        </w:tc>
        <w:tc>
          <w:tcPr>
            <w:tcW w:w="1184" w:type="pct"/>
            <w:tcBorders>
              <w:top w:val="single" w:sz="4" w:space="0" w:color="010000"/>
            </w:tcBorders>
            <w:vAlign w:val="center"/>
          </w:tcPr>
          <w:p>
            <w:pPr>
              <w:jc w:val="right"/>
            </w:pPr>
            <w:r/>
            <w:r>
              <w:rPr>
                <w:rFonts w:hint="eastAsia"/>
                <w:color w:val="000000"/>
                <w:sz w:val="21"/>
              </w:rPr>
              <w:t>7.28</w:t>
            </w:r>
          </w:p>
        </w:tc>
        <w:tc>
          <w:tcPr>
            <w:tcW w:w="1184" w:type="pct"/>
            <w:tcBorders>
              <w:top w:val="single" w:sz="4" w:space="0" w:color="010000"/>
            </w:tcBorders>
            <w:vAlign w:val="center"/>
          </w:tcPr>
          <w:p>
            <w:pPr>
              <w:jc w:val="right"/>
            </w:pPr>
            <w:r/>
            <w:r>
              <w:rPr>
                <w:rFonts w:hint="eastAsia"/>
                <w:color w:val="000000"/>
                <w:sz w:val="21"/>
              </w:rPr>
              <w:t>9.97</w:t>
            </w:r>
          </w:p>
        </w:tc>
      </w:tr>
      <w:tr>
        <w:trPr>
          <w:cantSplit/>
          <w:jc w:val="center"/>
        </w:trPr>
        <w:tc>
          <w:tcPr>
            <w:tcW w:w="1447" w:type="pct"/>
            <w:tcBorders>
              <w:top w:val="single" w:sz="4" w:space="0" w:color="010000"/>
            </w:tcBorders>
            <w:vAlign w:val="center"/>
          </w:tcPr>
          <w:p>
            <w:pPr>
              <w:jc w:val="center"/>
            </w:pPr>
            <w:r/>
            <w:r>
              <w:rPr>
                <w:rFonts w:hint="eastAsia"/>
                <w:color w:val="000000"/>
                <w:sz w:val="21"/>
              </w:rPr>
              <w:t>臻宝科技</w:t>
            </w:r>
          </w:p>
        </w:tc>
        <w:tc>
          <w:tcPr>
            <w:tcW w:w="1184" w:type="pct"/>
            <w:tcBorders>
              <w:top w:val="single" w:sz="4" w:space="0" w:color="010000"/>
            </w:tcBorders>
            <w:vAlign w:val="center"/>
          </w:tcPr>
          <w:p>
            <w:pPr>
              <w:jc w:val="right"/>
            </w:pPr>
            <w:r/>
            <w:r>
              <w:rPr>
                <w:rFonts w:hint="eastAsia"/>
                <w:color w:val="000000"/>
                <w:sz w:val="21"/>
              </w:rPr>
              <w:t>7.05</w:t>
            </w:r>
          </w:p>
        </w:tc>
        <w:tc>
          <w:tcPr>
            <w:tcW w:w="1184" w:type="pct"/>
            <w:tcBorders>
              <w:top w:val="single" w:sz="4" w:space="0" w:color="010000"/>
            </w:tcBorders>
            <w:vAlign w:val="center"/>
          </w:tcPr>
          <w:p>
            <w:pPr>
              <w:jc w:val="right"/>
            </w:pPr>
            <w:r/>
            <w:r>
              <w:rPr>
                <w:rFonts w:hint="eastAsia"/>
                <w:color w:val="000000"/>
                <w:sz w:val="21"/>
              </w:rPr>
              <w:t>8.36</w:t>
            </w:r>
          </w:p>
        </w:tc>
        <w:tc>
          <w:tcPr>
            <w:tcW w:w="1184" w:type="pct"/>
            <w:tcBorders>
              <w:top w:val="single" w:sz="4" w:space="0" w:color="010000"/>
            </w:tcBorders>
            <w:vAlign w:val="center"/>
          </w:tcPr>
          <w:p>
            <w:pPr>
              <w:jc w:val="right"/>
            </w:pPr>
            <w:r/>
            <w:r>
              <w:rPr>
                <w:rFonts w:hint="eastAsia"/>
                <w:color w:val="000000"/>
                <w:sz w:val="21"/>
              </w:rPr>
              <w:t>5.91</w:t>
            </w:r>
          </w:p>
        </w:tc>
      </w:tr>
      <w:tr>
        <w:trPr>
          <w:cantSplit/>
          <w:jc w:val="center"/>
        </w:trPr>
        <w:tc>
          <w:tcPr>
            <w:tcW w:w="1447" w:type="pct"/>
            <w:tcBorders>
              <w:top w:val="single" w:sz="4" w:space="0" w:color="010000"/>
            </w:tcBorders>
            <w:vAlign w:val="center"/>
          </w:tcPr>
          <w:p>
            <w:pPr>
              <w:jc w:val="center"/>
            </w:pPr>
            <w:r/>
            <w:r>
              <w:rPr>
                <w:rFonts w:hint="eastAsia"/>
                <w:color w:val="000000"/>
                <w:sz w:val="21"/>
              </w:rPr>
              <w:t>先锋精科</w:t>
            </w:r>
          </w:p>
        </w:tc>
        <w:tc>
          <w:tcPr>
            <w:tcW w:w="1184" w:type="pct"/>
            <w:tcBorders>
              <w:top w:val="single" w:sz="4" w:space="0" w:color="010000"/>
            </w:tcBorders>
            <w:vAlign w:val="center"/>
          </w:tcPr>
          <w:p>
            <w:pPr>
              <w:jc w:val="right"/>
            </w:pPr>
            <w:r/>
            <w:r>
              <w:rPr>
                <w:rFonts w:hint="eastAsia"/>
                <w:color w:val="000000"/>
                <w:sz w:val="21"/>
              </w:rPr>
              <w:t>5.77</w:t>
            </w:r>
          </w:p>
        </w:tc>
        <w:tc>
          <w:tcPr>
            <w:tcW w:w="1184" w:type="pct"/>
            <w:tcBorders>
              <w:top w:val="single" w:sz="4" w:space="0" w:color="010000"/>
            </w:tcBorders>
            <w:vAlign w:val="center"/>
          </w:tcPr>
          <w:p>
            <w:pPr>
              <w:jc w:val="right"/>
            </w:pPr>
            <w:r/>
            <w:r>
              <w:rPr>
                <w:rFonts w:hint="eastAsia"/>
                <w:color w:val="000000"/>
                <w:sz w:val="21"/>
              </w:rPr>
              <w:t>5.64</w:t>
            </w:r>
          </w:p>
        </w:tc>
        <w:tc>
          <w:tcPr>
            <w:tcW w:w="1184" w:type="pct"/>
            <w:tcBorders>
              <w:top w:val="single" w:sz="4" w:space="0" w:color="010000"/>
            </w:tcBorders>
            <w:vAlign w:val="center"/>
          </w:tcPr>
          <w:p>
            <w:pPr>
              <w:jc w:val="right"/>
            </w:pPr>
            <w:r/>
            <w:r>
              <w:rPr>
                <w:rFonts w:hint="eastAsia"/>
                <w:color w:val="000000"/>
                <w:sz w:val="21"/>
              </w:rPr>
              <w:t>6.51</w:t>
            </w:r>
          </w:p>
        </w:tc>
      </w:tr>
      <w:tr>
        <w:trPr>
          <w:cantSplit/>
          <w:jc w:val="center"/>
        </w:trPr>
        <w:tc>
          <w:tcPr>
            <w:tcW w:w="1447" w:type="pct"/>
            <w:tcBorders>
              <w:top w:val="single" w:sz="4" w:space="0" w:color="010000"/>
            </w:tcBorders>
            <w:vAlign w:val="center"/>
          </w:tcPr>
          <w:p>
            <w:pPr>
              <w:jc w:val="center"/>
            </w:pPr>
            <w:r/>
            <w:r>
              <w:rPr>
                <w:rFonts w:hint="eastAsia"/>
                <w:color w:val="000000"/>
                <w:sz w:val="21"/>
              </w:rPr>
              <w:t>托伦斯</w:t>
            </w:r>
          </w:p>
        </w:tc>
        <w:tc>
          <w:tcPr>
            <w:tcW w:w="1184" w:type="pct"/>
            <w:tcBorders>
              <w:top w:val="single" w:sz="4" w:space="0" w:color="010000"/>
            </w:tcBorders>
            <w:vAlign w:val="center"/>
          </w:tcPr>
          <w:p>
            <w:pPr>
              <w:jc w:val="right"/>
            </w:pPr>
            <w:r/>
            <w:r>
              <w:rPr>
                <w:rFonts w:hint="eastAsia"/>
                <w:color w:val="000000"/>
                <w:sz w:val="21"/>
              </w:rPr>
              <w:t>4.44</w:t>
            </w:r>
          </w:p>
        </w:tc>
        <w:tc>
          <w:tcPr>
            <w:tcW w:w="1184" w:type="pct"/>
            <w:tcBorders>
              <w:top w:val="single" w:sz="4" w:space="0" w:color="010000"/>
            </w:tcBorders>
            <w:vAlign w:val="center"/>
          </w:tcPr>
          <w:p>
            <w:pPr>
              <w:jc w:val="right"/>
            </w:pPr>
            <w:r/>
            <w:r>
              <w:rPr>
                <w:rFonts w:hint="eastAsia"/>
                <w:color w:val="000000"/>
                <w:sz w:val="21"/>
              </w:rPr>
              <w:t>3.84</w:t>
            </w:r>
          </w:p>
        </w:tc>
        <w:tc>
          <w:tcPr>
            <w:tcW w:w="1184" w:type="pct"/>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资料来源：托伦斯招股说明书（注册稿），本报告整理。注：数据来源于可比公司定期报告；富创精密与珂玛科技为2025年1—9月数据。</w:t>
      </w:r>
    </w:p>
    <w:p>
      <w:pPr>
        <w:pStyle w:val="2"/>
        <w:spacing w:before="156" w:after="156"/>
      </w:pPr>
      <w:bookmarkStart w:id="1019" w:name="_Toc900019"/>
      <w:r>
        <w:rPr>
          <w:rFonts w:hint="eastAsia"/>
          <w:b/>
        </w:rPr>
        <w:t>首次公开发行审核关注要点</w:t>
      </w:r>
      <w:bookmarkEnd w:id="1019"/>
    </w:p>
    <w:p>
      <w:pPr>
        <w:pStyle w:val="3"/>
        <w:numPr>
          <w:ilvl w:val="0"/>
          <w:numId w:val="0"/>
        </w:numPr>
        <w:spacing w:before="156" w:after="156"/>
      </w:pPr>
      <w:bookmarkStart w:id="1020" w:name="_Toc900020"/>
      <w:r>
        <w:rPr>
          <w:rFonts w:hint="eastAsia"/>
        </w:rPr>
        <w:t>6.1 样本与甄别方法</w:t>
      </w:r>
      <w:bookmarkEnd w:id="1020"/>
    </w:p>
    <w:p>
      <w:pPr>
        <w:pStyle w:val="a0"/>
      </w:pPr>
      <w:r>
        <w:rPr>
          <w:rFonts w:hint="eastAsia"/>
        </w:rPr>
        <w:t>本章选取五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71"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2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048" w:type="pct"/>
            <w:tcBorders>
              <w:top w:val="single" w:sz="12" w:space="0" w:color="010000"/>
              <w:bottom w:val="single" w:sz="4" w:space="0" w:color="010000"/>
            </w:tcBorders>
            <w:vAlign w:val="center"/>
          </w:tcPr>
          <w:p>
            <w:pPr>
              <w:keepNext/>
              <w:jc w:val="center"/>
            </w:pPr>
            <w:r/>
            <w:r>
              <w:rPr>
                <w:rFonts w:hint="eastAsia"/>
                <w:b/>
                <w:color w:val="000000"/>
                <w:sz w:val="21"/>
              </w:rPr>
              <w:t>审核时间</w:t>
            </w:r>
          </w:p>
        </w:tc>
        <w:tc>
          <w:tcPr>
            <w:tcW w:w="952"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476"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与无锡金源的可比性</w:t>
            </w:r>
          </w:p>
        </w:tc>
      </w:tr>
      <w:tr>
        <w:trPr>
          <w:cantSplit/>
          <w:jc w:val="center"/>
        </w:trPr>
        <w:tc>
          <w:tcPr>
            <w:tcW w:w="571" w:type="pct"/>
            <w:tcBorders>
              <w:top w:val="single" w:sz="4" w:space="0" w:color="010000"/>
            </w:tcBorders>
            <w:vAlign w:val="center"/>
          </w:tcPr>
          <w:p>
            <w:pPr>
              <w:jc w:val="center"/>
            </w:pPr>
            <w:r/>
            <w:r>
              <w:rPr>
                <w:rFonts w:hint="eastAsia"/>
                <w:color w:val="000000"/>
                <w:sz w:val="21"/>
              </w:rPr>
              <w:t>托伦斯</w:t>
            </w:r>
          </w:p>
        </w:tc>
        <w:tc>
          <w:tcPr>
            <w:tcW w:w="524" w:type="pct"/>
            <w:tcBorders>
              <w:top w:val="single" w:sz="4" w:space="0" w:color="010000"/>
            </w:tcBorders>
            <w:vAlign w:val="center"/>
          </w:tcPr>
          <w:p>
            <w:pPr>
              <w:jc w:val="center"/>
            </w:pPr>
            <w:r/>
            <w:r>
              <w:rPr>
                <w:rFonts w:hint="eastAsia"/>
                <w:color w:val="000000"/>
                <w:sz w:val="21"/>
              </w:rPr>
              <w:t>301583.SZ</w:t>
            </w:r>
          </w:p>
        </w:tc>
        <w:tc>
          <w:tcPr>
            <w:tcW w:w="1048" w:type="pct"/>
            <w:tcBorders>
              <w:top w:val="single" w:sz="4" w:space="0" w:color="010000"/>
            </w:tcBorders>
            <w:vAlign w:val="center"/>
          </w:tcPr>
          <w:p>
            <w:pPr>
              <w:jc w:val="left"/>
            </w:pPr>
            <w:r/>
            <w:r>
              <w:rPr>
                <w:rFonts w:hint="eastAsia"/>
                <w:color w:val="000000"/>
                <w:sz w:val="21"/>
              </w:rPr>
              <w:t>2025年12月23日受理，2026年4月25日提交注册</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15</w:t>
            </w:r>
          </w:p>
        </w:tc>
        <w:tc>
          <w:tcPr>
            <w:tcW w:w="1429" w:type="pct"/>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571" w:type="pct"/>
            <w:tcBorders>
              <w:top w:val="single" w:sz="4" w:space="0" w:color="010000"/>
            </w:tcBorders>
            <w:vAlign w:val="center"/>
          </w:tcPr>
          <w:p>
            <w:pPr>
              <w:jc w:val="center"/>
            </w:pPr>
            <w:r/>
            <w:r>
              <w:rPr>
                <w:rFonts w:hint="eastAsia"/>
                <w:color w:val="000000"/>
                <w:sz w:val="21"/>
              </w:rPr>
              <w:t>臻宝科技</w:t>
            </w:r>
          </w:p>
        </w:tc>
        <w:tc>
          <w:tcPr>
            <w:tcW w:w="524" w:type="pct"/>
            <w:tcBorders>
              <w:top w:val="single" w:sz="4" w:space="0" w:color="010000"/>
            </w:tcBorders>
            <w:vAlign w:val="center"/>
          </w:tcPr>
          <w:p>
            <w:pPr>
              <w:jc w:val="center"/>
            </w:pPr>
            <w:r/>
            <w:r>
              <w:rPr>
                <w:rFonts w:hint="eastAsia"/>
                <w:color w:val="000000"/>
                <w:sz w:val="21"/>
              </w:rPr>
              <w:t>688797.SH</w:t>
            </w:r>
          </w:p>
        </w:tc>
        <w:tc>
          <w:tcPr>
            <w:tcW w:w="1048" w:type="pct"/>
            <w:tcBorders>
              <w:top w:val="single" w:sz="4" w:space="0" w:color="010000"/>
            </w:tcBorders>
            <w:vAlign w:val="center"/>
          </w:tcPr>
          <w:p>
            <w:pPr>
              <w:jc w:val="left"/>
            </w:pPr>
            <w:r/>
            <w:r>
              <w:rPr>
                <w:rFonts w:hint="eastAsia"/>
                <w:color w:val="000000"/>
                <w:sz w:val="21"/>
              </w:rPr>
              <w:t>2025年首轮问询，2026年6月24日上市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13</w:t>
            </w:r>
          </w:p>
        </w:tc>
        <w:tc>
          <w:tcPr>
            <w:tcW w:w="1429" w:type="pct"/>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珂玛科技</w:t>
            </w:r>
          </w:p>
        </w:tc>
        <w:tc>
          <w:tcPr>
            <w:tcW w:w="524" w:type="pct"/>
            <w:tcBorders>
              <w:top w:val="single" w:sz="4" w:space="0" w:color="010000"/>
            </w:tcBorders>
            <w:vAlign w:val="center"/>
          </w:tcPr>
          <w:p>
            <w:pPr>
              <w:jc w:val="center"/>
            </w:pPr>
            <w:r/>
            <w:r>
              <w:rPr>
                <w:rFonts w:hint="eastAsia"/>
                <w:color w:val="000000"/>
                <w:sz w:val="21"/>
              </w:rPr>
              <w:t>301611.SZ</w:t>
            </w:r>
          </w:p>
        </w:tc>
        <w:tc>
          <w:tcPr>
            <w:tcW w:w="1048" w:type="pct"/>
            <w:tcBorders>
              <w:top w:val="single" w:sz="4" w:space="0" w:color="010000"/>
            </w:tcBorders>
            <w:vAlign w:val="center"/>
          </w:tcPr>
          <w:p>
            <w:pPr>
              <w:jc w:val="left"/>
            </w:pPr>
            <w:r/>
            <w:r>
              <w:rPr>
                <w:rFonts w:hint="eastAsia"/>
                <w:color w:val="000000"/>
                <w:sz w:val="21"/>
              </w:rPr>
              <w:t>2024年4月回复第二轮，2024年8月16日上市</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19</w:t>
            </w:r>
          </w:p>
        </w:tc>
        <w:tc>
          <w:tcPr>
            <w:tcW w:w="1429" w:type="pct"/>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先锋精科</w:t>
            </w:r>
          </w:p>
        </w:tc>
        <w:tc>
          <w:tcPr>
            <w:tcW w:w="524" w:type="pct"/>
            <w:tcBorders>
              <w:top w:val="single" w:sz="4" w:space="0" w:color="010000"/>
            </w:tcBorders>
            <w:vAlign w:val="center"/>
          </w:tcPr>
          <w:p>
            <w:pPr>
              <w:jc w:val="center"/>
            </w:pPr>
            <w:r/>
            <w:r>
              <w:rPr>
                <w:rFonts w:hint="eastAsia"/>
                <w:color w:val="000000"/>
                <w:sz w:val="21"/>
              </w:rPr>
              <w:t>688605.SH</w:t>
            </w:r>
          </w:p>
        </w:tc>
        <w:tc>
          <w:tcPr>
            <w:tcW w:w="1048" w:type="pct"/>
            <w:tcBorders>
              <w:top w:val="single" w:sz="4" w:space="0" w:color="010000"/>
            </w:tcBorders>
            <w:vAlign w:val="center"/>
          </w:tcPr>
          <w:p>
            <w:pPr>
              <w:jc w:val="left"/>
            </w:pPr>
            <w:r/>
            <w:r>
              <w:rPr>
                <w:rFonts w:hint="eastAsia"/>
                <w:color w:val="000000"/>
                <w:sz w:val="21"/>
              </w:rPr>
              <w:t>2023年12月回复首轮，2024年12月12日上市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18</w:t>
            </w:r>
          </w:p>
        </w:tc>
        <w:tc>
          <w:tcPr>
            <w:tcW w:w="1429" w:type="pct"/>
            <w:tcBorders>
              <w:top w:val="single" w:sz="4" w:space="0" w:color="010000"/>
            </w:tcBorders>
            <w:vAlign w:val="center"/>
          </w:tcPr>
          <w:p>
            <w:pPr>
              <w:jc w:val="left"/>
            </w:pPr>
            <w:r/>
            <w:r>
              <w:rPr>
                <w:rFonts w:hint="eastAsia"/>
                <w:color w:val="000000"/>
                <w:sz w:val="21"/>
              </w:rPr>
              <w:t>产品含匀气盘与加热器，与两条核心产品线直接对应，且按单品披露毛利率</w:t>
            </w:r>
          </w:p>
        </w:tc>
      </w:tr>
      <w:tr>
        <w:trPr>
          <w:cantSplit/>
          <w:jc w:val="center"/>
        </w:trPr>
        <w:tc>
          <w:tcPr>
            <w:tcW w:w="571" w:type="pct"/>
            <w:tcBorders>
              <w:top w:val="single" w:sz="4" w:space="0" w:color="010000"/>
            </w:tcBorders>
            <w:vAlign w:val="center"/>
          </w:tcPr>
          <w:p>
            <w:pPr>
              <w:jc w:val="center"/>
            </w:pPr>
            <w:r/>
            <w:r>
              <w:rPr>
                <w:rFonts w:hint="eastAsia"/>
                <w:color w:val="000000"/>
                <w:sz w:val="21"/>
              </w:rPr>
              <w:t>神工股份</w:t>
            </w:r>
          </w:p>
        </w:tc>
        <w:tc>
          <w:tcPr>
            <w:tcW w:w="524" w:type="pct"/>
            <w:tcBorders>
              <w:top w:val="single" w:sz="4" w:space="0" w:color="010000"/>
            </w:tcBorders>
            <w:vAlign w:val="center"/>
          </w:tcPr>
          <w:p>
            <w:pPr>
              <w:jc w:val="center"/>
            </w:pPr>
            <w:r/>
            <w:r>
              <w:rPr>
                <w:rFonts w:hint="eastAsia"/>
                <w:color w:val="000000"/>
                <w:sz w:val="21"/>
              </w:rPr>
              <w:t>688233.SH</w:t>
            </w:r>
          </w:p>
        </w:tc>
        <w:tc>
          <w:tcPr>
            <w:tcW w:w="1048" w:type="pct"/>
            <w:tcBorders>
              <w:top w:val="single" w:sz="4" w:space="0" w:color="010000"/>
            </w:tcBorders>
            <w:vAlign w:val="center"/>
          </w:tcPr>
          <w:p>
            <w:pPr>
              <w:jc w:val="left"/>
            </w:pPr>
            <w:r/>
            <w:r>
              <w:rPr>
                <w:rFonts w:hint="eastAsia"/>
                <w:color w:val="000000"/>
                <w:sz w:val="21"/>
              </w:rPr>
              <w:t>2019年内完成四轮问询，2020年2月21日上市</w:t>
            </w:r>
          </w:p>
        </w:tc>
        <w:tc>
          <w:tcPr>
            <w:tcW w:w="952" w:type="pct"/>
            <w:tcBorders>
              <w:top w:val="single" w:sz="4" w:space="0" w:color="010000"/>
            </w:tcBorders>
            <w:vAlign w:val="center"/>
          </w:tcPr>
          <w:p>
            <w:pPr>
              <w:jc w:val="left"/>
            </w:pPr>
            <w:r/>
            <w:r>
              <w:rPr>
                <w:rFonts w:hint="eastAsia"/>
                <w:color w:val="000000"/>
                <w:sz w:val="21"/>
              </w:rPr>
              <w:t>四轮问询及上市委审议意见落实函</w:t>
            </w:r>
          </w:p>
        </w:tc>
        <w:tc>
          <w:tcPr>
            <w:tcW w:w="476" w:type="pct"/>
            <w:tcBorders>
              <w:top w:val="single" w:sz="4" w:space="0" w:color="010000"/>
            </w:tcBorders>
            <w:vAlign w:val="center"/>
          </w:tcPr>
          <w:p>
            <w:pPr>
              <w:jc w:val="center"/>
            </w:pPr>
            <w:r/>
            <w:r>
              <w:rPr>
                <w:rFonts w:hint="eastAsia"/>
                <w:color w:val="000000"/>
                <w:sz w:val="21"/>
              </w:rPr>
              <w:t>49</w:t>
            </w:r>
          </w:p>
        </w:tc>
        <w:tc>
          <w:tcPr>
            <w:tcW w:w="1429" w:type="pct"/>
            <w:tcBorders>
              <w:top w:val="single" w:sz="4" w:space="0" w:color="010000"/>
            </w:tcBorders>
            <w:vAlign w:val="center"/>
          </w:tcPr>
          <w:p>
            <w:pPr>
              <w:jc w:val="left"/>
            </w:pPr>
            <w:r/>
            <w:r>
              <w:rPr>
                <w:rFonts w:hint="eastAsia"/>
                <w:color w:val="000000"/>
                <w:sz w:val="21"/>
              </w:rPr>
              <w:t>刻蚀用硅电极即硅气体分配盘，与精密气体喷头功能相同、材料路线不同；四轮问询下的产销勾稽与能耗核查颗粒度为五家样本中最细</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的可比性依据为臻宝科技招股说明书的表述——“刻蚀用硅电极（本材料中硅电极即为硅气体分配盘）”；该公司同时经营单晶硅材料，业务范围宽于纯零部件加工，本章仅援引其对制造型企业具有共性的问题；注三：本章不含下游设备整机企业的案例。</w:t>
      </w:r>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先锋精科由首轮18个收敛至第二轮7个；神工股份由首轮49个依次收敛至20个、8个、8个，落实函2个。收敛后仍保留的问题，即为审核实际关注的核心。</w:t>
      </w:r>
    </w:p>
    <w:p>
      <w:pPr>
        <w:keepNext/>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42406"/>
                    </a:xfrm>
                    <a:prstGeom prst="rect"/>
                  </pic:spPr>
                </pic:pic>
              </a:graphicData>
            </a:graphic>
          </wp:inline>
        </w:drawing>
      </w:r>
    </w:p>
    <w:p>
      <w:pPr>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本章内容取自交易所网站已公开披露的问询回复文件，发行人与中介机构自行作出的结论性意见不予引用。只涉及单家企业特定情形的问题，如实际控制人认定、与关联方共用厂房人员、技术出资合法性等，各家情况不同，对无锡金源没有参照价值，本章不列。</w:t>
      </w:r>
    </w:p>
    <w:p>
      <w:pPr>
        <w:pStyle w:val="3"/>
        <w:numPr>
          <w:ilvl w:val="0"/>
          <w:numId w:val="0"/>
        </w:numPr>
        <w:spacing w:before="156" w:after="156"/>
      </w:pPr>
      <w:bookmarkStart w:id="1021" w:name="_Toc900021"/>
      <w:r>
        <w:rPr>
          <w:rFonts w:hint="eastAsia"/>
        </w:rPr>
        <w:t>6.2 关注点之一：毛利率与成本核算</w:t>
      </w:r>
      <w:bookmarkEnd w:id="1021"/>
    </w:p>
    <w:p>
      <w:pPr>
        <w:pStyle w:val="a0"/>
      </w:pPr>
      <w:r>
        <w:rPr>
          <w:rFonts w:hint="eastAsia"/>
        </w:rPr>
        <w:t>毛利率是五家企业全部命中的问题，且都被追问到最后一轮。托伦斯首轮问成本和毛利率，第二轮单列毛利率变动，落实函仍以业绩稳定性追问毛利率是否进一步下滑；珂玛科技在第二轮与落实函连续两次单列毛利率；神工股份第二轮单列毛利率，第四轮转为产品单价和单位成本。臻宝科技与先锋精科则是两轮均设成本和毛利率专项，先锋精科第二轮还加设了业绩波动。</w:t>
      </w:r>
    </w:p>
    <w:p>
      <w:pPr>
        <w:pStyle w:val="a0"/>
      </w:pPr>
      <w:r>
        <w:rPr>
          <w:rFonts w:hint="eastAsia"/>
        </w:rPr>
        <w:t>审核关注毛利率的角度有三类。一是产品结构层面的拆分，要求按单一产品逐项列示毛利率、收入占比及其变动影响，托伦斯的分产品毛利率即由此披露。二是与同行业可比公司的对标。臻宝科技第二轮问询列示了两组数据：公司硅零部件各期毛利率45.83%、50.05%、52.99%、48.28%，可比公司神工股份、盾源聚芯的同类产品毛利率均值34.65%、34.49%、37.32%、43.74%；并指出发行人硅零部件收入远低于盾源聚芯，且两家可比公司均自研自产硅材料。三是成本核算的具体勾稽。同一轮问询指出，2024年及2025年1—6月公司硅零部件的实际单位耗用量为2.26千克／件、2.34千克／件，低于物料清单的2.30千克／件、2.43千克／件。</w:t>
      </w:r>
    </w:p>
    <w:p>
      <w:pPr>
        <w:pStyle w:val="a0"/>
      </w:pPr>
      <w:r>
        <w:rPr>
          <w:rFonts w:hint="eastAsia"/>
        </w:rPr>
        <w:t>毛利率逐年上升同样构成触发点。神工股份报告期各期综合毛利率43.73%、55.10%、63.77%、67.25%，四期连续上升。交易所未接受笼统的技术领先解释，而是要求先按产品规格逐档拆开产量、销量与价格，再在拆分数据的基础上回答毛利率为何高、为何持续上升。</w:t>
      </w:r>
    </w:p>
    <w:p>
      <w:pPr>
        <w:pStyle w:val="a0"/>
      </w:pPr>
      <w:r>
        <w:rPr>
          <w:rFonts w:hint="eastAsia"/>
        </w:rPr>
        <w:t>臻宝科技第二轮回复列明核查程序九项，包括查阅仓库管理和成本核算制度，获取废料台账与产成品明细并测算利用边角料生产的产品数量与材料成本，获取报废产品明细与材料更换涉及的产品清单并对良率变动作量化分析，获取物料清单与实际投入产出关系比对，以及按产品类型分析单位成本与毛利率的变动。珂玛科技在审核中心意见落实函中获取产品规格数据，测算主要产品的单位体积价格与单位体积成本，再量化各因素对毛利率变动的影响。先锋精科第二轮回复将毛利率变动拆成两层：先区分产品结构变动与细分产品自身指标变动的影响，再逐项统计单价、单位直接材料、单位直接人工、单位制造费用与单位外协成本的变动数额，并对影响较大的细分产品查看实物与工艺路线。三家做法不同，指向一致：毛利率的解释须建立在产品级、纯度级、尺寸级的数据拆分之上，而不能直接归因于技术水平。</w:t>
      </w:r>
    </w:p>
    <w:p>
      <w:pPr>
        <w:pStyle w:val="3"/>
        <w:numPr>
          <w:ilvl w:val="0"/>
          <w:numId w:val="0"/>
        </w:numPr>
        <w:spacing w:before="156" w:after="156"/>
      </w:pPr>
      <w:bookmarkStart w:id="1022" w:name="_Toc900022"/>
      <w:r>
        <w:rPr>
          <w:rFonts w:hint="eastAsia"/>
        </w:rPr>
        <w:t>6.3 关注点之二：技术先进性与核心技术</w:t>
      </w:r>
      <w:bookmarkEnd w:id="1022"/>
    </w:p>
    <w:p>
      <w:pPr>
        <w:pStyle w:val="a0"/>
      </w:pPr>
      <w:r>
        <w:rPr>
          <w:rFonts w:hint="eastAsia"/>
        </w:rPr>
        <w:t>五家企业均被问及核心技术，且多在第二轮升级。托伦斯首轮问产品和技术，第二轮转为技术先进性和市场空间，要求说明高精度机械制造、焊接、表面处理三项核心工艺的技术水平；先锋精科首轮设产品和技术专项，第二轮转为产品和市场竞争；神工股份第二轮设公司行业及核心技术专项，第三轮再设发行人产品专项。臻宝科技首轮即设核心技术专项，珂玛科技则在第二轮问核心技术、落实函问业务与技术。</w:t>
      </w:r>
    </w:p>
    <w:p>
      <w:pPr>
        <w:pStyle w:val="a0"/>
      </w:pPr>
      <w:r>
        <w:rPr>
          <w:rFonts w:hint="eastAsia"/>
        </w:rPr>
        <w:t>神工股份第三轮问询划出了核心技术与生产设备之间的边界。交易所要求结合各期采购的单晶炉型号及其差异，说明能够生产大尺寸单晶硅材料是否主要因为采购了相应型号的设备；投入产出率提升与能耗降低，是否源于外购更先进的设备或对外购设备的改造；并说明具体改进措施及其在研发投入与研发费用中的体现。</w:t>
      </w:r>
    </w:p>
    <w:p>
      <w:pPr>
        <w:pStyle w:val="a0"/>
      </w:pPr>
      <w:r>
        <w:rPr>
          <w:rFonts w:hint="eastAsia"/>
        </w:rPr>
        <w:t>托伦斯第二轮回复的核查程序共七项，其中四项落在外部印证上：查阅可比公司公开披露的技术指标、专利信息及招股说明书，与发行人技术参数逐项对比；访谈核心客户的采购负责人，确认产品技术性能指标、供应份额排名及与竞争对手的对比；访谈客户确认外协厂商是否为其指定或认证的供应商；查阅可比公司年度报告，统计模组业务收入占比与客户结构。技术先进性的证明由此落到可比对象的公开参数与客户方的确认上。</w:t>
      </w:r>
    </w:p>
    <w:p>
      <w:pPr>
        <w:pStyle w:val="3"/>
        <w:numPr>
          <w:ilvl w:val="0"/>
          <w:numId w:val="0"/>
        </w:numPr>
        <w:spacing w:before="156" w:after="156"/>
      </w:pPr>
      <w:bookmarkStart w:id="1023" w:name="_Toc900023"/>
      <w:r>
        <w:rPr>
          <w:rFonts w:hint="eastAsia"/>
        </w:rPr>
        <w:t>6.4 关注点之三：收入与业绩可持续性</w:t>
      </w:r>
      <w:bookmarkEnd w:id="1023"/>
    </w:p>
    <w:p>
      <w:pPr>
        <w:pStyle w:val="a0"/>
      </w:pPr>
      <w:r>
        <w:rPr>
          <w:rFonts w:hint="eastAsia"/>
        </w:rPr>
        <w:t>托伦斯首轮问业务成长性、收入变动与主要客户，第二轮问营业收入变动，落实函问业绩稳定性；臻宝科技首轮问收入，第二轮问经营业绩与收入；珂玛科技第二轮问收入增长可持续性。先锋精科第二轮单设业绩波动专项，核查程序包括获取各期产能利用率、产销率、收入及毛利率情况表，查阅同行业可比公司定期报告作对比，访谈各类零部件主要客户并获取期末在手订单明细。</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新增产能说明是否存在产能消化风险；三是结合在手订单数量与价格、产能利用率预计变动、汇兑损益变化，分析毛利率及经营利润是否存在进一步下滑的风险。核查程序共六项：查阅SEMI、QY Research等机构发布的市场规模与国产化率数据以复核测算逻辑，获取募投项目可行性研究报告与经济效益测算表，查阅下游行业研究报告与主要厂商资本开支计划，查阅可比公司及下游主要客户的定期报告，获取在手订单以分析价格变动与产能增长。业绩变动最终须归因到可外部验证的行业数据，以及可比公司、下游客户的定期报告。</w:t>
      </w:r>
    </w:p>
    <w:p>
      <w:pPr>
        <w:pStyle w:val="3"/>
        <w:numPr>
          <w:ilvl w:val="0"/>
          <w:numId w:val="0"/>
        </w:numPr>
        <w:spacing w:before="156" w:after="156"/>
      </w:pPr>
      <w:bookmarkStart w:id="1024" w:name="_Toc900024"/>
      <w:r>
        <w:rPr>
          <w:rFonts w:hint="eastAsia"/>
        </w:rPr>
        <w:t>6.5 关注点之四：客户与供应商</w:t>
      </w:r>
      <w:bookmarkEnd w:id="1024"/>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是查阅采购明细表并访谈主要供应商取得说明，再将市场价格、可比公司采购价格、向不同供应商的采购价格与供应商向其他客户的销售价格作四方对照。神工股份第四轮问询则给出了境外销售的核查颗粒度：逐单列示重要销售订单的客户名称、订单金额、合同签订时间、报关出口时间、运输方式、运费金额、客户签收日期与回款时间，并按合同顺序提供销售合同、出口报关单、客户签收凭据与客户付款凭证。在缺少市场公开报价的品类上，价格公允性靠多个可比维度交叉对照建立；主要产品出口的企业，收入真实性核查则落到单笔订单的单证闭环上。</w:t>
      </w:r>
    </w:p>
    <w:p>
      <w:pPr>
        <w:pStyle w:val="3"/>
        <w:numPr>
          <w:ilvl w:val="0"/>
          <w:numId w:val="0"/>
        </w:numPr>
        <w:spacing w:before="156" w:after="156"/>
      </w:pPr>
      <w:bookmarkStart w:id="1025" w:name="_Toc900025"/>
      <w:r>
        <w:rPr>
          <w:rFonts w:hint="eastAsia"/>
        </w:rPr>
        <w:t>6.6 关注点之五：产销勾稽与投入产出</w:t>
      </w:r>
      <w:bookmarkEnd w:id="1025"/>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交易所在第四轮列出报告期各期按重量与按长度计算的两套产销比，2016年至2019年1—6月按重量口径分别为103.05%、96.58%、90.56%、54.12%，按长度口径分别为99.37%、90.41%、94.66%、59.71%，要求从定性和定量两方面说明差异原因及合理性。同一轮次还列出各期单位设备用水量12,885.71、9,254.55、5,814.29和1,063.33吨／台，单位设备用电量87.33、88.86、95.69和45.23万千瓦时／台，末期为2019年1—6月半年数；要求列表说明各月度用水量、用电量与当月产量、在产设备数量的配比关系及差异原因，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访谈管理层了解两套口径之间的勾稽关系。这一类问题的实质，是以物理量交叉验证财务数据。原材料投入量、能耗、设备台数、产量、销量、出口报关量之间需形成可复算的对应关系，任一环节的口径切换都要给出量化解释。</w:t>
      </w:r>
    </w:p>
    <w:p>
      <w:pPr>
        <w:pStyle w:val="3"/>
        <w:numPr>
          <w:ilvl w:val="0"/>
          <w:numId w:val="0"/>
        </w:numPr>
        <w:spacing w:before="156" w:after="156"/>
      </w:pPr>
      <w:bookmarkStart w:id="1026" w:name="_Toc900026"/>
      <w:r>
        <w:rPr>
          <w:rFonts w:hint="eastAsia"/>
        </w:rPr>
        <w:t>6.7 关注点之六：募投项目与产能消化</w:t>
      </w:r>
      <w:bookmarkEnd w:id="1026"/>
    </w:p>
    <w:p>
      <w:pPr>
        <w:pStyle w:val="a0"/>
      </w:pPr>
      <w:r>
        <w:rPr>
          <w:rFonts w:hint="eastAsia"/>
        </w:rPr>
        <w:t>托伦斯首轮设募投项目专项，落实函要求结合募投新增产能说明产能消化风险；臻宝科技首轮与第二轮均设募投项目专项；珂玛科技在会计师专项回复中设募集资金运用；先锋精科首轮设募投项目专项，第二轮转为募投项目环评。关注角度为新增产能的测算依据、与在手订单及客户需求的匹配、产能爬坡节奏，以及产能利用率下降对毛利率的影响。募投项目的实施场地安排本身也是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7" w:name="_Toc900027"/>
      <w:r>
        <w:rPr>
          <w:rFonts w:hint="eastAsia"/>
        </w:rPr>
        <w:t>6.8 各关注点对应的核查材料</w:t>
      </w:r>
      <w:bookmarkEnd w:id="1027"/>
    </w:p>
    <w:p>
      <w:pPr>
        <w:pStyle w:val="a0"/>
      </w:pPr>
      <w:r>
        <w:rPr>
          <w:rFonts w:hint="eastAsia"/>
        </w:rPr>
        <w:t>同一类问题在不同企业、不同年份的核查落点高度一致。下表右列为这些材料在企业日常经营中的对应记录，系依据中列内容归纳。</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keepNext/>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资料来源：托伦斯、臻宝科技、珂玛科技、先锋精科、神工股份的审核问询函回复、上市委审议意见落实函回复与审核中心意见落实函回复，本报告整理。注：右列系依据中列内容归纳，非监管规则的列举。</w:t>
      </w:r>
    </w:p>
    <w:p>
      <w:pPr>
        <w:pStyle w:val="2"/>
        <w:spacing w:before="156" w:after="156"/>
      </w:pPr>
      <w:bookmarkStart w:id="1028" w:name="_Toc900028"/>
      <w:r>
        <w:rPr>
          <w:rFonts w:hint="eastAsia"/>
          <w:b/>
        </w:rPr>
        <w:t>与国泰海通相关的产业链公司</w:t>
      </w:r>
      <w:bookmarkEnd w:id="1028"/>
    </w:p>
    <w:p>
      <w:pPr>
        <w:pStyle w:val="a0"/>
      </w:pPr>
      <w:r>
        <w:rPr>
          <w:rFonts w:hint="eastAsia"/>
        </w:rPr>
        <w:t>本章列示国泰海通在半导体设备与零部件领域的在审、辅导、已保荐上市与再融资项目，并标注各公司与无锡金源在产业链上的位置关系。</w:t>
      </w:r>
    </w:p>
    <w:p>
      <w:pPr>
        <w:pStyle w:val="3"/>
        <w:numPr>
          <w:ilvl w:val="0"/>
          <w:numId w:val="0"/>
        </w:numPr>
        <w:spacing w:before="156" w:after="156"/>
      </w:pPr>
      <w:bookmarkStart w:id="1029" w:name="_Toc900029"/>
      <w:r>
        <w:rPr>
          <w:rFonts w:hint="eastAsia"/>
        </w:rPr>
        <w:t>7.1 在审与辅导中的项目</w:t>
      </w:r>
      <w:bookmarkEnd w:id="1029"/>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96"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7"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973"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1416"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96" w:type="pct"/>
            <w:tcBorders>
              <w:top w:val="single" w:sz="4" w:space="0" w:color="010000"/>
            </w:tcBorders>
            <w:vAlign w:val="center"/>
          </w:tcPr>
          <w:p>
            <w:pPr>
              <w:jc w:val="left"/>
            </w:pPr>
            <w:r/>
            <w:r>
              <w:rPr>
                <w:rFonts w:hint="eastAsia"/>
                <w:color w:val="000000"/>
                <w:sz w:val="21"/>
              </w:rPr>
              <w:t>江苏神州半导体科技</w:t>
            </w:r>
          </w:p>
        </w:tc>
        <w:tc>
          <w:tcPr>
            <w:tcW w:w="487" w:type="pct"/>
            <w:tcBorders>
              <w:top w:val="single" w:sz="4" w:space="0" w:color="010000"/>
            </w:tcBorders>
            <w:vAlign w:val="center"/>
          </w:tcPr>
          <w:p>
            <w:pPr>
              <w:jc w:val="center"/>
            </w:pPr>
            <w:r/>
            <w:r>
              <w:rPr>
                <w:rFonts w:hint="eastAsia"/>
                <w:color w:val="000000"/>
                <w:sz w:val="21"/>
              </w:rPr>
              <w:t>保荐机构</w:t>
            </w:r>
          </w:p>
        </w:tc>
        <w:tc>
          <w:tcPr>
            <w:tcW w:w="973" w:type="pct"/>
            <w:tcBorders>
              <w:top w:val="single" w:sz="4" w:space="0" w:color="010000"/>
            </w:tcBorders>
            <w:vAlign w:val="center"/>
          </w:tcPr>
          <w:p>
            <w:pPr>
              <w:jc w:val="left"/>
            </w:pPr>
            <w:r/>
            <w:r>
              <w:rPr>
                <w:rFonts w:hint="eastAsia"/>
                <w:color w:val="000000"/>
                <w:sz w:val="21"/>
              </w:rPr>
              <w:t>科创板IPO已问询，2026年6月30日递交申报稿</w:t>
            </w:r>
          </w:p>
        </w:tc>
        <w:tc>
          <w:tcPr>
            <w:tcW w:w="1416" w:type="pct"/>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1327" w:type="pct"/>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796" w:type="pct"/>
            <w:tcBorders>
              <w:top w:val="single" w:sz="4" w:space="0" w:color="010000"/>
            </w:tcBorders>
            <w:vAlign w:val="center"/>
          </w:tcPr>
          <w:p>
            <w:pPr>
              <w:jc w:val="left"/>
            </w:pPr>
            <w:r/>
            <w:r>
              <w:rPr>
                <w:rFonts w:hint="eastAsia"/>
                <w:color w:val="000000"/>
                <w:sz w:val="21"/>
              </w:rPr>
              <w:t>新美光（苏州）半导体科技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辅导备案登记受理，2026年7月24日</w:t>
            </w:r>
          </w:p>
        </w:tc>
        <w:tc>
          <w:tcPr>
            <w:tcW w:w="1416" w:type="pct"/>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1327" w:type="pct"/>
            <w:tcBorders>
              <w:top w:val="single" w:sz="4" w:space="0" w:color="010000"/>
            </w:tcBorders>
            <w:vAlign w:val="center"/>
          </w:tcPr>
          <w:p>
            <w:pPr>
              <w:jc w:val="left"/>
            </w:pPr>
            <w:r/>
            <w:r>
              <w:rPr>
                <w:rFonts w:hint="eastAsia"/>
                <w:color w:val="000000"/>
                <w:sz w:val="21"/>
              </w:rPr>
              <w:t>同处零部件环节；其硅电极与无锡金源的精密气体喷头为同一功能部件的不同材料路线</w:t>
            </w:r>
          </w:p>
        </w:tc>
      </w:tr>
      <w:tr>
        <w:trPr>
          <w:cantSplit/>
          <w:jc w:val="center"/>
        </w:trPr>
        <w:tc>
          <w:tcPr>
            <w:tcW w:w="796" w:type="pct"/>
            <w:tcBorders>
              <w:top w:val="single" w:sz="4" w:space="0" w:color="010000"/>
            </w:tcBorders>
            <w:vAlign w:val="center"/>
          </w:tcPr>
          <w:p>
            <w:pPr>
              <w:jc w:val="left"/>
            </w:pPr>
            <w:r/>
            <w:r>
              <w:rPr>
                <w:rFonts w:hint="eastAsia"/>
                <w:color w:val="000000"/>
                <w:sz w:val="21"/>
              </w:rPr>
              <w:t>盛吉盛半导体科技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辅导备案登记受理，2026年7月27日</w:t>
            </w:r>
          </w:p>
        </w:tc>
        <w:tc>
          <w:tcPr>
            <w:tcW w:w="1416" w:type="pct"/>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1327" w:type="pct"/>
            <w:tcBorders>
              <w:top w:val="single" w:sz="4" w:space="0" w:color="010000"/>
            </w:tcBorders>
            <w:vAlign w:val="center"/>
          </w:tcPr>
          <w:p>
            <w:pPr>
              <w:jc w:val="left"/>
            </w:pPr>
            <w:r/>
            <w:r>
              <w:rPr>
                <w:rFonts w:hint="eastAsia"/>
                <w:color w:val="000000"/>
                <w:sz w:val="21"/>
              </w:rPr>
              <w:t>设备整机环节；无锡金源的气体喷头与加热盘即用于薄膜沉积与刻蚀工艺的设备腔体</w:t>
            </w:r>
          </w:p>
        </w:tc>
      </w:tr>
      <w:tr>
        <w:trPr>
          <w:cantSplit/>
          <w:jc w:val="center"/>
        </w:trPr>
        <w:tc>
          <w:tcPr>
            <w:tcW w:w="796" w:type="pct"/>
            <w:tcBorders>
              <w:top w:val="single" w:sz="4" w:space="0" w:color="010000"/>
            </w:tcBorders>
            <w:vAlign w:val="center"/>
          </w:tcPr>
          <w:p>
            <w:pPr>
              <w:jc w:val="left"/>
            </w:pPr>
            <w:r/>
            <w:r>
              <w:rPr>
                <w:rFonts w:hint="eastAsia"/>
                <w:color w:val="000000"/>
                <w:sz w:val="21"/>
              </w:rPr>
              <w:t>上海先普科技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辅导备案登记受理，2025年12月24日，拟北交所</w:t>
            </w:r>
          </w:p>
        </w:tc>
        <w:tc>
          <w:tcPr>
            <w:tcW w:w="1416" w:type="pct"/>
            <w:tcBorders>
              <w:top w:val="single" w:sz="4" w:space="0" w:color="010000"/>
            </w:tcBorders>
            <w:vAlign w:val="center"/>
          </w:tcPr>
          <w:p>
            <w:pPr>
              <w:jc w:val="left"/>
            </w:pPr>
            <w:r/>
            <w:r>
              <w:rPr>
                <w:rFonts w:hint="eastAsia"/>
                <w:color w:val="000000"/>
                <w:sz w:val="21"/>
              </w:rPr>
              <w:t>半导体行业气体纯化器与气体过滤器</w:t>
            </w:r>
          </w:p>
        </w:tc>
        <w:tc>
          <w:tcPr>
            <w:tcW w:w="1327"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0" w:name="_Toc900030"/>
      <w:r>
        <w:rPr>
          <w:rFonts w:hint="eastAsia"/>
        </w:rPr>
        <w:t>7.2 已保荐上市与再融资的相关公司</w:t>
      </w:r>
      <w:bookmarkEnd w:id="1030"/>
    </w:p>
    <w:p>
      <w:pPr>
        <w:keepNext/>
        <w:jc w:val="center"/>
      </w:pPr>
      <w:r>
        <w:rPr>
          <w:rFonts w:hint="eastAsia"/>
          <w:b/>
          <w:sz w:val="21"/>
        </w:rPr>
        <w:t>表15  国泰海通系已保荐上市与再融资的相关公司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02"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877"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570"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965"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1404"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02" w:type="pct"/>
            <w:tcBorders>
              <w:top w:val="single" w:sz="4" w:space="0" w:color="010000"/>
            </w:tcBorders>
            <w:vAlign w:val="center"/>
          </w:tcPr>
          <w:p>
            <w:pPr>
              <w:jc w:val="left"/>
            </w:pPr>
            <w:r/>
            <w:r>
              <w:rPr>
                <w:rFonts w:hint="eastAsia"/>
                <w:color w:val="000000"/>
                <w:sz w:val="21"/>
              </w:rPr>
              <w:t>锦州神工半导体</w:t>
            </w:r>
          </w:p>
        </w:tc>
        <w:tc>
          <w:tcPr>
            <w:tcW w:w="482" w:type="pct"/>
            <w:tcBorders>
              <w:top w:val="single" w:sz="4" w:space="0" w:color="010000"/>
            </w:tcBorders>
            <w:vAlign w:val="center"/>
          </w:tcPr>
          <w:p>
            <w:pPr>
              <w:jc w:val="center"/>
            </w:pPr>
            <w:r/>
            <w:r>
              <w:rPr>
                <w:rFonts w:hint="eastAsia"/>
                <w:color w:val="000000"/>
                <w:sz w:val="21"/>
              </w:rPr>
              <w:t>688233.SH</w:t>
            </w:r>
          </w:p>
        </w:tc>
        <w:tc>
          <w:tcPr>
            <w:tcW w:w="877" w:type="pct"/>
            <w:tcBorders>
              <w:top w:val="single" w:sz="4" w:space="0" w:color="010000"/>
            </w:tcBorders>
            <w:vAlign w:val="center"/>
          </w:tcPr>
          <w:p>
            <w:pPr>
              <w:jc w:val="left"/>
            </w:pPr>
            <w:r/>
            <w:r>
              <w:rPr>
                <w:rFonts w:hint="eastAsia"/>
                <w:color w:val="000000"/>
                <w:sz w:val="21"/>
              </w:rPr>
              <w:t>2020年2月21日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刻蚀用单晶硅材料与硅零部件</w:t>
            </w:r>
          </w:p>
        </w:tc>
        <w:tc>
          <w:tcPr>
            <w:tcW w:w="1404" w:type="pct"/>
            <w:tcBorders>
              <w:top w:val="single" w:sz="4" w:space="0" w:color="010000"/>
            </w:tcBorders>
            <w:vAlign w:val="center"/>
          </w:tcPr>
          <w:p>
            <w:pPr>
              <w:jc w:val="left"/>
            </w:pPr>
            <w:r/>
            <w:r>
              <w:rPr>
                <w:rFonts w:hint="eastAsia"/>
                <w:color w:val="000000"/>
                <w:sz w:val="21"/>
              </w:rPr>
              <w:t>同处零部件与耗材环节；其刻蚀用硅电极即硅气体分配盘，与精密气体喷头为同一功能部件的不同材料路线</w:t>
            </w:r>
          </w:p>
        </w:tc>
      </w:tr>
      <w:tr>
        <w:trPr>
          <w:cantSplit/>
          <w:jc w:val="center"/>
        </w:trPr>
        <w:tc>
          <w:tcPr>
            <w:tcW w:w="702" w:type="pct"/>
            <w:tcBorders>
              <w:top w:val="single" w:sz="4" w:space="0" w:color="010000"/>
            </w:tcBorders>
            <w:vAlign w:val="center"/>
          </w:tcPr>
          <w:p>
            <w:pPr>
              <w:jc w:val="left"/>
            </w:pPr>
            <w:r/>
            <w:r>
              <w:rPr>
                <w:rFonts w:hint="eastAsia"/>
                <w:color w:val="000000"/>
                <w:sz w:val="21"/>
              </w:rPr>
              <w:t>上海正帆科技</w:t>
            </w:r>
          </w:p>
        </w:tc>
        <w:tc>
          <w:tcPr>
            <w:tcW w:w="482" w:type="pct"/>
            <w:tcBorders>
              <w:top w:val="single" w:sz="4" w:space="0" w:color="010000"/>
            </w:tcBorders>
            <w:vAlign w:val="center"/>
          </w:tcPr>
          <w:p>
            <w:pPr>
              <w:jc w:val="center"/>
            </w:pPr>
            <w:r/>
            <w:r>
              <w:rPr>
                <w:rFonts w:hint="eastAsia"/>
                <w:color w:val="000000"/>
                <w:sz w:val="21"/>
              </w:rPr>
              <w:t>688596.SH</w:t>
            </w:r>
          </w:p>
        </w:tc>
        <w:tc>
          <w:tcPr>
            <w:tcW w:w="877" w:type="pct"/>
            <w:tcBorders>
              <w:top w:val="single" w:sz="4" w:space="0" w:color="010000"/>
            </w:tcBorders>
            <w:vAlign w:val="center"/>
          </w:tcPr>
          <w:p>
            <w:pPr>
              <w:jc w:val="left"/>
            </w:pPr>
            <w:r/>
            <w:r>
              <w:rPr>
                <w:rFonts w:hint="eastAsia"/>
                <w:color w:val="000000"/>
                <w:sz w:val="21"/>
              </w:rPr>
              <w:t>2020年8月20日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电子工艺设备与气体输送系统</w:t>
            </w:r>
          </w:p>
        </w:tc>
        <w:tc>
          <w:tcPr>
            <w:tcW w:w="1404"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02" w:type="pct"/>
            <w:tcBorders>
              <w:top w:val="single" w:sz="4" w:space="0" w:color="010000"/>
            </w:tcBorders>
            <w:vAlign w:val="center"/>
          </w:tcPr>
          <w:p>
            <w:pPr>
              <w:jc w:val="left"/>
            </w:pPr>
            <w:r/>
            <w:r>
              <w:rPr>
                <w:rFonts w:hint="eastAsia"/>
                <w:color w:val="000000"/>
                <w:sz w:val="21"/>
              </w:rPr>
              <w:t>宁波江丰电子</w:t>
            </w:r>
          </w:p>
        </w:tc>
        <w:tc>
          <w:tcPr>
            <w:tcW w:w="482" w:type="pct"/>
            <w:tcBorders>
              <w:top w:val="single" w:sz="4" w:space="0" w:color="010000"/>
            </w:tcBorders>
            <w:vAlign w:val="center"/>
          </w:tcPr>
          <w:p>
            <w:pPr>
              <w:jc w:val="center"/>
            </w:pPr>
            <w:r/>
            <w:r>
              <w:rPr>
                <w:rFonts w:hint="eastAsia"/>
                <w:color w:val="000000"/>
                <w:sz w:val="21"/>
              </w:rPr>
              <w:t>300666.SZ</w:t>
            </w:r>
          </w:p>
        </w:tc>
        <w:tc>
          <w:tcPr>
            <w:tcW w:w="877" w:type="pct"/>
            <w:tcBorders>
              <w:top w:val="single" w:sz="4" w:space="0" w:color="010000"/>
            </w:tcBorders>
            <w:vAlign w:val="center"/>
          </w:tcPr>
          <w:p>
            <w:pPr>
              <w:jc w:val="left"/>
            </w:pPr>
            <w:r/>
            <w:r>
              <w:rPr>
                <w:rFonts w:hint="eastAsia"/>
                <w:color w:val="000000"/>
                <w:sz w:val="21"/>
              </w:rPr>
              <w:t>2025年度向特定对象发行，2026年3月18日通过深交所审核，尚待证监会注册</w:t>
            </w:r>
          </w:p>
        </w:tc>
        <w:tc>
          <w:tcPr>
            <w:tcW w:w="570" w:type="pct"/>
            <w:tcBorders>
              <w:top w:val="single" w:sz="4" w:space="0" w:color="010000"/>
            </w:tcBorders>
            <w:vAlign w:val="center"/>
          </w:tcPr>
          <w:p>
            <w:pPr>
              <w:jc w:val="center"/>
            </w:pPr>
            <w:r/>
            <w:r>
              <w:rPr>
                <w:rFonts w:hint="eastAsia"/>
                <w:color w:val="000000"/>
                <w:sz w:val="21"/>
              </w:rPr>
              <w:t>国泰海通证券</w:t>
            </w:r>
          </w:p>
        </w:tc>
        <w:tc>
          <w:tcPr>
            <w:tcW w:w="965" w:type="pct"/>
            <w:tcBorders>
              <w:top w:val="single" w:sz="4" w:space="0" w:color="010000"/>
            </w:tcBorders>
            <w:vAlign w:val="center"/>
          </w:tcPr>
          <w:p>
            <w:pPr>
              <w:jc w:val="left"/>
            </w:pPr>
            <w:r/>
            <w:r>
              <w:rPr>
                <w:rFonts w:hint="eastAsia"/>
                <w:color w:val="000000"/>
                <w:sz w:val="21"/>
              </w:rPr>
              <w:t>超高纯金属溅射靶材与半导体设备精密零部件</w:t>
            </w:r>
          </w:p>
        </w:tc>
        <w:tc>
          <w:tcPr>
            <w:tcW w:w="1404" w:type="pct"/>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1" w:name="_Toc900031"/>
      <w:r>
        <w:rPr>
          <w:rFonts w:hint="eastAsia"/>
          <w:b/>
        </w:rPr>
        <w:t>拜访关注要点</w:t>
      </w:r>
      <w:bookmarkEnd w:id="1031"/>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90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455" w:type="pct"/>
            <w:tcBorders>
              <w:top w:val="single" w:sz="12" w:space="0" w:color="010000"/>
              <w:bottom w:val="single" w:sz="4" w:space="0" w:color="010000"/>
            </w:tcBorders>
            <w:vAlign w:val="center"/>
          </w:tcPr>
          <w:p>
            <w:pPr>
              <w:keepNext/>
              <w:jc w:val="center"/>
            </w:pPr>
            <w:r/>
            <w:r>
              <w:rPr>
                <w:rFonts w:hint="eastAsia"/>
                <w:b/>
                <w:color w:val="000000"/>
                <w:sz w:val="21"/>
              </w:rPr>
              <w:t>提问依据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产品的材料与工艺</w:t>
            </w:r>
          </w:p>
        </w:tc>
        <w:tc>
          <w:tcPr>
            <w:tcW w:w="1909" w:type="pct"/>
            <w:tcBorders>
              <w:top w:val="single" w:sz="4" w:space="0" w:color="010000"/>
            </w:tcBorders>
            <w:vAlign w:val="center"/>
          </w:tcPr>
          <w:p>
            <w:pPr>
              <w:jc w:val="left"/>
            </w:pPr>
            <w:r/>
            <w:r>
              <w:rPr>
                <w:rFonts w:hint="eastAsia"/>
                <w:color w:val="000000"/>
                <w:sz w:val="21"/>
              </w:rPr>
              <w:t>气体喷头与加热盘分别采用何种材料？加热盘是金属路线还是氮化铝陶瓷路线？各产品的生产工艺环节如何划分，哪些工序自制、哪些外协？产品的耐等离子体腐蚀性能与使用寿命指标如何？</w:t>
            </w:r>
          </w:p>
        </w:tc>
        <w:tc>
          <w:tcPr>
            <w:tcW w:w="2455" w:type="pct"/>
            <w:tcBorders>
              <w:top w:val="single" w:sz="4" w:space="0" w:color="010000"/>
            </w:tcBorders>
            <w:vAlign w:val="center"/>
          </w:tcPr>
          <w:p>
            <w:pPr>
              <w:jc w:val="left"/>
            </w:pPr>
            <w:r/>
            <w:r>
              <w:rPr>
                <w:rFonts w:hint="eastAsia"/>
                <w:color w:val="000000"/>
                <w:sz w:val="21"/>
              </w:rPr>
              <w:t>公司未披露产品的材料牌号与工艺路线。材料属性直接决定毛利率区间：2025年非金属路线的珂玛科技53.94%、臻宝科技49.85%，金属路线的先锋精科29.02%、托伦斯27.14%、富创精密24.94%。</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909"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455" w:type="pct"/>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909"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2455" w:type="pct"/>
            <w:tcBorders>
              <w:top w:val="single" w:sz="4" w:space="0" w:color="010000"/>
            </w:tcBorders>
            <w:vAlign w:val="center"/>
          </w:tcPr>
          <w:p>
            <w:pPr>
              <w:jc w:val="left"/>
            </w:pPr>
            <w:r/>
            <w:r>
              <w:rPr>
                <w:rFonts w:hint="eastAsia"/>
                <w:color w:val="000000"/>
                <w:sz w:val="21"/>
              </w:rPr>
              <w:t>该环节两类客户结构的订单节奏与定价机制不同，仅凭公开信息尚不能判定公司属于哪一类。客户导入分合格供应商认证、产品认证、批量生产三个阶段；客户集中度是五家样本企业首轮问询均覆盖的事项。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909"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45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密封件门板的供货形态</w:t>
            </w:r>
          </w:p>
        </w:tc>
        <w:tc>
          <w:tcPr>
            <w:tcW w:w="1909" w:type="pct"/>
            <w:tcBorders>
              <w:top w:val="single" w:sz="4" w:space="0" w:color="010000"/>
            </w:tcBorders>
            <w:vAlign w:val="center"/>
          </w:tcPr>
          <w:p>
            <w:pPr>
              <w:jc w:val="left"/>
            </w:pPr>
            <w:r/>
            <w:r>
              <w:rPr>
                <w:rFonts w:hint="eastAsia"/>
                <w:color w:val="000000"/>
                <w:sz w:val="21"/>
              </w:rPr>
              <w:t>密封件门板是整体供货（含金属门板本体）还是仅供门板上的密封件？若为整体供货，本体与密封件的收入占比各是多少？</w:t>
            </w:r>
          </w:p>
        </w:tc>
        <w:tc>
          <w:tcPr>
            <w:tcW w:w="2455" w:type="pct"/>
            <w:tcBorders>
              <w:top w:val="single" w:sz="4" w:space="0" w:color="010000"/>
            </w:tcBorders>
            <w:vAlign w:val="center"/>
          </w:tcPr>
          <w:p>
            <w:pPr>
              <w:jc w:val="left"/>
            </w:pPr>
            <w:r/>
            <w:r>
              <w:rPr>
                <w:rFonts w:hint="eastAsia"/>
                <w:color w:val="000000"/>
                <w:sz w:val="21"/>
              </w:rPr>
              <w:t>门板本体属金属结构件、随设备生命周期，其上的密封件属耗材、需定期更换，两者的收入形态不同。</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909"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245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909"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455" w:type="pct"/>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909" w:type="pct"/>
            <w:tcBorders>
              <w:top w:val="single" w:sz="4" w:space="0" w:color="010000"/>
            </w:tcBorders>
            <w:vAlign w:val="center"/>
          </w:tcPr>
          <w:p>
            <w:pPr>
              <w:jc w:val="left"/>
            </w:pPr>
            <w:r/>
            <w:r>
              <w:rPr>
                <w:rFonts w:hint="eastAsia"/>
                <w:color w:val="000000"/>
                <w:sz w:val="21"/>
              </w:rPr>
              <w:t>近三年研发费用与占营业收入比重？核心技术的具体载体是什么？专利与非专利技术的构成？</w:t>
            </w:r>
          </w:p>
        </w:tc>
        <w:tc>
          <w:tcPr>
            <w:tcW w:w="2455" w:type="pct"/>
            <w:tcBorders>
              <w:top w:val="single" w:sz="4" w:space="0" w:color="010000"/>
            </w:tcBorders>
            <w:vAlign w:val="center"/>
          </w:tcPr>
          <w:p>
            <w:pPr>
              <w:jc w:val="left"/>
            </w:pPr>
            <w:r/>
            <w:r>
              <w:rPr>
                <w:rFonts w:hint="eastAsia"/>
                <w:color w:val="000000"/>
                <w:sz w:val="21"/>
              </w:rPr>
              <w:t>可比公司2025年研发费用率区间为4.44%至9.32%。技术先进性是五家样本企业均被问及的事项，托伦斯第二轮被要求说明高精度机械制造、焊接、表面处理三项核心工艺的技术水平。</w:t>
            </w:r>
          </w:p>
        </w:tc>
      </w:tr>
      <w:tr>
        <w:trPr>
          <w:cantSplit/>
          <w:jc w:val="center"/>
        </w:trPr>
        <w:tc>
          <w:tcPr>
            <w:tcW w:w="636" w:type="pct"/>
            <w:tcBorders>
              <w:top w:val="single" w:sz="4" w:space="0" w:color="010000"/>
            </w:tcBorders>
            <w:vAlign w:val="center"/>
          </w:tcPr>
          <w:p>
            <w:pPr>
              <w:jc w:val="center"/>
            </w:pPr>
            <w:r/>
            <w:r>
              <w:rPr>
                <w:rFonts w:hint="eastAsia"/>
                <w:color w:val="000000"/>
                <w:sz w:val="21"/>
              </w:rPr>
              <w:t>产销与能耗台账</w:t>
            </w:r>
          </w:p>
        </w:tc>
        <w:tc>
          <w:tcPr>
            <w:tcW w:w="1909" w:type="pct"/>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2455" w:type="pct"/>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909" w:type="pct"/>
            <w:tcBorders>
              <w:top w:val="single" w:sz="4" w:space="0" w:color="010000"/>
            </w:tcBorders>
            <w:vAlign w:val="center"/>
          </w:tcPr>
          <w:p>
            <w:pPr>
              <w:jc w:val="left"/>
            </w:pPr>
            <w:r/>
            <w:r>
              <w:rPr>
                <w:rFonts w:hint="eastAsia"/>
                <w:color w:val="000000"/>
                <w:sz w:val="21"/>
              </w:rPr>
              <w:t>B轮融资的金额、投资方与时点？历次融资是否存在回购、对赌或其他特殊权利条款？现有股东结构与实际控制人的认定依据？</w:t>
            </w:r>
          </w:p>
        </w:tc>
        <w:tc>
          <w:tcPr>
            <w:tcW w:w="245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909"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245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909"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45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2" w:name="_Toc900032"/>
      <w:r>
        <w:rPr>
          <w:rFonts w:hint="eastAsia"/>
          <w:b/>
        </w:rPr>
        <w:t>口径说明</w:t>
      </w:r>
      <w:bookmarkEnd w:id="1032"/>
    </w:p>
    <w:p>
      <w:pPr>
        <w:pStyle w:val="a0"/>
      </w:pPr>
      <w:r>
        <w:rPr>
          <w:rFonts w:hint="eastAsia"/>
        </w:rPr>
        <w:t>各表中与无锡金源产品的对应关系，以及国泰海通相关公司的产业链关系，均为本报告依据产品功能与材料属性归纳，非公司或第三方披露信息。</w:t>
      </w:r>
    </w:p>
    <w:p>
      <w:pPr>
        <w:pStyle w:val="a0"/>
      </w:pPr>
      <w:r>
        <w:rPr>
          <w:rFonts w:hint="eastAsia"/>
        </w:rPr>
        <w:t>几处口径需要注意。晶圆厂零部件采购额与向零部件厂商直接采购额是两个口径，不作合并；细分品类的市场规模基期与预测期不一致，不作横向比较；可比公司2025年毛利率与研发费用率中，珂玛科技、富创精密为2025年1—9月口径；分产品毛利率中先锋精科2024年为1—3月数据，与托伦斯的全年数据不完全可比。</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