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w:t>
      </w:r>
    </w:p>
    <w:p>
      <w:pPr>
        <w:spacing w:before="120" w:after="60"/>
        <w:jc w:val="center"/>
        <w:keepNext/>
      </w:pPr>
      <w:r>
        <w:rPr>
          <w:rFonts w:ascii="Times New Roman" w:hAnsi="Times New Roman" w:eastAsia="宋体"/>
          <w:b/>
          <w:sz w:val="21"/>
        </w:rPr>
        <w:t>图1  一体化关节模组的构成</w:t>
      </w:r>
    </w:p>
    <w:p>
      <w:pPr>
        <w:spacing w:before="120" w:after="60"/>
        <w:jc w:val="center"/>
        <w:keepNext/>
      </w:pPr>
      <w:r>
        <w:drawing>
          <wp:inline xmlns:a="http://schemas.openxmlformats.org/drawingml/2006/main" xmlns:pic="http://schemas.openxmlformats.org/drawingml/2006/picture">
            <wp:extent cx="5394960" cy="2184141"/>
            <wp:docPr id="1" name="Picture 1"/>
            <wp:cNvGraphicFramePr>
              <a:graphicFrameLocks noChangeAspect="1"/>
            </wp:cNvGraphicFramePr>
            <a:graphic>
              <a:graphicData uri="http://schemas.openxmlformats.org/drawingml/2006/picture">
                <pic:pic>
                  <pic:nvPicPr>
                    <pic:cNvPr id="0" name="fig0.png"/>
                    <pic:cNvPicPr/>
                  </pic:nvPicPr>
                  <pic:blipFill>
                    <a:blip r:embed="rId36"/>
                    <a:stretch>
                      <a:fillRect/>
                    </a:stretch>
                  </pic:blipFill>
                  <pic:spPr>
                    <a:xfrm>
                      <a:off x="0" y="0"/>
                      <a:ext cx="5394960" cy="2184141"/>
                    </a:xfrm>
                    <a:prstGeom prst="rect"/>
                  </pic:spPr>
                </pic:pic>
              </a:graphicData>
            </a:graphic>
          </wp:inline>
        </w:drawing>
      </w:r>
    </w:p>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图2  人形机器人硬件成本结构</w:t>
      </w:r>
    </w:p>
    <w:p>
      <w:pPr>
        <w:spacing w:before="120" w:after="60"/>
        <w:jc w:val="center"/>
        <w:keepNext/>
      </w:pPr>
      <w:r>
        <w:drawing>
          <wp:inline xmlns:a="http://schemas.openxmlformats.org/drawingml/2006/main" xmlns:pic="http://schemas.openxmlformats.org/drawingml/2006/picture">
            <wp:extent cx="5029200" cy="1978860"/>
            <wp:docPr id="2" name="Picture 2"/>
            <wp:cNvGraphicFramePr>
              <a:graphicFrameLocks noChangeAspect="1"/>
            </wp:cNvGraphicFramePr>
            <a:graphic>
              <a:graphicData uri="http://schemas.openxmlformats.org/drawingml/2006/picture">
                <pic:pic>
                  <pic:nvPicPr>
                    <pic:cNvPr id="0" name="fig2.png"/>
                    <pic:cNvPicPr/>
                  </pic:nvPicPr>
                  <pic:blipFill>
                    <a:blip r:embed="rId37"/>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成本方面，据觅途咨询测算，2025年特斯拉Optimus Gen2整机硬件成本约29万元，其中关节模组约15.8万元、占比约54%；该机型使用约28个关节模组，单个模组的平均成本约4,000元至6,500元。该机构同时判断，随着核心零部件国产化、结构集成化与装配自动化的推进，一体化关节模组的成本较当前水平仍有40%至60%的下降空间。</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图3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3" name="Picture 3"/>
            <wp:cNvGraphicFramePr>
              <a:graphicFrameLocks noChangeAspect="1"/>
            </wp:cNvGraphicFramePr>
            <a:graphic>
              <a:graphicData uri="http://schemas.openxmlformats.org/drawingml/2006/picture">
                <pic:pic>
                  <pic:nvPicPr>
                    <pic:cNvPr id="0" name="fig3.png"/>
                    <pic:cNvPicPr/>
                  </pic:nvPicPr>
                  <pic:blipFill>
                    <a:blip r:embed="rId38"/>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图4  全球谐波减速机产能</w:t>
      </w:r>
    </w:p>
    <w:p>
      <w:pPr>
        <w:spacing w:before="120" w:after="60"/>
        <w:jc w:val="center"/>
        <w:keepNext/>
      </w:pPr>
      <w:r>
        <w:drawing>
          <wp:inline xmlns:a="http://schemas.openxmlformats.org/drawingml/2006/main" xmlns:pic="http://schemas.openxmlformats.org/drawingml/2006/picture">
            <wp:extent cx="5029200" cy="2191225"/>
            <wp:docPr id="4" name="Picture 4"/>
            <wp:cNvGraphicFramePr>
              <a:graphicFrameLocks noChangeAspect="1"/>
            </wp:cNvGraphicFramePr>
            <a:graphic>
              <a:graphicData uri="http://schemas.openxmlformats.org/drawingml/2006/picture">
                <pic:pic>
                  <pic:nvPicPr>
                    <pic:cNvPr id="0" name="fig4.png"/>
                    <pic:cNvPicPr/>
                  </pic:nvPicPr>
                  <pic:blipFill>
                    <a:blip r:embed="rId39"/>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需求放量的前提是人形机器人相对于人工岗位具备经济替代性。随着执行器自研、关键零部件垂直整合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图5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从产业阶段看，觅途咨询将2025年界定为人形机器人小批量产元年、2026年为规模量产元年。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4、上游主要原材料及外购件</w:t>
      </w:r>
    </w:p>
    <w:p>
      <w:pPr>
        <w:spacing w:line="360" w:lineRule="auto" w:before="120"/>
        <w:ind w:firstLine="480"/>
        <w:jc w:val="both"/>
      </w:pPr>
      <w:r>
        <w:rPr>
          <w:rFonts w:ascii="Times New Roman" w:hAnsi="Times New Roman" w:eastAsia="宋体"/>
          <w:b w:val="0"/>
          <w:sz w:val="24"/>
        </w:rPr>
        <w:t>公司产品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0"/>
        <w:jc w:val="both"/>
      </w:pPr>
      <w:r>
        <w:rPr>
          <w:rFonts w:ascii="Times New Roman" w:hAnsi="Times New Roman" w:eastAsia="宋体"/>
          <w:b w:val="0"/>
          <w:sz w:val="24"/>
        </w:rPr>
        <w:t>上游原材料价格随大宗商品周期波动。据灼识咨询统计，钢材价格按上海期货交易所螺纹钢指数计，由2020年的约777.3升至2021年的约1,066.6，2024年回落至762.9；铝材价格按南华上海铝指数计，由2020年的约650.1升至2024年的约1,096.5；轴承价格按中国海关出口统计数据计，由2020年的约每吨5,800美元升至2021年的约每吨6,900美元，2024年回落至约每吨6,300美元。上述价格的周期性波动会传导至本环节的生产成本。</w:t>
      </w:r>
    </w:p>
    <w:p>
      <w:pPr>
        <w:spacing w:line="360" w:lineRule="auto" w:before="120"/>
        <w:ind w:firstLine="482"/>
        <w:jc w:val="both"/>
      </w:pPr>
      <w:r>
        <w:rPr>
          <w:rFonts w:ascii="Times New Roman" w:hAnsi="Times New Roman" w:eastAsia="宋体"/>
          <w:b/>
          <w:sz w:val="24"/>
        </w:rPr>
        <w:t>5、行业技术水平及特点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6、行业发展趋势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觅途咨询将产业价值中心的迁移划分为三个阶段：2025年以前为技术验证阶段，价值中心在整机厂；2026年至2030年为规模量产阶段，整机厂与关节模组厂商共同主导；2030年以后进入产业成熟阶段，由关节模组一级供应商主导。这一转变的成立需要三个前提：下游出货量达到可预测的规模、关节模组的接口与规格形成一定程度的标准化、供应商具备稳定的批量交付与一致性保障能力。更可能的形态是自研与外购并行，整机厂商在差异化环节保留自研，在标准化程度较高的规格上转向外购。对公司而言，未来数年是进入头部整机厂商供应体系的窗口期。</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7、行业面临的机遇与风险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第三，国产供应链配套成熟支撑成本下降。人形机器人核心零部件整体国产化率已提升至75%，国内在精密轴承、功率电子等上游环节具备规模化供应能力，为本环节企业的成本控制和交付效率提供了支撑。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准直驱方案已完成工程化验证，预计2027年至2028年将占据下肢关节30%以上的份额；肩、肘、腕等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8、行业周期性特征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从供货方式看，根据灼识咨询的研究，在人形机器人领域，关节模组主要由第三方供应商提供；在工业机器人领域，关节模组则多由整机厂商自行研发与集成。该环节目前整体规模有限，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表明本环节的竞争已转向规模与成本，对企业的供应链管理和量产成本控制能力提出了更高要求。</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根据灼识咨询的研究，本行业的竞争壁垒与关键成功因素包括技术创新带来的成本优化、快速交付与定制化能力、产品性能的领先性、全产业链自研与垂直整合能力、提供全栈解决方案的能力以及核心客户资源的深度绑定。觅途咨询则将一体化关节模组的核心壁垒归纳为设计、工艺、标定和供应链四个方面。就新进入者而言，本行业的主要壁垒体现为以下五类。</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齿形设计、柔轮材料与热处理工艺以及精密加工工艺需要长期积累，相关工艺参数难以通过逆向方式获得。进入规模化量产阶段后，自动化装配能力和良品率水平直接决定产品一致性与成本，高精度加工设备、自动化装配产线和检测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占执行器成本的30%至50%，具备谐波减速机自研与量产能力的关节模组厂商在成本控制上具有起点优势；公司在谐波减速机之外进一步实现了驱动器、编码器和力传感器组件的自研，自研范围覆盖关节模组的主要构成部件。</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从收入构成看，2025年和2026年1-7月，公司一体化关节模组收入占当期营业收入的比重分别为47.80%和82.55%，谐波减速机及传动总成的比重分别为10.53%和5.47%，产品结构已由核心零部件与多品类模组并重转为以一体化关节模组为主。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