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④中发邢台生产经营所使用土地的权属登记在燕京啤酒名下，详见本节4、土地收购。同业竞争的解决方案需与土地权属整合统筹安排。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交易前后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中发邢台的生产经营场所位于河北省邢台市南和区城西工业园区和鼎路19号，即燕京健康产业园（邢台）一期纳豆智能工厂。经尽调了解，中发邢台生产经营实际使用的土地约300亩，该宗土地的使用权登记在燕京啤酒名下，中发邢台不拥有该等土地的使用权。</w:t>
      </w:r>
      <w:commentRangeStart w:id="0"/>
      <w:r>
        <w:rPr>
          <w:rFonts w:hint="eastAsia" w:ascii="Times New Roman" w:hAnsi="Times New Roman" w:cs="Times New Roman"/>
        </w:rPr>
        <w:t xml:space="preserve">据了解，该宗土地系以出让方式取得，截至目前尚未取得不动产权证书等权属文件。</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厂房钢结构检测鉴定费、岩土工程勘察费、建筑消防安全评估费、航拍服务费及冻干机设备预付款等，通过其他应收款—单位、预付账款科目核算。上述事项反映三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若上市主体（含拟纳入合并范围的中发邢台）不拥有生产经营所必需土地的使用权，将影响对资产完整性的判断并形成对控股股东的依赖，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国资程序及税费。由中发邢台向燕京啤酒购入土地构成关联交易，同时属于国有资产转让，须以经备案的评估结果作为定价基础并履行内部决策及国资审批程序，燕京啤酒作为A股上市公司还需履行审议及披露程序。该宗土地目前尚未取得不动产权证书，权属文件的取得是启动交易的前提。土地使用权转让涉及土地增值税、增值税及附加、契税、印花税及企业所得税，税负与评估增值幅度直接相关，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建议由中发邢台向燕京啤酒购入其实际占用的土地使用权，实现房、地权属统一，并与本节3、同业竞争项下的股权重组统筹推进。具体安排如下：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完成权属确认。取得该宗土地的权属文件，核实权利人、宗地编号、四至范围、实际面积、土地用途、取得方式、出让年限及剩余年限，以及是否存在抵押、查封等权利限制；同时核实中发邢台实际占用范围与权属证载范围是否一致，是否存在超占或与其他主体混用的情形。若权证尚在办理中，需了解办理进度及预计取得时间，并取得自然资源主管部门出具的相关证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交易方案及与股权重组的衔接。交易标的为该宗土地的使用权及地上附着物（如有），受让方为中发邢台，出让方为燕京啤酒。建议先完成土地权属过户，再实施发行人对中发邢台的股权收购，使注入上市主体的中发邢台已实现房、地权属统一；若两项交易难以先后进行，亦可同步交割，但需在协议中明确交割条件的先后顺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审批程序及税费测算。聘请具有证券期货相关业务资格的评估机构出具土地评估报告并完成国资备案，以经备案的评估值作为定价依据；履行双方内部决策程序及北控集团、北京市国资委的审批程序，燕京啤酒同步履行审议及披露程序。根据32号令，同一国家出资企业内部各级子企业之间的资产转让可采取非公开协议方式，具体适用性建议事先与国资监管部门沟通确认。按出让用地口径，出让方需就土地增值额缴纳土地增值税、就转让行为缴纳增值税及附加、就转让所得缴纳企业所得税，受让方需按成交价格缴纳契税，双方就产权转移书据分别缴纳印花税；其中土地增值税采用四级超率累进税率，是本次交易税费的主要构成，建议在取得评估结果后测算并在协议中明确承担方式，同时就是否可适用企业改制重组有关土地增值税、契税优惠政策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完成过户、办证及款项清理。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对发行人为中发邢台代垫、代付的各项费用及设备款进行梳理，补充签署书面协议、完善审批手续，并在申报基准日前完成结清，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过渡期安排。若土地过户在申报基准日前无法完成，建议先由燕京啤酒与中发邢台签署书面的土地及厂房租赁协议并办理租赁备案，明确租金定价依据及公允性，同时取得燕京啤酒出具的承诺函，承诺保障中发邢台持续、稳定使用该宗土地并在约定期限内完成权属转移。需说明的是，租赁方案属于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返利形成的当期，公司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截至目前，公司尚未提供折扣返利政策文件及折扣返利明细表，报告期内返利的发生金额、兑现金额及期末未兑现余额暂无法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与账面未反映返利的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将交易价格分摊至该履约义务，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规定，对基于客户采购情况等给予的现金返利，应按可变对价原则处理；对基于客户一定采购数量的实物返利或仅适用于未来采购的价格折扣，应按附有额外购买选择权的销售处理，评估是否构成重大权利。据此，现金返利在确认收入时按期望值或最可能发生金额估计返利金额，从当期营业收入中扣除并计提负债，结算时抵减应收账款或货款；实物返利在各期末对客户行使选择权的可能性作出估计，按分摊的交易对价冲减收入并确认合同负债，实际执行时按分摊的交易对价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根据《上市公司执行企业会计准则案例解析（2024）》案例6-24，企业按约定标准计提应返还给客户的现金金额、该现金不直接支付而是冲抵客户下一批次货物的购买价款的，属于现金返利。公司返利的兑现方式为下期以货物抵扣，需核实其实质为抵减下期货款还是在正常采购之外另行交付货物，据以确定处理路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公司2025年度审计报告附注载明按扣除应付经销商的对价后确认收入，与账面未反映返利的情况不一致，披露的会计政策与实际执行存在差异。公司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17T07:56:01Z" w:initials="YJ">
    <w:p w14:paraId="0FC2D4B8" w14:textId="77777777">
      <w:pPr>
        <w:pStyle w:val="CommentText"/>
      </w:pPr>
      <w:r>
        <w:rPr>
          <w:rStyle w:val="CommentReference"/>
        </w:rPr>
        <w:annotationRef/>
      </w:r>
      <w:r>
        <w:rPr>
          <w:rFonts w:hint="eastAsia" w:ascii="Times New Roman" w:hAnsi="Times New Roman" w:eastAsia="宋体"/>
          <w:color w:val="000000"/>
          <w:sz w:val="20"/>
          <w:szCs w:val="20"/>
        </w:rPr>
        <w:t xml:space="preserve">土地取得方式暂按出让地口径撰写。目前公司尚未提供不动产权证书等权属文件，实际取得方式（出让/划拨）及权利限制情况需在取得权属文件后复核，如为划拨用地则需先行办理补缴出让金等转出让手续，本节解决方案及税费口径需相应调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C2D4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FF96E77" w16cex:dateUtc="2026-08-17T07:56:0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C2D4B8" w16cid:durableId="4FF96E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