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4937760" cy="4787153"/>
            <wp:docPr id="3" name="Picture 3"/>
            <wp:cNvGraphicFramePr>
              <a:graphicFrameLocks noChangeAspect="1"/>
            </wp:cNvGraphicFramePr>
            <a:graphic>
              <a:graphicData uri="http://schemas.openxmlformats.org/drawingml/2006/picture">
                <pic:pic>
                  <pic:nvPicPr>
                    <pic:cNvPr id="0" name="c5_fig2.png"/>
                    <pic:cNvPicPr/>
                  </pic:nvPicPr>
                  <pic:blipFill>
                    <a:blip r:embed="rId38"/>
                    <a:stretch>
                      <a:fillRect/>
                    </a:stretch>
                  </pic:blipFill>
                  <pic:spPr>
                    <a:xfrm>
                      <a:off x="0" y="0"/>
                      <a:ext cx="4937760" cy="4787153"/>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公司主要产品的销售情况如下表所示：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自主生产柔轮、凸轮和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