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在部件层面，公司对谐波减速机的树脂配方材料和齿形设计进行了重构，无框电机采用Halbach阵列与扁平线圈方案，交叉滚子轴承采用复合材料压铸成型。在集成层面，公司将减速机、电机与制动器一体化设计，并将传感器与驱动器集成于模组内部；控制架构采用DSP与FPGA组合，通过扭矩传感器实现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4937760" cy="4787153"/>
            <wp:docPr id="3" name="Picture 3"/>
            <wp:cNvGraphicFramePr>
              <a:graphicFrameLocks noChangeAspect="1"/>
            </wp:cNvGraphicFramePr>
            <a:graphic>
              <a:graphicData uri="http://schemas.openxmlformats.org/drawingml/2006/picture">
                <pic:pic>
                  <pic:nvPicPr>
                    <pic:cNvPr id="0" name="c5_fig2.png"/>
                    <pic:cNvPicPr/>
                  </pic:nvPicPr>
                  <pic:blipFill>
                    <a:blip r:embed="rId38"/>
                    <a:stretch>
                      <a:fillRect/>
                    </a:stretch>
                  </pic:blipFill>
                  <pic:spPr>
                    <a:xfrm>
                      <a:off x="0" y="0"/>
                      <a:ext cx="4937760" cy="4787153"/>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表3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表4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公司主要产品的销售情况如下表所示：</w:t>
      </w:r>
    </w:p>
    <w:p>
      <w:pPr>
        <w:spacing w:before="120" w:after="60"/>
        <w:jc w:val="center"/>
        <w:keepNext/>
      </w:pPr>
      <w:r>
        <w:rPr>
          <w:rFonts w:ascii="Times New Roman" w:hAnsi="Times New Roman" w:eastAsia="宋体"/>
          <w:b/>
          <w:sz w:val="21"/>
        </w:rPr>
        <w:t>表5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表6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表7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表8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表9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自主生产柔轮、凸轮和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