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因而直接转化为本环节的需求增长，人形机器人的产业化进程构成本环节最主要的成长来源。</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在连续作业的岗位上，购置一台人形机器人的一次性投入已低于雇佣一名工人一年的支出，机器替代人工开始具备经济性。成本的持续下行同时打开了此前因价格门槛而无法覆盖的场景，可经济性替代的岗位范围随之扩大，构成本行业长期增长的基础。</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