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从收入构成看，2025年和2026年1-7月，公司机器人核心零部件及一体化关节模组销售收入占当期营业收入的比重分别为84.03%和97.27%，其中一体化关节模组的比重分别为47.80%和82.55%，前述行业归属与公司主营业务收入构成一致。</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主要用于肩、肘、腕、腰等上半身精密关节。</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同期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产品价格随之下行。以来福谐波披露的数据为例，其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在行业展会上推出面向研发场景和入门应用的轻量化关节模组，将单个模组的对外报价下探至千元以内，以降低下游开发者的使用门槛并争取早期客户。在下游尚未完全放量的阶段即出现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由进口替代转向国产厂商之间的技术与成本比较，并向关节模组环节延伸。</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C++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钛虎机器人，主要产品为轻量化关节模组，并基于关节模组开发协作机器人、人形机器人和外骨骼产品。该公司在关节模组环节与公司构成竞争，同时已向下游整机延伸。</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同时已向下游整机延伸。</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就新进入者而言，上述因素集中体现为以下四类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一体化关节模组要求企业具备机械结构、电磁设计、力控算法和热管理的系统集成能力，并能够在有限体积内完成多个部件的协同设计。其中，谐波减速机的齿形设计、柔轮材料与热处理工艺以及精密加工工艺需要长期积累，相关工艺参数难以通过逆向方式获得。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及官网，其人形机器人专用关节模组已形成R48、R58、R68、R83、R102、R120和R120 Max等系列，按关节部位分别对应头颈、肩肘腕及腰部、髋部及腿部，并延伸出面向工业场景的模组系列；据公司2025年产品手册，前述产品峰值扭矩覆盖3.8牛米至576牛米。由于减速器在执行器成本中占比最高，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同期公司营业收入快速增长，2026年1-7月收入规模已超过2025年全年的两倍。根据前述灼识咨询的研究，多数独立关节模组供应商的年收入低于1亿元、2025年规模最大的供应商收入超过1亿元；以该标准衡量，公司当前的收入规模在独立关节模组供应商中处于前列。</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据公司官网，公司拥有12,000平方米研制基地，已取得授权发明专利15项、授权实用新型专利11项和软件著作权4项。公司为高新技术企业、江苏省重点智能制造企业和2025年江苏省专精特新中小企业，2021年获批无锡市高寿命高精度谐波减速机重点实验室，已取得ISO 9001:2015质量管理体系认证，“机器人一体化智能动力关节”产品入选《江苏省重点推广应用的新技术新产品目录（2025年）》；公司先后获高工金球奖、2024年度人形机器人核心驱动奖、机器人一体化关节标杆奖和2026年度具身智能关节性能突破奖等行业奖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