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widowControl/>
        <w:spacing w:before="156" w:after="156" w:line="360" w:lineRule="auto"/>
        <w:jc w:val="center"/>
      </w:pPr>
      <w:r>
        <w:rPr>
          <w:rFonts w:ascii="宋体" w:hAnsi="宋体" w:cs="宋体" w:eastAsia="宋体" w:hint="eastAsia"/>
          <w:b/>
          <w:sz w:val="36"/>
        </w:rPr>
        <w:t>中国人形机器人产业链研究</w:t>
      </w:r>
    </w:p>
    <w:sdt>
      <w:sdtPr>
        <w:id w:val="-1457872018"/>
        <w:docPartObj>
          <w:docPartGallery w:val="Table of Contents"/>
          <w:docPartUnique/>
        </w:docPartObj>
      </w:sdtPr>
      <w:sdtContent>
        <w:p>
          <w:pPr>
            <w:pStyle w:val="TOC"/>
            <w:spacing w:before="156" w:after="156" w:line="360" w:lineRule="auto"/>
            <w:rPr>
              <w:rFonts w:eastAsia="宋体"/>
              <w:b/>
              <w:color w:val="000000"/>
              <w:sz w:val="28"/>
              <w:szCs w:val="28"/>
            </w:rPr>
          </w:pPr>
          <w:r>
            <w:rPr>
              <w:rFonts w:eastAsia="宋体" w:hint="eastAsia"/>
              <w:b/>
              <w:color w:val="000000"/>
              <w:sz w:val="28"/>
              <w:szCs w:val="28"/>
            </w:rPr>
            <w:t>目录</w:t>
          </w:r>
        </w:p>
        <w:p>
          <w:pPr>
            <w:pStyle w:val="TOC1"/>
            <w:tabs>
              <w:tab w:val="right" w:leader="dot" w:pos="8299"/>
            </w:tabs>
            <w:spacing w:line="360" w:lineRule="auto"/>
            <w:rPr>
              <w:noProof/>
              <w:sz w:val="24"/>
              <w:szCs w:val="24"/>
            </w:rPr>
          </w:pPr>
          <w:r>
            <w:rPr>
              <w:sz w:val="24"/>
              <w:szCs w:val="24"/>
            </w:rPr>
            <w:fldChar w:fldCharType="begin"/>
          </w:r>
          <w:r>
            <w:rPr>
              <w:sz w:val="24"/>
              <w:szCs w:val="24"/>
            </w:rPr>
            <w:instrText xml:space="preserve"> TOC \o "1-3" \h \z \u </w:instrText>
          </w:r>
          <w:r>
            <w:rPr>
              <w:sz w:val="24"/>
              <w:szCs w:val="24"/>
            </w:rPr>
            <w:fldChar w:fldCharType="separate"/>
          </w:r>
          <w:hyperlink w:anchor="_Toc900000" w:history="1">
            <w:r>
              <w:rPr>
                <w:rStyle w:val="a5"/>
                <w:bCs w:val="0"/>
                <w:noProof/>
                <w:sz w:val="24"/>
                <w:szCs w:val="24"/>
              </w:rPr>
              <w:t xml:space="preserve">一、 人形机器人产业概述</w:t>
            </w:r>
            <w:r>
              <w:rPr>
                <w:webHidden/>
                <w:noProof/>
                <w:sz w:val="24"/>
                <w:szCs w:val="24"/>
              </w:rPr>
              <w:tab/>
            </w:r>
            <w:r>
              <w:rPr>
                <w:webHidden/>
                <w:noProof/>
                <w:sz w:val="24"/>
                <w:szCs w:val="24"/>
              </w:rPr>
              <w:fldChar w:fldCharType="begin"/>
            </w:r>
            <w:r>
              <w:rPr>
                <w:webHidden/>
                <w:noProof/>
                <w:sz w:val="24"/>
                <w:szCs w:val="24"/>
              </w:rPr>
              <w:instrText xml:space="preserve"> PAGEREF _Toc900000 \h </w:instrText>
            </w:r>
            <w:r>
              <w:rPr>
                <w:webHidden/>
                <w:noProof/>
                <w:sz w:val="24"/>
                <w:szCs w:val="24"/>
              </w:rPr>
              <w:fldChar w:fldCharType="separate"/>
            </w:r>
            <w:r>
              <w:rPr>
                <w:webHidden/>
                <w:noProof/>
                <w:sz w:val="24"/>
                <w:szCs w:val="24"/>
              </w:rPr>
              <w:t>3</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1" w:history="1">
            <w:r>
              <w:rPr>
                <w:rStyle w:val="a5"/>
                <w:rFonts w:eastAsia="宋体" w:cs="宋体"/>
                <w:bCs/>
                <w:noProof/>
                <w:sz w:val="24"/>
                <w:szCs w:val="24"/>
              </w:rPr>
              <w:t xml:space="preserve">1.1 行业简介</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_Toc900001 \h </w:instrText>
            </w:r>
            <w:r>
              <w:rPr>
                <w:rFonts w:eastAsia="宋体"/>
                <w:webHidden/>
                <w:noProof/>
                <w:sz w:val="24"/>
                <w:szCs w:val="24"/>
              </w:rPr>
              <w:fldChar w:fldCharType="separate"/>
            </w:r>
            <w:r>
              <w:rPr>
                <w:rFonts w:eastAsia="宋体"/>
                <w:webHidden/>
                <w:noProof/>
                <w:sz w:val="24"/>
                <w:szCs w:val="24"/>
              </w:rPr>
              <w:t>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2" w:history="1">
            <w:r>
              <w:rPr>
                <w:rStyle w:val="a5"/>
                <w:rFonts w:eastAsia="宋体" w:cs="宋体"/>
                <w:bCs/>
                <w:noProof/>
                <w:sz w:val="24"/>
                <w:szCs w:val="24"/>
              </w:rPr>
              <w:t xml:space="preserve">1.2 人形机器人的主要产品形态与技术路线</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_Toc900002 \h </w:instrText>
            </w:r>
            <w:r>
              <w:rPr>
                <w:rFonts w:eastAsia="宋体"/>
                <w:webHidden/>
                <w:noProof/>
                <w:sz w:val="24"/>
                <w:szCs w:val="24"/>
              </w:rPr>
              <w:fldChar w:fldCharType="separate"/>
            </w:r>
            <w:r>
              <w:rPr>
                <w:rFonts w:eastAsia="宋体"/>
                <w:webHidden/>
                <w:noProof/>
                <w:sz w:val="24"/>
                <w:szCs w:val="24"/>
              </w:rPr>
              <w:t>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3" w:history="1">
            <w:r>
              <w:rPr>
                <w:rStyle w:val="a5"/>
                <w:rFonts w:eastAsia="宋体" w:cs="宋体"/>
                <w:bCs/>
                <w:noProof/>
                <w:sz w:val="24"/>
                <w:szCs w:val="24"/>
              </w:rPr>
              <w:t xml:space="preserve">1.3 人形机器人的基本构成——以旋转关节与一体化动力关节模组为例</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_Toc900003 \h </w:instrText>
            </w:r>
            <w:r>
              <w:rPr>
                <w:rFonts w:eastAsia="宋体"/>
                <w:webHidden/>
                <w:noProof/>
                <w:sz w:val="24"/>
                <w:szCs w:val="24"/>
              </w:rPr>
              <w:fldChar w:fldCharType="separate"/>
            </w:r>
            <w:r>
              <w:rPr>
                <w:rFonts w:eastAsia="宋体"/>
                <w:webHidden/>
                <w:noProof/>
                <w:sz w:val="24"/>
                <w:szCs w:val="24"/>
              </w:rPr>
              <w:t>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4" w:history="1">
            <w:r>
              <w:rPr>
                <w:rStyle w:val="a5"/>
                <w:rFonts w:eastAsia="宋体" w:cs="宋体"/>
                <w:bCs/>
                <w:noProof/>
                <w:sz w:val="24"/>
                <w:szCs w:val="24"/>
              </w:rPr>
              <w:t xml:space="preserve">1.4 人形机器人行业的基本指标</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_Toc900004 \h </w:instrText>
            </w:r>
            <w:r>
              <w:rPr>
                <w:rFonts w:eastAsia="宋体"/>
                <w:webHidden/>
                <w:noProof/>
                <w:sz w:val="24"/>
                <w:szCs w:val="24"/>
              </w:rPr>
              <w:fldChar w:fldCharType="separate"/>
            </w:r>
            <w:r>
              <w:rPr>
                <w:rFonts w:eastAsia="宋体"/>
                <w:webHidden/>
                <w:noProof/>
                <w:sz w:val="24"/>
                <w:szCs w:val="24"/>
              </w:rPr>
              <w:t>5</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05" w:history="1">
            <w:r>
              <w:rPr>
                <w:rStyle w:val="a5"/>
                <w:bCs w:val="0"/>
                <w:noProof/>
                <w:sz w:val="24"/>
                <w:szCs w:val="24"/>
              </w:rPr>
              <w:t xml:space="preserve">二、 人形机器人产业链结构及各环节比较</w:t>
            </w:r>
            <w:r>
              <w:rPr>
                <w:webHidden/>
                <w:noProof/>
                <w:sz w:val="24"/>
                <w:szCs w:val="24"/>
              </w:rPr>
              <w:tab/>
            </w:r>
            <w:r>
              <w:rPr>
                <w:webHidden/>
                <w:noProof/>
                <w:sz w:val="24"/>
                <w:szCs w:val="24"/>
              </w:rPr>
              <w:fldChar w:fldCharType="begin"/>
            </w:r>
            <w:r>
              <w:rPr>
                <w:webHidden/>
                <w:noProof/>
                <w:sz w:val="24"/>
                <w:szCs w:val="24"/>
              </w:rPr>
              <w:instrText xml:space="preserve"> PAGEREF _Toc900005 \h </w:instrText>
            </w:r>
            <w:r>
              <w:rPr>
                <w:webHidden/>
                <w:noProof/>
                <w:sz w:val="24"/>
                <w:szCs w:val="24"/>
              </w:rPr>
              <w:fldChar w:fldCharType="separate"/>
            </w:r>
            <w:r>
              <w:rPr>
                <w:webHidden/>
                <w:noProof/>
                <w:sz w:val="24"/>
                <w:szCs w:val="24"/>
              </w:rPr>
              <w:t>6</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6" w:history="1">
            <w:r>
              <w:rPr>
                <w:rStyle w:val="a5"/>
                <w:rFonts w:eastAsia="宋体" w:cs="宋体"/>
                <w:bCs/>
                <w:noProof/>
                <w:sz w:val="24"/>
                <w:szCs w:val="24"/>
              </w:rPr>
              <w:t xml:space="preserve">2.1 产业链整体结构与价值传导</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_Toc900006 \h </w:instrText>
            </w:r>
            <w:r>
              <w:rPr>
                <w:rFonts w:eastAsia="宋体"/>
                <w:webHidden/>
                <w:noProof/>
                <w:sz w:val="24"/>
                <w:szCs w:val="24"/>
              </w:rPr>
              <w:fldChar w:fldCharType="separate"/>
            </w:r>
            <w:r>
              <w:rPr>
                <w:rFonts w:eastAsia="宋体"/>
                <w:webHidden/>
                <w:noProof/>
                <w:sz w:val="24"/>
                <w:szCs w:val="24"/>
              </w:rPr>
              <w:t>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7" w:history="1">
            <w:r>
              <w:rPr>
                <w:rStyle w:val="a5"/>
                <w:rFonts w:eastAsia="宋体" w:cs="宋体"/>
                <w:bCs/>
                <w:noProof/>
                <w:sz w:val="24"/>
                <w:szCs w:val="24"/>
              </w:rPr>
              <w:t xml:space="preserve">2.2 上游核心环节（一）：谐波减速器</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_Toc900007 \h </w:instrText>
            </w:r>
            <w:r>
              <w:rPr>
                <w:rFonts w:eastAsia="宋体"/>
                <w:webHidden/>
                <w:noProof/>
                <w:sz w:val="24"/>
                <w:szCs w:val="24"/>
              </w:rPr>
              <w:fldChar w:fldCharType="separate"/>
            </w:r>
            <w:r>
              <w:rPr>
                <w:rFonts w:eastAsia="宋体"/>
                <w:webHidden/>
                <w:noProof/>
                <w:sz w:val="24"/>
                <w:szCs w:val="24"/>
              </w:rPr>
              <w:t>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8" w:history="1">
            <w:r>
              <w:rPr>
                <w:rStyle w:val="a5"/>
                <w:rFonts w:eastAsia="宋体" w:cs="宋体"/>
                <w:bCs/>
                <w:noProof/>
                <w:sz w:val="24"/>
                <w:szCs w:val="24"/>
              </w:rPr>
              <w:t xml:space="preserve">2.3 上游核心环节（二）：电机、驱动器与编码器</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_Toc900008 \h </w:instrText>
            </w:r>
            <w:r>
              <w:rPr>
                <w:rFonts w:eastAsia="宋体"/>
                <w:webHidden/>
                <w:noProof/>
                <w:sz w:val="24"/>
                <w:szCs w:val="24"/>
              </w:rPr>
              <w:fldChar w:fldCharType="separate"/>
            </w:r>
            <w:r>
              <w:rPr>
                <w:rFonts w:eastAsia="宋体"/>
                <w:webHidden/>
                <w:noProof/>
                <w:sz w:val="24"/>
                <w:szCs w:val="24"/>
              </w:rPr>
              <w:t>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9" w:history="1">
            <w:r>
              <w:rPr>
                <w:rStyle w:val="a5"/>
                <w:rFonts w:eastAsia="宋体" w:cs="宋体"/>
                <w:bCs/>
                <w:noProof/>
                <w:sz w:val="24"/>
                <w:szCs w:val="24"/>
              </w:rPr>
              <w:t xml:space="preserve">2.4 上游核心环节（三）：一体化动力关节模组</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_Toc900009 \h </w:instrText>
            </w:r>
            <w:r>
              <w:rPr>
                <w:rFonts w:eastAsia="宋体"/>
                <w:webHidden/>
                <w:noProof/>
                <w:sz w:val="24"/>
                <w:szCs w:val="24"/>
              </w:rPr>
              <w:fldChar w:fldCharType="separate"/>
            </w:r>
            <w:r>
              <w:rPr>
                <w:rFonts w:eastAsia="宋体"/>
                <w:webHidden/>
                <w:noProof/>
                <w:sz w:val="24"/>
                <w:szCs w:val="24"/>
              </w:rPr>
              <w:t>11</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0" w:history="1">
            <w:r>
              <w:rPr>
                <w:rStyle w:val="a5"/>
                <w:rFonts w:eastAsia="宋体" w:cs="宋体"/>
                <w:bCs/>
                <w:noProof/>
                <w:sz w:val="24"/>
                <w:szCs w:val="24"/>
              </w:rPr>
              <w:t xml:space="preserve">2.5 上游其他环节：丝杠、轴承、灵巧手、传感器与芯片</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_Toc900010 \h </w:instrText>
            </w:r>
            <w:r>
              <w:rPr>
                <w:rFonts w:eastAsia="宋体"/>
                <w:webHidden/>
                <w:noProof/>
                <w:sz w:val="24"/>
                <w:szCs w:val="24"/>
              </w:rPr>
              <w:fldChar w:fldCharType="separate"/>
            </w:r>
            <w:r>
              <w:rPr>
                <w:rFonts w:eastAsia="宋体"/>
                <w:webHidden/>
                <w:noProof/>
                <w:sz w:val="24"/>
                <w:szCs w:val="24"/>
              </w:rPr>
              <w:t>12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1" w:history="1">
            <w:r>
              <w:rPr>
                <w:rStyle w:val="a5"/>
                <w:rFonts w:eastAsia="宋体" w:cs="宋体"/>
                <w:bCs/>
                <w:noProof/>
                <w:sz w:val="24"/>
                <w:szCs w:val="24"/>
              </w:rPr>
              <w:t xml:space="preserve">2.6 中游：整机制造</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_Toc900011 \h </w:instrText>
            </w:r>
            <w:r>
              <w:rPr>
                <w:rFonts w:eastAsia="宋体"/>
                <w:webHidden/>
                <w:noProof/>
                <w:sz w:val="24"/>
                <w:szCs w:val="24"/>
              </w:rPr>
              <w:fldChar w:fldCharType="separate"/>
            </w:r>
            <w:r>
              <w:rPr>
                <w:rFonts w:eastAsia="宋体"/>
                <w:webHidden/>
                <w:noProof/>
                <w:sz w:val="24"/>
                <w:szCs w:val="24"/>
              </w:rPr>
              <w:t>13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2" w:history="1">
            <w:r>
              <w:rPr>
                <w:rStyle w:val="a5"/>
                <w:rFonts w:eastAsia="宋体" w:cs="宋体"/>
                <w:bCs/>
                <w:noProof/>
                <w:sz w:val="24"/>
                <w:szCs w:val="24"/>
              </w:rPr>
              <w:t xml:space="preserve">2.7 下游：应用场景与集成服务</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_Toc900012 \h </w:instrText>
            </w:r>
            <w:r>
              <w:rPr>
                <w:rFonts w:eastAsia="宋体"/>
                <w:webHidden/>
                <w:noProof/>
                <w:sz w:val="24"/>
                <w:szCs w:val="24"/>
              </w:rPr>
              <w:fldChar w:fldCharType="separate"/>
            </w:r>
            <w:r>
              <w:rPr>
                <w:rFonts w:eastAsia="宋体"/>
                <w:webHidden/>
                <w:noProof/>
                <w:sz w:val="24"/>
                <w:szCs w:val="24"/>
              </w:rPr>
              <w:t>14</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13" w:history="1">
            <w:r>
              <w:rPr>
                <w:rStyle w:val="a5"/>
                <w:bCs w:val="0"/>
                <w:noProof/>
                <w:sz w:val="24"/>
                <w:szCs w:val="24"/>
              </w:rPr>
              <w:t xml:space="preserve">三、 国内人形机器人市场发展现状及产业规模</w:t>
            </w:r>
            <w:r>
              <w:rPr>
                <w:webHidden/>
                <w:noProof/>
                <w:sz w:val="24"/>
                <w:szCs w:val="24"/>
              </w:rPr>
              <w:tab/>
            </w:r>
            <w:r>
              <w:rPr>
                <w:webHidden/>
                <w:noProof/>
                <w:sz w:val="24"/>
                <w:szCs w:val="24"/>
              </w:rPr>
              <w:fldChar w:fldCharType="begin"/>
            </w:r>
            <w:r>
              <w:rPr>
                <w:webHidden/>
                <w:noProof/>
                <w:sz w:val="24"/>
                <w:szCs w:val="24"/>
              </w:rPr>
              <w:instrText xml:space="preserve"> PAGEREF _Toc900013 \h </w:instrText>
            </w:r>
            <w:r>
              <w:rPr>
                <w:webHidden/>
                <w:noProof/>
                <w:sz w:val="24"/>
                <w:szCs w:val="24"/>
              </w:rPr>
              <w:fldChar w:fldCharType="separate"/>
            </w:r>
            <w:r>
              <w:rPr>
                <w:webHidden/>
                <w:noProof/>
                <w:sz w:val="24"/>
                <w:szCs w:val="24"/>
              </w:rPr>
              <w:t>14</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4" w:history="1">
            <w:r>
              <w:rPr>
                <w:rStyle w:val="a5"/>
                <w:rFonts w:eastAsia="宋体" w:cs="宋体"/>
                <w:bCs/>
                <w:noProof/>
                <w:sz w:val="24"/>
                <w:szCs w:val="24"/>
              </w:rPr>
              <w:t xml:space="preserve">3.1 出货量与市场规模</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_Toc900014 \h </w:instrText>
            </w:r>
            <w:r>
              <w:rPr>
                <w:rFonts w:eastAsia="宋体"/>
                <w:webHidden/>
                <w:noProof/>
                <w:sz w:val="24"/>
                <w:szCs w:val="24"/>
              </w:rPr>
              <w:fldChar w:fldCharType="separate"/>
            </w:r>
            <w:r>
              <w:rPr>
                <w:rFonts w:eastAsia="宋体"/>
                <w:webHidden/>
                <w:noProof/>
                <w:sz w:val="24"/>
                <w:szCs w:val="24"/>
              </w:rPr>
              <w:t>14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5" w:history="1">
            <w:r>
              <w:rPr>
                <w:rStyle w:val="a5"/>
                <w:rFonts w:eastAsia="宋体" w:cs="宋体"/>
                <w:bCs/>
                <w:noProof/>
                <w:sz w:val="24"/>
                <w:szCs w:val="24"/>
              </w:rPr>
              <w:t xml:space="preserve">3.2 应用结构</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_Toc900015 \h </w:instrText>
            </w:r>
            <w:r>
              <w:rPr>
                <w:rFonts w:eastAsia="宋体"/>
                <w:webHidden/>
                <w:noProof/>
                <w:sz w:val="24"/>
                <w:szCs w:val="24"/>
              </w:rPr>
              <w:fldChar w:fldCharType="separate"/>
            </w:r>
            <w:r>
              <w:rPr>
                <w:rFonts w:eastAsia="宋体"/>
                <w:webHidden/>
                <w:noProof/>
                <w:sz w:val="24"/>
                <w:szCs w:val="24"/>
              </w:rPr>
              <w:t>15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6" w:history="1">
            <w:r>
              <w:rPr>
                <w:rStyle w:val="a5"/>
                <w:rFonts w:eastAsia="宋体" w:cs="宋体"/>
                <w:bCs/>
                <w:noProof/>
                <w:sz w:val="24"/>
                <w:szCs w:val="24"/>
              </w:rPr>
              <w:t xml:space="preserve">3.3 招投标与订单</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_Toc900016 \h </w:instrText>
            </w:r>
            <w:r>
              <w:rPr>
                <w:rFonts w:eastAsia="宋体"/>
                <w:webHidden/>
                <w:noProof/>
                <w:sz w:val="24"/>
                <w:szCs w:val="24"/>
              </w:rPr>
              <w:fldChar w:fldCharType="separate"/>
            </w:r>
            <w:r>
              <w:rPr>
                <w:rFonts w:eastAsia="宋体"/>
                <w:webHidden/>
                <w:noProof/>
                <w:sz w:val="24"/>
                <w:szCs w:val="24"/>
              </w:rPr>
              <w:t>16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7" w:history="1">
            <w:r>
              <w:rPr>
                <w:rStyle w:val="a5"/>
                <w:rFonts w:eastAsia="宋体" w:cs="宋体"/>
                <w:bCs/>
                <w:noProof/>
                <w:sz w:val="24"/>
                <w:szCs w:val="24"/>
              </w:rPr>
              <w:t xml:space="preserve">3.4 成本曲线与降价趋势</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_Toc900017 \h </w:instrText>
            </w:r>
            <w:r>
              <w:rPr>
                <w:rFonts w:eastAsia="宋体"/>
                <w:webHidden/>
                <w:noProof/>
                <w:sz w:val="24"/>
                <w:szCs w:val="24"/>
              </w:rPr>
              <w:fldChar w:fldCharType="separate"/>
            </w:r>
            <w:r>
              <w:rPr>
                <w:rFonts w:eastAsia="宋体"/>
                <w:webHidden/>
                <w:noProof/>
                <w:sz w:val="24"/>
                <w:szCs w:val="24"/>
              </w:rPr>
              <w:t>17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8" w:history="1">
            <w:r>
              <w:rPr>
                <w:rStyle w:val="a5"/>
                <w:rFonts w:eastAsia="宋体" w:cs="宋体"/>
                <w:bCs/>
                <w:noProof/>
                <w:sz w:val="24"/>
                <w:szCs w:val="24"/>
              </w:rPr>
              <w:t xml:space="preserve">3.5 相关政策</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_Toc900018 \h </w:instrText>
            </w:r>
            <w:r>
              <w:rPr>
                <w:rFonts w:eastAsia="宋体"/>
                <w:webHidden/>
                <w:noProof/>
                <w:sz w:val="24"/>
                <w:szCs w:val="24"/>
              </w:rPr>
              <w:fldChar w:fldCharType="separate"/>
            </w:r>
            <w:r>
              <w:rPr>
                <w:rFonts w:eastAsia="宋体"/>
                <w:webHidden/>
                <w:noProof/>
                <w:sz w:val="24"/>
                <w:szCs w:val="24"/>
              </w:rPr>
              <w:t>17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9" w:history="1">
            <w:r>
              <w:rPr>
                <w:rStyle w:val="a5"/>
                <w:rFonts w:eastAsia="宋体" w:cs="宋体"/>
                <w:bCs/>
                <w:noProof/>
                <w:sz w:val="24"/>
                <w:szCs w:val="24"/>
              </w:rPr>
              <w:t xml:space="preserve">3.6 区域产业集群与无锡</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_Toc900019 \h </w:instrText>
            </w:r>
            <w:r>
              <w:rPr>
                <w:rFonts w:eastAsia="宋体"/>
                <w:webHidden/>
                <w:noProof/>
                <w:sz w:val="24"/>
                <w:szCs w:val="24"/>
              </w:rPr>
              <w:fldChar w:fldCharType="separate"/>
            </w:r>
            <w:r>
              <w:rPr>
                <w:rFonts w:eastAsia="宋体"/>
                <w:webHidden/>
                <w:noProof/>
                <w:sz w:val="24"/>
                <w:szCs w:val="24"/>
              </w:rPr>
              <w:t>18</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20" w:history="1">
            <w:r>
              <w:rPr>
                <w:rStyle w:val="a5"/>
                <w:bCs w:val="0"/>
                <w:noProof/>
                <w:sz w:val="24"/>
                <w:szCs w:val="24"/>
              </w:rPr>
              <w:t xml:space="preserve">四、 行业格局、发展趋势及产业机会</w:t>
            </w:r>
            <w:r>
              <w:rPr>
                <w:webHidden/>
                <w:noProof/>
                <w:sz w:val="24"/>
                <w:szCs w:val="24"/>
              </w:rPr>
              <w:tab/>
            </w:r>
            <w:r>
              <w:rPr>
                <w:webHidden/>
                <w:noProof/>
                <w:sz w:val="24"/>
                <w:szCs w:val="24"/>
              </w:rPr>
              <w:fldChar w:fldCharType="begin"/>
            </w:r>
            <w:r>
              <w:rPr>
                <w:webHidden/>
                <w:noProof/>
                <w:sz w:val="24"/>
                <w:szCs w:val="24"/>
              </w:rPr>
              <w:instrText xml:space="preserve"> PAGEREF _Toc900020 \h </w:instrText>
            </w:r>
            <w:r>
              <w:rPr>
                <w:webHidden/>
                <w:noProof/>
                <w:sz w:val="24"/>
                <w:szCs w:val="24"/>
              </w:rPr>
              <w:fldChar w:fldCharType="separate"/>
            </w:r>
            <w:r>
              <w:rPr>
                <w:webHidden/>
                <w:noProof/>
                <w:sz w:val="24"/>
                <w:szCs w:val="24"/>
              </w:rPr>
              <w:t>18</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1" w:history="1">
            <w:r>
              <w:rPr>
                <w:rStyle w:val="a5"/>
                <w:rFonts w:eastAsia="宋体" w:cs="宋体"/>
                <w:bCs/>
                <w:noProof/>
                <w:sz w:val="24"/>
                <w:szCs w:val="24"/>
              </w:rPr>
              <w:t xml:space="preserve">4.1 整机环节竞争格局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_Toc900021 \h </w:instrText>
            </w:r>
            <w:r>
              <w:rPr>
                <w:rFonts w:eastAsia="宋体"/>
                <w:webHidden/>
                <w:noProof/>
                <w:sz w:val="24"/>
                <w:szCs w:val="24"/>
              </w:rPr>
              <w:fldChar w:fldCharType="separate"/>
            </w:r>
            <w:r>
              <w:rPr>
                <w:rFonts w:eastAsia="宋体"/>
                <w:webHidden/>
                <w:noProof/>
                <w:sz w:val="24"/>
                <w:szCs w:val="24"/>
              </w:rPr>
              <w:t>18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2" w:history="1">
            <w:r>
              <w:rPr>
                <w:rStyle w:val="a5"/>
                <w:rFonts w:eastAsia="宋体" w:cs="宋体"/>
                <w:bCs/>
                <w:noProof/>
                <w:sz w:val="24"/>
                <w:szCs w:val="24"/>
              </w:rPr>
              <w:t xml:space="preserve">4.2 核心传动与执行环节竞争格局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_Toc900022 \h </w:instrText>
            </w:r>
            <w:r>
              <w:rPr>
                <w:rFonts w:eastAsia="宋体"/>
                <w:webHidden/>
                <w:noProof/>
                <w:sz w:val="24"/>
                <w:szCs w:val="24"/>
              </w:rPr>
              <w:fldChar w:fldCharType="separate"/>
            </w:r>
            <w:r>
              <w:rPr>
                <w:rFonts w:eastAsia="宋体"/>
                <w:webHidden/>
                <w:noProof/>
                <w:sz w:val="24"/>
                <w:szCs w:val="24"/>
              </w:rPr>
              <w:t>19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3" w:history="1">
            <w:r>
              <w:rPr>
                <w:rStyle w:val="a5"/>
                <w:rFonts w:eastAsia="宋体" w:cs="宋体"/>
                <w:bCs/>
                <w:noProof/>
                <w:sz w:val="24"/>
                <w:szCs w:val="24"/>
              </w:rPr>
              <w:t xml:space="preserve">4.3 产业链价值迁移与业务机会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_Toc900023 \h </w:instrText>
            </w:r>
            <w:r>
              <w:rPr>
                <w:rFonts w:eastAsia="宋体"/>
                <w:webHidden/>
                <w:noProof/>
                <w:sz w:val="24"/>
                <w:szCs w:val="24"/>
              </w:rPr>
              <w:fldChar w:fldCharType="separate"/>
            </w:r>
            <w:r>
              <w:rPr>
                <w:rFonts w:eastAsia="宋体"/>
                <w:webHidden/>
                <w:noProof/>
                <w:sz w:val="24"/>
                <w:szCs w:val="24"/>
              </w:rPr>
              <w:t>20</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24" w:history="1">
            <w:r>
              <w:rPr>
                <w:rStyle w:val="a5"/>
                <w:bCs w:val="0"/>
                <w:noProof/>
                <w:sz w:val="24"/>
                <w:szCs w:val="24"/>
              </w:rPr>
              <w:t xml:space="preserve">五、 整机制造环节代表性企业</w:t>
            </w:r>
            <w:r>
              <w:rPr>
                <w:webHidden/>
                <w:noProof/>
                <w:sz w:val="24"/>
                <w:szCs w:val="24"/>
              </w:rPr>
              <w:tab/>
            </w:r>
            <w:r>
              <w:rPr>
                <w:webHidden/>
                <w:noProof/>
                <w:sz w:val="24"/>
                <w:szCs w:val="24"/>
              </w:rPr>
              <w:fldChar w:fldCharType="begin"/>
            </w:r>
            <w:r>
              <w:rPr>
                <w:webHidden/>
                <w:noProof/>
                <w:sz w:val="24"/>
                <w:szCs w:val="24"/>
              </w:rPr>
              <w:instrText xml:space="preserve"> PAGEREF _Toc900024 \h </w:instrText>
            </w:r>
            <w:r>
              <w:rPr>
                <w:webHidden/>
                <w:noProof/>
                <w:sz w:val="24"/>
                <w:szCs w:val="24"/>
              </w:rPr>
              <w:fldChar w:fldCharType="separate"/>
            </w:r>
            <w:r>
              <w:rPr>
                <w:webHidden/>
                <w:noProof/>
                <w:sz w:val="24"/>
                <w:szCs w:val="24"/>
              </w:rPr>
              <w:t>21</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5" w:history="1">
            <w:r>
              <w:rPr>
                <w:rStyle w:val="a5"/>
                <w:rFonts w:eastAsia="宋体" w:cs="宋体"/>
                <w:bCs/>
                <w:noProof/>
                <w:sz w:val="24"/>
                <w:szCs w:val="24"/>
              </w:rPr>
              <w:t xml:space="preserve">5.1 宇树科技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_Toc900025 \h </w:instrText>
            </w:r>
            <w:r>
              <w:rPr>
                <w:rFonts w:eastAsia="宋体"/>
                <w:webHidden/>
                <w:noProof/>
                <w:sz w:val="24"/>
                <w:szCs w:val="24"/>
              </w:rPr>
              <w:fldChar w:fldCharType="separate"/>
            </w:r>
            <w:r>
              <w:rPr>
                <w:rFonts w:eastAsia="宋体"/>
                <w:webHidden/>
                <w:noProof/>
                <w:sz w:val="24"/>
                <w:szCs w:val="24"/>
              </w:rPr>
              <w:t>21</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6" w:history="1">
            <w:r>
              <w:rPr>
                <w:rStyle w:val="a5"/>
                <w:rFonts w:eastAsia="宋体" w:cs="宋体"/>
                <w:bCs/>
                <w:noProof/>
                <w:sz w:val="24"/>
                <w:szCs w:val="24"/>
              </w:rPr>
              <w:t xml:space="preserve">5.2 智元机器人</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_Toc900026 \h </w:instrText>
            </w:r>
            <w:r>
              <w:rPr>
                <w:rFonts w:eastAsia="宋体"/>
                <w:webHidden/>
                <w:noProof/>
                <w:sz w:val="24"/>
                <w:szCs w:val="24"/>
              </w:rPr>
              <w:fldChar w:fldCharType="separate"/>
            </w:r>
            <w:r>
              <w:rPr>
                <w:rFonts w:eastAsia="宋体"/>
                <w:webHidden/>
                <w:noProof/>
                <w:sz w:val="24"/>
                <w:szCs w:val="24"/>
              </w:rPr>
              <w:t>22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7" w:history="1">
            <w:r>
              <w:rPr>
                <w:rStyle w:val="a5"/>
                <w:rFonts w:eastAsia="宋体" w:cs="宋体"/>
                <w:bCs/>
                <w:noProof/>
                <w:sz w:val="24"/>
                <w:szCs w:val="24"/>
              </w:rPr>
              <w:t xml:space="preserve">5.3 优必选</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_Toc900027 \h </w:instrText>
            </w:r>
            <w:r>
              <w:rPr>
                <w:rFonts w:eastAsia="宋体"/>
                <w:webHidden/>
                <w:noProof/>
                <w:sz w:val="24"/>
                <w:szCs w:val="24"/>
              </w:rPr>
              <w:fldChar w:fldCharType="separate"/>
            </w:r>
            <w:r>
              <w:rPr>
                <w:rFonts w:eastAsia="宋体"/>
                <w:webHidden/>
                <w:noProof/>
                <w:sz w:val="24"/>
                <w:szCs w:val="24"/>
              </w:rPr>
              <w:t>23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8" w:history="1">
            <w:r>
              <w:rPr>
                <w:rStyle w:val="a5"/>
                <w:rFonts w:eastAsia="宋体" w:cs="宋体"/>
                <w:bCs/>
                <w:noProof/>
                <w:sz w:val="24"/>
                <w:szCs w:val="24"/>
              </w:rPr>
              <w:t xml:space="preserve">5.4 第二梯队与新兴整机企业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_Toc900028 \h </w:instrText>
            </w:r>
            <w:r>
              <w:rPr>
                <w:rFonts w:eastAsia="宋体"/>
                <w:webHidden/>
                <w:noProof/>
                <w:sz w:val="24"/>
                <w:szCs w:val="24"/>
              </w:rPr>
              <w:fldChar w:fldCharType="separate"/>
            </w:r>
            <w:r>
              <w:rPr>
                <w:rFonts w:eastAsia="宋体"/>
                <w:webHidden/>
                <w:noProof/>
                <w:sz w:val="24"/>
                <w:szCs w:val="24"/>
              </w:rPr>
              <w:t>23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9" w:history="1">
            <w:r>
              <w:rPr>
                <w:rStyle w:val="a5"/>
                <w:rFonts w:eastAsia="宋体" w:cs="宋体"/>
                <w:bCs/>
                <w:noProof/>
                <w:sz w:val="24"/>
                <w:szCs w:val="24"/>
              </w:rPr>
              <w:t xml:space="preserve">5.5 海外对照：特斯拉Optimus</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_Toc900029 \h </w:instrText>
            </w:r>
            <w:r>
              <w:rPr>
                <w:rFonts w:eastAsia="宋体"/>
                <w:webHidden/>
                <w:noProof/>
                <w:sz w:val="24"/>
                <w:szCs w:val="24"/>
              </w:rPr>
              <w:fldChar w:fldCharType="separate"/>
            </w:r>
            <w:r>
              <w:rPr>
                <w:rFonts w:eastAsia="宋体"/>
                <w:webHidden/>
                <w:noProof/>
                <w:sz w:val="24"/>
                <w:szCs w:val="24"/>
              </w:rPr>
              <w:t>25</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30" w:history="1">
            <w:r>
              <w:rPr>
                <w:rStyle w:val="a5"/>
                <w:bCs w:val="0"/>
                <w:noProof/>
                <w:sz w:val="24"/>
                <w:szCs w:val="24"/>
              </w:rPr>
              <w:t xml:space="preserve">六、 人形机器人产业链企业资本化进度</w:t>
            </w:r>
            <w:r>
              <w:rPr>
                <w:webHidden/>
                <w:noProof/>
                <w:sz w:val="24"/>
                <w:szCs w:val="24"/>
              </w:rPr>
              <w:tab/>
            </w:r>
            <w:r>
              <w:rPr>
                <w:webHidden/>
                <w:noProof/>
                <w:sz w:val="24"/>
                <w:szCs w:val="24"/>
              </w:rPr>
              <w:fldChar w:fldCharType="begin"/>
            </w:r>
            <w:r>
              <w:rPr>
                <w:webHidden/>
                <w:noProof/>
                <w:sz w:val="24"/>
                <w:szCs w:val="24"/>
              </w:rPr>
              <w:instrText xml:space="preserve"> PAGEREF _Toc900030 \h </w:instrText>
            </w:r>
            <w:r>
              <w:rPr>
                <w:webHidden/>
                <w:noProof/>
                <w:sz w:val="24"/>
                <w:szCs w:val="24"/>
              </w:rPr>
              <w:fldChar w:fldCharType="separate"/>
            </w:r>
            <w:r>
              <w:rPr>
                <w:webHidden/>
                <w:noProof/>
                <w:sz w:val="24"/>
                <w:szCs w:val="24"/>
              </w:rPr>
              <w:t>25</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1" w:history="1">
            <w:r>
              <w:rPr>
                <w:rStyle w:val="a5"/>
                <w:rFonts w:eastAsia="宋体" w:cs="宋体"/>
                <w:bCs/>
                <w:noProof/>
                <w:sz w:val="24"/>
                <w:szCs w:val="24"/>
              </w:rPr>
              <w:t xml:space="preserve">6.1 已上市或已完成发行的企业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_Toc900031 \h </w:instrText>
            </w:r>
            <w:r>
              <w:rPr>
                <w:rFonts w:eastAsia="宋体"/>
                <w:webHidden/>
                <w:noProof/>
                <w:sz w:val="24"/>
                <w:szCs w:val="24"/>
              </w:rPr>
              <w:fldChar w:fldCharType="separate"/>
            </w:r>
            <w:r>
              <w:rPr>
                <w:rFonts w:eastAsia="宋体"/>
                <w:webHidden/>
                <w:noProof/>
                <w:sz w:val="24"/>
                <w:szCs w:val="24"/>
              </w:rPr>
              <w:t>25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2" w:history="1">
            <w:r>
              <w:rPr>
                <w:rStyle w:val="a5"/>
                <w:rFonts w:eastAsia="宋体" w:cs="宋体"/>
                <w:bCs/>
                <w:noProof/>
                <w:sz w:val="24"/>
                <w:szCs w:val="24"/>
              </w:rPr>
              <w:t xml:space="preserve">6.2 在审、已问询或已递表的企业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_Toc900032 \h </w:instrText>
            </w:r>
            <w:r>
              <w:rPr>
                <w:rFonts w:eastAsia="宋体"/>
                <w:webHidden/>
                <w:noProof/>
                <w:sz w:val="24"/>
                <w:szCs w:val="24"/>
              </w:rPr>
              <w:fldChar w:fldCharType="separate"/>
            </w:r>
            <w:r>
              <w:rPr>
                <w:rFonts w:eastAsia="宋体"/>
                <w:webHidden/>
                <w:noProof/>
                <w:sz w:val="24"/>
                <w:szCs w:val="24"/>
              </w:rPr>
              <w:t>26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3" w:history="1">
            <w:r>
              <w:rPr>
                <w:rStyle w:val="a5"/>
                <w:rFonts w:eastAsia="宋体" w:cs="宋体"/>
                <w:bCs/>
                <w:noProof/>
                <w:sz w:val="24"/>
                <w:szCs w:val="24"/>
              </w:rPr>
              <w:t xml:space="preserve">6.3 正在辅导备案或已完成股改的企业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_Toc900033 \h </w:instrText>
            </w:r>
            <w:r>
              <w:rPr>
                <w:rFonts w:eastAsia="宋体"/>
                <w:webHidden/>
                <w:noProof/>
                <w:sz w:val="24"/>
                <w:szCs w:val="24"/>
              </w:rPr>
              <w:fldChar w:fldCharType="separate"/>
            </w:r>
            <w:r>
              <w:rPr>
                <w:rFonts w:eastAsia="宋体"/>
                <w:webHidden/>
                <w:noProof/>
                <w:sz w:val="24"/>
                <w:szCs w:val="24"/>
              </w:rPr>
              <w:t>27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4" w:history="1">
            <w:r>
              <w:rPr>
                <w:rStyle w:val="a5"/>
                <w:rFonts w:eastAsia="宋体" w:cs="宋体"/>
                <w:bCs/>
                <w:noProof/>
                <w:sz w:val="24"/>
                <w:szCs w:val="24"/>
              </w:rPr>
              <w:t xml:space="preserve">6.4 通过上市公司平台实现资本化的企业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_Toc900034 \h </w:instrText>
            </w:r>
            <w:r>
              <w:rPr>
                <w:rFonts w:eastAsia="宋体"/>
                <w:webHidden/>
                <w:noProof/>
                <w:sz w:val="24"/>
                <w:szCs w:val="24"/>
              </w:rPr>
              <w:fldChar w:fldCharType="separate"/>
            </w:r>
            <w:r>
              <w:rPr>
                <w:rFonts w:eastAsia="宋体"/>
                <w:webHidden/>
                <w:noProof/>
                <w:sz w:val="24"/>
                <w:szCs w:val="24"/>
              </w:rPr>
              <w:t>27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5" w:history="1">
            <w:r>
              <w:rPr>
                <w:rStyle w:val="a5"/>
                <w:rFonts w:eastAsia="宋体" w:cs="宋体"/>
                <w:bCs/>
                <w:noProof/>
                <w:sz w:val="24"/>
                <w:szCs w:val="24"/>
              </w:rPr>
              <w:t xml:space="preserve">6.5 资本化特征小结</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_Toc900035 \h </w:instrText>
            </w:r>
            <w:r>
              <w:rPr>
                <w:rFonts w:eastAsia="宋体"/>
                <w:webHidden/>
                <w:noProof/>
                <w:sz w:val="24"/>
                <w:szCs w:val="24"/>
              </w:rPr>
              <w:fldChar w:fldCharType="separate"/>
            </w:r>
            <w:r>
              <w:rPr>
                <w:rFonts w:eastAsia="宋体"/>
                <w:webHidden/>
                <w:noProof/>
                <w:sz w:val="24"/>
                <w:szCs w:val="24"/>
              </w:rPr>
              <w:t>28</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36" w:history="1">
            <w:r>
              <w:rPr>
                <w:rStyle w:val="a5"/>
                <w:bCs w:val="0"/>
                <w:noProof/>
                <w:sz w:val="24"/>
                <w:szCs w:val="24"/>
              </w:rPr>
              <w:t xml:space="preserve">七、 与国泰海通相关的产业链公司</w:t>
            </w:r>
            <w:r>
              <w:rPr>
                <w:webHidden/>
                <w:noProof/>
                <w:sz w:val="24"/>
                <w:szCs w:val="24"/>
              </w:rPr>
              <w:tab/>
            </w:r>
            <w:r>
              <w:rPr>
                <w:webHidden/>
                <w:noProof/>
                <w:sz w:val="24"/>
                <w:szCs w:val="24"/>
              </w:rPr>
              <w:fldChar w:fldCharType="begin"/>
            </w:r>
            <w:r>
              <w:rPr>
                <w:webHidden/>
                <w:noProof/>
                <w:sz w:val="24"/>
                <w:szCs w:val="24"/>
              </w:rPr>
              <w:instrText xml:space="preserve"> PAGEREF _Toc900036 \h </w:instrText>
            </w:r>
            <w:r>
              <w:rPr>
                <w:webHidden/>
                <w:noProof/>
                <w:sz w:val="24"/>
                <w:szCs w:val="24"/>
              </w:rPr>
              <w:fldChar w:fldCharType="separate"/>
            </w:r>
            <w:r>
              <w:rPr>
                <w:webHidden/>
                <w:noProof/>
                <w:sz w:val="24"/>
                <w:szCs w:val="24"/>
              </w:rPr>
              <w:t>28</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7" w:history="1">
            <w:r>
              <w:rPr>
                <w:rStyle w:val="a5"/>
                <w:rFonts w:eastAsia="宋体" w:cs="宋体"/>
                <w:bCs/>
                <w:noProof/>
                <w:sz w:val="24"/>
                <w:szCs w:val="24"/>
              </w:rPr>
              <w:t xml:space="preserve">7.1 国泰海通的整体投行业务位置</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_Toc900037 \h </w:instrText>
            </w:r>
            <w:r>
              <w:rPr>
                <w:rFonts w:eastAsia="宋体"/>
                <w:webHidden/>
                <w:noProof/>
                <w:sz w:val="24"/>
                <w:szCs w:val="24"/>
              </w:rPr>
              <w:fldChar w:fldCharType="separate"/>
            </w:r>
            <w:r>
              <w:rPr>
                <w:rFonts w:eastAsia="宋体"/>
                <w:webHidden/>
                <w:noProof/>
                <w:sz w:val="24"/>
                <w:szCs w:val="24"/>
              </w:rPr>
              <w:t>28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8" w:history="1">
            <w:r>
              <w:rPr>
                <w:rStyle w:val="a5"/>
                <w:rFonts w:eastAsia="宋体" w:cs="宋体"/>
                <w:bCs/>
                <w:noProof/>
                <w:sz w:val="24"/>
                <w:szCs w:val="24"/>
              </w:rPr>
              <w:t xml:space="preserve">7.2 保荐与承销业务</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_Toc900038 \h </w:instrText>
            </w:r>
            <w:r>
              <w:rPr>
                <w:rFonts w:eastAsia="宋体"/>
                <w:webHidden/>
                <w:noProof/>
                <w:sz w:val="24"/>
                <w:szCs w:val="24"/>
              </w:rPr>
              <w:fldChar w:fldCharType="separate"/>
            </w:r>
            <w:r>
              <w:rPr>
                <w:rFonts w:eastAsia="宋体"/>
                <w:webHidden/>
                <w:noProof/>
                <w:sz w:val="24"/>
                <w:szCs w:val="24"/>
              </w:rPr>
              <w:t>29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9" w:history="1">
            <w:r>
              <w:rPr>
                <w:rStyle w:val="a5"/>
                <w:rFonts w:eastAsia="宋体" w:cs="宋体"/>
                <w:bCs/>
                <w:noProof/>
                <w:sz w:val="24"/>
                <w:szCs w:val="24"/>
              </w:rPr>
              <w:t xml:space="preserve">7.3 上市辅导业务</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_Toc900039 \h </w:instrText>
            </w:r>
            <w:r>
              <w:rPr>
                <w:rFonts w:eastAsia="宋体"/>
                <w:webHidden/>
                <w:noProof/>
                <w:sz w:val="24"/>
                <w:szCs w:val="24"/>
              </w:rPr>
              <w:fldChar w:fldCharType="separate"/>
            </w:r>
            <w:r>
              <w:rPr>
                <w:rFonts w:eastAsia="宋体"/>
                <w:webHidden/>
                <w:noProof/>
                <w:sz w:val="24"/>
                <w:szCs w:val="24"/>
              </w:rPr>
              <w:t>29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0" w:history="1">
            <w:r>
              <w:rPr>
                <w:rStyle w:val="a5"/>
                <w:rFonts w:eastAsia="宋体" w:cs="宋体"/>
                <w:bCs/>
                <w:noProof/>
                <w:sz w:val="24"/>
                <w:szCs w:val="24"/>
              </w:rPr>
              <w:t xml:space="preserve">7.4 股权投资业务</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_Toc900040 \h </w:instrText>
            </w:r>
            <w:r>
              <w:rPr>
                <w:rFonts w:eastAsia="宋体"/>
                <w:webHidden/>
                <w:noProof/>
                <w:sz w:val="24"/>
                <w:szCs w:val="24"/>
              </w:rPr>
              <w:fldChar w:fldCharType="separate"/>
            </w:r>
            <w:r>
              <w:rPr>
                <w:rFonts w:eastAsia="宋体"/>
                <w:webHidden/>
                <w:noProof/>
                <w:sz w:val="24"/>
                <w:szCs w:val="24"/>
              </w:rPr>
              <w:t>30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1" w:history="1">
            <w:r>
              <w:rPr>
                <w:rStyle w:val="a5"/>
                <w:rFonts w:eastAsia="宋体" w:cs="宋体"/>
                <w:bCs/>
                <w:noProof/>
                <w:sz w:val="24"/>
                <w:szCs w:val="24"/>
              </w:rPr>
              <w:t xml:space="preserve">7.5 小结</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_Toc900041 \h </w:instrText>
            </w:r>
            <w:r>
              <w:rPr>
                <w:rFonts w:eastAsia="宋体"/>
                <w:webHidden/>
                <w:noProof/>
                <w:sz w:val="24"/>
                <w:szCs w:val="24"/>
              </w:rPr>
              <w:fldChar w:fldCharType="separate"/>
            </w:r>
            <w:r>
              <w:rPr>
                <w:rFonts w:eastAsia="宋体"/>
                <w:webHidden/>
                <w:noProof/>
                <w:sz w:val="24"/>
                <w:szCs w:val="24"/>
              </w:rPr>
              <w:t>30</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42" w:history="1">
            <w:r>
              <w:rPr>
                <w:rStyle w:val="a5"/>
                <w:bCs w:val="0"/>
                <w:noProof/>
                <w:sz w:val="24"/>
                <w:szCs w:val="24"/>
              </w:rPr>
              <w:t xml:space="preserve">八、 无锡巨蟹的产业链定位与拜访关注要点</w:t>
            </w:r>
            <w:r>
              <w:rPr>
                <w:webHidden/>
                <w:noProof/>
                <w:sz w:val="24"/>
                <w:szCs w:val="24"/>
              </w:rPr>
              <w:tab/>
            </w:r>
            <w:r>
              <w:rPr>
                <w:webHidden/>
                <w:noProof/>
                <w:sz w:val="24"/>
                <w:szCs w:val="24"/>
              </w:rPr>
              <w:fldChar w:fldCharType="begin"/>
            </w:r>
            <w:r>
              <w:rPr>
                <w:webHidden/>
                <w:noProof/>
                <w:sz w:val="24"/>
                <w:szCs w:val="24"/>
              </w:rPr>
              <w:instrText xml:space="preserve"> PAGEREF _Toc900042 \h </w:instrText>
            </w:r>
            <w:r>
              <w:rPr>
                <w:webHidden/>
                <w:noProof/>
                <w:sz w:val="24"/>
                <w:szCs w:val="24"/>
              </w:rPr>
              <w:fldChar w:fldCharType="separate"/>
            </w:r>
            <w:r>
              <w:rPr>
                <w:webHidden/>
                <w:noProof/>
                <w:sz w:val="24"/>
                <w:szCs w:val="24"/>
              </w:rPr>
              <w:t>31</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3" w:history="1">
            <w:r>
              <w:rPr>
                <w:rStyle w:val="a5"/>
                <w:rFonts w:eastAsia="宋体" w:cs="宋体"/>
                <w:bCs/>
                <w:noProof/>
                <w:sz w:val="24"/>
                <w:szCs w:val="24"/>
              </w:rPr>
              <w:t xml:space="preserve">8.1 公司概况与产品体系</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_Toc900043 \h </w:instrText>
            </w:r>
            <w:r>
              <w:rPr>
                <w:rFonts w:eastAsia="宋体"/>
                <w:webHidden/>
                <w:noProof/>
                <w:sz w:val="24"/>
                <w:szCs w:val="24"/>
              </w:rPr>
              <w:fldChar w:fldCharType="separate"/>
            </w:r>
            <w:r>
              <w:rPr>
                <w:rFonts w:eastAsia="宋体"/>
                <w:webHidden/>
                <w:noProof/>
                <w:sz w:val="24"/>
                <w:szCs w:val="24"/>
              </w:rPr>
              <w:t>31</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4" w:history="1">
            <w:r>
              <w:rPr>
                <w:rStyle w:val="a5"/>
                <w:rFonts w:eastAsia="宋体" w:cs="宋体"/>
                <w:bCs/>
                <w:noProof/>
                <w:sz w:val="24"/>
                <w:szCs w:val="24"/>
              </w:rPr>
              <w:t xml:space="preserve">8.2 产业链定位与可比公司</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_Toc900044 \h </w:instrText>
            </w:r>
            <w:r>
              <w:rPr>
                <w:rFonts w:eastAsia="宋体"/>
                <w:webHidden/>
                <w:noProof/>
                <w:sz w:val="24"/>
                <w:szCs w:val="24"/>
              </w:rPr>
              <w:fldChar w:fldCharType="separate"/>
            </w:r>
            <w:r>
              <w:rPr>
                <w:rFonts w:eastAsia="宋体"/>
                <w:webHidden/>
                <w:noProof/>
                <w:sz w:val="24"/>
                <w:szCs w:val="24"/>
              </w:rPr>
              <w:t>32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5" w:history="1">
            <w:r>
              <w:rPr>
                <w:rStyle w:val="a5"/>
                <w:rFonts w:eastAsia="宋体" w:cs="宋体"/>
                <w:bCs/>
                <w:noProof/>
                <w:sz w:val="24"/>
                <w:szCs w:val="24"/>
              </w:rPr>
              <w:t xml:space="preserve">8.3 拜访关注要点</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_Toc900045 \h </w:instrText>
            </w:r>
            <w:r>
              <w:rPr>
                <w:rFonts w:eastAsia="宋体"/>
                <w:webHidden/>
                <w:noProof/>
                <w:sz w:val="24"/>
                <w:szCs w:val="24"/>
              </w:rPr>
              <w:fldChar w:fldCharType="separate"/>
            </w:r>
            <w:r>
              <w:rPr>
                <w:rFonts w:eastAsia="宋体"/>
                <w:webHidden/>
                <w:noProof/>
                <w:sz w:val="24"/>
                <w:szCs w:val="24"/>
              </w:rPr>
              <w:t>32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6" w:history="1">
            <w:r>
              <w:rPr>
                <w:rStyle w:val="a5"/>
                <w:rFonts w:eastAsia="宋体" w:cs="宋体"/>
                <w:bCs/>
                <w:noProof/>
                <w:sz w:val="24"/>
                <w:szCs w:val="24"/>
              </w:rPr>
              <w:t xml:space="preserve">8.4 初步判断</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_Toc900046 \h </w:instrText>
            </w:r>
            <w:r>
              <w:rPr>
                <w:rFonts w:eastAsia="宋体"/>
                <w:webHidden/>
                <w:noProof/>
                <w:sz w:val="24"/>
                <w:szCs w:val="24"/>
              </w:rPr>
              <w:fldChar w:fldCharType="separate"/>
            </w:r>
            <w:r>
              <w:rPr>
                <w:rFonts w:eastAsia="宋体"/>
                <w:webHidden/>
                <w:noProof/>
                <w:sz w:val="24"/>
                <w:szCs w:val="24"/>
              </w:rPr>
              <w:t>33</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47" w:history="1">
            <w:r>
              <w:rPr>
                <w:rStyle w:val="a5"/>
                <w:bCs w:val="0"/>
                <w:noProof/>
                <w:sz w:val="24"/>
                <w:szCs w:val="24"/>
              </w:rPr>
              <w:t xml:space="preserve">九、 主要数据来源与口径说明</w:t>
            </w:r>
            <w:r>
              <w:rPr>
                <w:webHidden/>
                <w:noProof/>
                <w:sz w:val="24"/>
                <w:szCs w:val="24"/>
              </w:rPr>
              <w:tab/>
            </w:r>
            <w:r>
              <w:rPr>
                <w:webHidden/>
                <w:noProof/>
                <w:sz w:val="24"/>
                <w:szCs w:val="24"/>
              </w:rPr>
              <w:fldChar w:fldCharType="begin"/>
            </w:r>
            <w:r>
              <w:rPr>
                <w:webHidden/>
                <w:noProof/>
                <w:sz w:val="24"/>
                <w:szCs w:val="24"/>
              </w:rPr>
              <w:instrText xml:space="preserve"> PAGEREF _Toc900047 \h </w:instrText>
            </w:r>
            <w:r>
              <w:rPr>
                <w:webHidden/>
                <w:noProof/>
                <w:sz w:val="24"/>
                <w:szCs w:val="24"/>
              </w:rPr>
              <w:fldChar w:fldCharType="separate"/>
            </w:r>
            <w:r>
              <w:rPr>
                <w:webHidden/>
                <w:noProof/>
                <w:sz w:val="24"/>
                <w:szCs w:val="24"/>
              </w:rPr>
              <w:t>34</w:t>
            </w:r>
            <w:r>
              <w:rPr>
                <w:webHidden/>
                <w:noProof/>
                <w:sz w:val="24"/>
                <w:szCs w:val="24"/>
              </w:rPr>
              <w:fldChar w:fldCharType="end"/>
            </w:r>
          </w:hyperlink>
        </w:p>
        <w:p>
          <w:pPr>
            <w:pStyle w:val="11"/>
            <w:ind w:firstLine="0"/>
          </w:pPr>
          <w:r>
            <w:rPr>
              <w:sz w:val="24"/>
              <w:szCs w:val="24"/>
            </w:rPr>
            <w:fldChar w:fldCharType="end"/>
          </w:r>
        </w:p>
      </w:sdtContent>
    </w:sdt>
    <w:p/>
    <w:p/>
    <w:p>
      <w:pPr>
        <w:pStyle w:val="2"/>
        <w:spacing w:before="156" w:after="156"/>
      </w:pPr>
      <w:bookmarkStart w:id="1000" w:name="_Toc900000"/>
      <w:r>
        <w:rPr>
          <w:rFonts w:hint="eastAsia"/>
          <w:b/>
        </w:rPr>
        <w:t>人形机器人产业概述</w:t>
      </w:r>
      <w:bookmarkEnd w:id="1000"/>
    </w:p>
    <w:p>
      <w:pPr>
        <w:pStyle w:val="3"/>
        <w:numPr>
          <w:ilvl w:val="0"/>
          <w:numId w:val="0"/>
        </w:numPr>
        <w:spacing w:before="156" w:after="156"/>
      </w:pPr>
      <w:bookmarkStart w:id="1001" w:name="_Toc900001"/>
      <w:r>
        <w:rPr>
          <w:rFonts w:hint="eastAsia"/>
        </w:rPr>
        <w:t>1.1 行业简介</w:t>
      </w:r>
      <w:bookmarkEnd w:id="1001"/>
    </w:p>
    <w:p>
      <w:pPr>
        <w:pStyle w:val="a0"/>
      </w:pPr>
      <w:r>
        <w:rPr>
          <w:rFonts w:hint="eastAsia"/>
        </w:rPr>
        <w:t>人形机器人是指以人类形态和运动能力为参照，通过多自由度关节驱动实现双足或轮式移动、双臂操作和环境交互的智能机器人。与传统工业机器人相比，人形机器人的差异不在于单一动作的精度或速度，而在于它试图用一套通用的本体结构去适配为人设计的工作环境——楼梯、门把手、货架、工位和工具，从而减少针对每个场景重新改造产线和夹具的成本。近年来大模型和具身智能技术的进展，使机器人具备了从视觉、语言到动作的端到端能力，人形机器人由实验室演示逐步走向小批量商用交付。</w:t>
      </w:r>
    </w:p>
    <w:p>
      <w:pPr>
        <w:pStyle w:val="a0"/>
      </w:pPr>
      <w:r>
        <w:rPr>
          <w:rFonts w:hint="eastAsia"/>
        </w:rPr>
        <w:t>从产业角度看，人形机器人的价值集中在两个层面。一是"本体"层面，即由关节、传动、驱动、感知和结构件构成的硬件系统，决定机器人的负载、动态性能、可靠性和成本；二是"大脑与小脑"层面，即运动控制算法与具身智能模型，决定机器人能否在非结构化环境中完成有经济价值的任务。硬件层面的成熟度直接决定了产业能否规模化：只有当核心零部件实现批量、稳定、低成本供应，整机才可能从千台级走向万台级乃至十万台级。</w:t>
      </w:r>
    </w:p>
    <w:p>
      <w:pPr>
        <w:pStyle w:val="a0"/>
      </w:pPr>
      <w:r>
        <w:rPr>
          <w:rFonts w:hint="eastAsia"/>
        </w:rPr>
        <w:t>2025年被行业普遍视为人形机器人的"小批量交付元年"，2026年则被多数机构定义为"规模化量产元年"。据新华网2026年1月报道及多家券商年度策略判断，2026年国内人形机器人产量有望冲刺10万台关口，行业由技术演示转向以交付、良率和成本为核心的产业竞争阶段。</w:t>
      </w:r>
    </w:p>
    <w:p>
      <w:pPr>
        <w:pStyle w:val="3"/>
        <w:numPr>
          <w:ilvl w:val="0"/>
          <w:numId w:val="0"/>
        </w:numPr>
        <w:spacing w:before="156" w:after="156"/>
      </w:pPr>
      <w:bookmarkStart w:id="1002" w:name="_Toc900002"/>
      <w:r>
        <w:rPr>
          <w:rFonts w:hint="eastAsia"/>
        </w:rPr>
        <w:t>1.2 人形机器人的主要产品形态与技术路线</w:t>
      </w:r>
      <w:bookmarkEnd w:id="1002"/>
    </w:p>
    <w:p>
      <w:pPr>
        <w:pStyle w:val="a0"/>
      </w:pPr>
      <w:r>
        <w:rPr>
          <w:rFonts w:hint="eastAsia"/>
        </w:rPr>
        <w:t>按照移动方式、体型和用途，人形机器人可以分为全尺寸双足、中小尺寸双足、轮式双臂（轮式人形）以及上肢/半身平台等形态。不同形态在自由度数量、关节规格、单机零部件用量和售价上差别很大，这直接决定了对上游核心零部件的需求结构。各类产品形态的特点及代表产品如下：</w:t>
      </w:r>
    </w:p>
    <w:p>
      <w:pPr>
        <w:keepNext/>
        <w:jc w:val="center"/>
      </w:pPr>
      <w:r>
        <w:rPr>
          <w:rFonts w:hint="eastAsia"/>
          <w:b/>
          <w:sz w:val="21"/>
        </w:rPr>
        <w:t>表1  人形机器人主要产品形态与技术路线</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643" w:type="pct"/>
            <w:tcBorders>
              <w:top w:val="single" w:sz="12" w:space="0" w:color="010000"/>
              <w:bottom w:val="single" w:sz="4" w:space="0" w:color="010000"/>
            </w:tcBorders>
            <w:vAlign w:val="center"/>
          </w:tcPr>
          <w:p>
            <w:pPr>
              <w:keepNext/>
              <w:jc w:val="center"/>
            </w:pPr>
            <w:r/>
            <w:r>
              <w:rPr>
                <w:rFonts w:hint="eastAsia"/>
                <w:b/>
                <w:color w:val="000000"/>
                <w:sz w:val="21"/>
              </w:rPr>
              <w:t>产品形态</w:t>
            </w:r>
          </w:p>
        </w:tc>
        <w:tc>
          <w:tcPr>
            <w:tcW w:w="1643" w:type="pct"/>
            <w:tcBorders>
              <w:top w:val="single" w:sz="12" w:space="0" w:color="010000"/>
              <w:bottom w:val="single" w:sz="4" w:space="0" w:color="010000"/>
            </w:tcBorders>
            <w:vAlign w:val="center"/>
          </w:tcPr>
          <w:p>
            <w:pPr>
              <w:keepNext/>
              <w:jc w:val="center"/>
            </w:pPr>
            <w:r/>
            <w:r>
              <w:rPr>
                <w:rFonts w:hint="eastAsia"/>
                <w:b/>
                <w:color w:val="000000"/>
                <w:sz w:val="21"/>
              </w:rPr>
              <w:t>主要特点</w:t>
            </w:r>
          </w:p>
        </w:tc>
        <w:tc>
          <w:tcPr>
            <w:tcW w:w="1643" w:type="pct"/>
            <w:tcBorders>
              <w:top w:val="single" w:sz="12" w:space="0" w:color="010000"/>
              <w:bottom w:val="single" w:sz="4" w:space="0" w:color="010000"/>
            </w:tcBorders>
            <w:vAlign w:val="center"/>
          </w:tcPr>
          <w:p>
            <w:pPr>
              <w:keepNext/>
              <w:jc w:val="center"/>
            </w:pPr>
            <w:r/>
            <w:r>
              <w:rPr>
                <w:rFonts w:hint="eastAsia"/>
                <w:b/>
                <w:color w:val="000000"/>
                <w:sz w:val="21"/>
              </w:rPr>
              <w:t>典型关节配置与用量</w:t>
            </w:r>
          </w:p>
        </w:tc>
        <w:tc>
          <w:tcPr>
            <w:tcW w:w="1071" w:type="pct"/>
            <w:tcBorders>
              <w:top w:val="single" w:sz="12" w:space="0" w:color="010000"/>
              <w:bottom w:val="single" w:sz="4" w:space="0" w:color="010000"/>
            </w:tcBorders>
            <w:vAlign w:val="center"/>
          </w:tcPr>
          <w:p>
            <w:pPr>
              <w:keepNext/>
              <w:jc w:val="center"/>
            </w:pPr>
            <w:r/>
            <w:r>
              <w:rPr>
                <w:rFonts w:hint="eastAsia"/>
                <w:b/>
                <w:color w:val="000000"/>
                <w:sz w:val="21"/>
              </w:rPr>
              <w:t>代表产品</w:t>
            </w:r>
          </w:p>
        </w:tc>
      </w:tr>
      <w:tr>
        <w:trPr>
          <w:cantSplit/>
          <w:jc w:val="center"/>
        </w:trPr>
        <w:tc>
          <w:tcPr>
            <w:tcW w:w="643" w:type="pct"/>
            <w:tcBorders>
              <w:top w:val="single" w:sz="4" w:space="0" w:color="010000"/>
            </w:tcBorders>
            <w:vAlign w:val="center"/>
          </w:tcPr>
          <w:p>
            <w:pPr>
              <w:jc w:val="left"/>
            </w:pPr>
            <w:r/>
            <w:r>
              <w:rPr>
                <w:rFonts w:hint="eastAsia"/>
                <w:color w:val="000000"/>
                <w:sz w:val="21"/>
              </w:rPr>
              <w:t>全尺寸双足人形</w:t>
            </w:r>
          </w:p>
        </w:tc>
        <w:tc>
          <w:tcPr>
            <w:tcW w:w="1643" w:type="pct"/>
            <w:tcBorders>
              <w:top w:val="single" w:sz="4" w:space="0" w:color="010000"/>
            </w:tcBorders>
            <w:vAlign w:val="center"/>
          </w:tcPr>
          <w:p>
            <w:pPr>
              <w:jc w:val="left"/>
            </w:pPr>
            <w:r/>
            <w:r>
              <w:rPr>
                <w:rFonts w:hint="eastAsia"/>
                <w:color w:val="000000"/>
                <w:sz w:val="21"/>
              </w:rPr>
              <w:t>身高通常1.6—1.8米、体重50—80公斤，自由度多在30个以上，强调全身运动控制和工业场景负载能力，单价较高，是当前工业、巡检和数据采集场景的主力形态。</w:t>
            </w:r>
          </w:p>
        </w:tc>
        <w:tc>
          <w:tcPr>
            <w:tcW w:w="1643" w:type="pct"/>
            <w:tcBorders>
              <w:top w:val="single" w:sz="4" w:space="0" w:color="010000"/>
            </w:tcBorders>
            <w:vAlign w:val="center"/>
          </w:tcPr>
          <w:p>
            <w:pPr>
              <w:jc w:val="left"/>
            </w:pPr>
            <w:r/>
            <w:r>
              <w:rPr>
                <w:rFonts w:hint="eastAsia"/>
                <w:color w:val="000000"/>
                <w:sz w:val="21"/>
              </w:rPr>
              <w:t>旋转关节以"无框力矩电机＋谐波减速器＋双编码器＋驱动器"方案为主，腿部大扭矩关节部分采用行星滚柱丝杠线性执行器或准直驱方案；整机关节数量通常在30—40个。</w:t>
            </w:r>
          </w:p>
        </w:tc>
        <w:tc>
          <w:tcPr>
            <w:tcW w:w="1071" w:type="pct"/>
            <w:tcBorders>
              <w:top w:val="single" w:sz="4" w:space="0" w:color="010000"/>
            </w:tcBorders>
            <w:vAlign w:val="center"/>
          </w:tcPr>
          <w:p>
            <w:pPr>
              <w:jc w:val="left"/>
            </w:pPr>
            <w:r/>
            <w:r>
              <w:rPr>
                <w:rFonts w:hint="eastAsia"/>
                <w:color w:val="000000"/>
                <w:sz w:val="21"/>
              </w:rPr>
              <w:t>优必选Walker S2、宇树H1/H2、智元远征A2、傅利叶GR系列</w:t>
            </w:r>
          </w:p>
        </w:tc>
      </w:tr>
      <w:tr>
        <w:trPr>
          <w:cantSplit/>
          <w:jc w:val="center"/>
        </w:trPr>
        <w:tc>
          <w:tcPr>
            <w:tcW w:w="643" w:type="pct"/>
            <w:tcBorders>
              <w:top w:val="single" w:sz="4" w:space="0" w:color="010000"/>
            </w:tcBorders>
            <w:vAlign w:val="center"/>
          </w:tcPr>
          <w:p>
            <w:pPr>
              <w:jc w:val="left"/>
            </w:pPr>
            <w:r/>
            <w:r>
              <w:rPr>
                <w:rFonts w:hint="eastAsia"/>
                <w:color w:val="000000"/>
                <w:sz w:val="21"/>
              </w:rPr>
              <w:t>中小尺寸双足人形</w:t>
            </w:r>
          </w:p>
        </w:tc>
        <w:tc>
          <w:tcPr>
            <w:tcW w:w="1643" w:type="pct"/>
            <w:tcBorders>
              <w:top w:val="single" w:sz="4" w:space="0" w:color="010000"/>
            </w:tcBorders>
            <w:vAlign w:val="center"/>
          </w:tcPr>
          <w:p>
            <w:pPr>
              <w:jc w:val="left"/>
            </w:pPr>
            <w:r/>
            <w:r>
              <w:rPr>
                <w:rFonts w:hint="eastAsia"/>
                <w:color w:val="000000"/>
                <w:sz w:val="21"/>
              </w:rPr>
              <w:t>身高约0.8—1.4米、体重20—40公斤，成本和售价显著低于全尺寸机型，主要面向科研教育、展演和交互服务，是2025年出货量最大的形态。</w:t>
            </w:r>
          </w:p>
        </w:tc>
        <w:tc>
          <w:tcPr>
            <w:tcW w:w="1643" w:type="pct"/>
            <w:tcBorders>
              <w:top w:val="single" w:sz="4" w:space="0" w:color="010000"/>
            </w:tcBorders>
            <w:vAlign w:val="center"/>
          </w:tcPr>
          <w:p>
            <w:pPr>
              <w:jc w:val="left"/>
            </w:pPr>
            <w:r/>
            <w:r>
              <w:rPr>
                <w:rFonts w:hint="eastAsia"/>
                <w:color w:val="000000"/>
                <w:sz w:val="21"/>
              </w:rPr>
              <w:t>关节小型化程度高，对小规格谐波减速器、低压驱动器和微型编码器的需求集中；单机关节数量约20—30个。</w:t>
            </w:r>
          </w:p>
        </w:tc>
        <w:tc>
          <w:tcPr>
            <w:tcW w:w="1071" w:type="pct"/>
            <w:tcBorders>
              <w:top w:val="single" w:sz="4" w:space="0" w:color="010000"/>
            </w:tcBorders>
            <w:vAlign w:val="center"/>
          </w:tcPr>
          <w:p>
            <w:pPr>
              <w:jc w:val="left"/>
            </w:pPr>
            <w:r/>
            <w:r>
              <w:rPr>
                <w:rFonts w:hint="eastAsia"/>
                <w:color w:val="000000"/>
                <w:sz w:val="21"/>
              </w:rPr>
              <w:t>宇树G1/R1、智元灵犀X2、众擎PM01、松延动力N2</w:t>
            </w:r>
          </w:p>
        </w:tc>
      </w:tr>
      <w:tr>
        <w:trPr>
          <w:cantSplit/>
          <w:jc w:val="center"/>
        </w:trPr>
        <w:tc>
          <w:tcPr>
            <w:tcW w:w="643" w:type="pct"/>
            <w:tcBorders>
              <w:top w:val="single" w:sz="4" w:space="0" w:color="010000"/>
            </w:tcBorders>
            <w:vAlign w:val="center"/>
          </w:tcPr>
          <w:p>
            <w:pPr>
              <w:jc w:val="left"/>
            </w:pPr>
            <w:r/>
            <w:r>
              <w:rPr>
                <w:rFonts w:hint="eastAsia"/>
                <w:color w:val="000000"/>
                <w:sz w:val="21"/>
              </w:rPr>
              <w:t>轮式双臂（轮式人形）</w:t>
            </w:r>
          </w:p>
        </w:tc>
        <w:tc>
          <w:tcPr>
            <w:tcW w:w="1643" w:type="pct"/>
            <w:tcBorders>
              <w:top w:val="single" w:sz="4" w:space="0" w:color="010000"/>
            </w:tcBorders>
            <w:vAlign w:val="center"/>
          </w:tcPr>
          <w:p>
            <w:pPr>
              <w:jc w:val="left"/>
            </w:pPr>
            <w:r/>
            <w:r>
              <w:rPr>
                <w:rFonts w:hint="eastAsia"/>
                <w:color w:val="000000"/>
                <w:sz w:val="21"/>
              </w:rPr>
              <w:t>以轮式底盘替代双足，牺牲越障能力换取稳定性、续航和成本优势，在工业搬运、商用服务和数据采集场景落地更快。</w:t>
            </w:r>
          </w:p>
        </w:tc>
        <w:tc>
          <w:tcPr>
            <w:tcW w:w="1643" w:type="pct"/>
            <w:tcBorders>
              <w:top w:val="single" w:sz="4" w:space="0" w:color="010000"/>
            </w:tcBorders>
            <w:vAlign w:val="center"/>
          </w:tcPr>
          <w:p>
            <w:pPr>
              <w:jc w:val="left"/>
            </w:pPr>
            <w:r/>
            <w:r>
              <w:rPr>
                <w:rFonts w:hint="eastAsia"/>
                <w:color w:val="000000"/>
                <w:sz w:val="21"/>
              </w:rPr>
              <w:t>双臂关节仍以谐波方案为主，底盘采用轮毂/轮边驱动，整机成本结构中协作臂与灵巧手占比高。</w:t>
            </w:r>
          </w:p>
        </w:tc>
        <w:tc>
          <w:tcPr>
            <w:tcW w:w="1071" w:type="pct"/>
            <w:tcBorders>
              <w:top w:val="single" w:sz="4" w:space="0" w:color="010000"/>
            </w:tcBorders>
            <w:vAlign w:val="center"/>
          </w:tcPr>
          <w:p>
            <w:pPr>
              <w:jc w:val="left"/>
            </w:pPr>
            <w:r/>
            <w:r>
              <w:rPr>
                <w:rFonts w:hint="eastAsia"/>
                <w:color w:val="000000"/>
                <w:sz w:val="21"/>
              </w:rPr>
              <w:t>智元精灵G1/G2、银河通用G1、智平方AlphaBot</w:t>
            </w:r>
          </w:p>
        </w:tc>
      </w:tr>
      <w:tr>
        <w:trPr>
          <w:cantSplit/>
          <w:jc w:val="center"/>
        </w:trPr>
        <w:tc>
          <w:tcPr>
            <w:tcW w:w="643" w:type="pct"/>
            <w:tcBorders>
              <w:top w:val="single" w:sz="4" w:space="0" w:color="010000"/>
            </w:tcBorders>
            <w:vAlign w:val="center"/>
          </w:tcPr>
          <w:p>
            <w:pPr>
              <w:jc w:val="left"/>
            </w:pPr>
            <w:r/>
            <w:r>
              <w:rPr>
                <w:rFonts w:hint="eastAsia"/>
                <w:color w:val="000000"/>
                <w:sz w:val="21"/>
              </w:rPr>
              <w:t>上肢/半身平台与关节模组</w:t>
            </w:r>
          </w:p>
        </w:tc>
        <w:tc>
          <w:tcPr>
            <w:tcW w:w="1643" w:type="pct"/>
            <w:tcBorders>
              <w:top w:val="single" w:sz="4" w:space="0" w:color="010000"/>
            </w:tcBorders>
            <w:vAlign w:val="center"/>
          </w:tcPr>
          <w:p>
            <w:pPr>
              <w:jc w:val="left"/>
            </w:pPr>
            <w:r/>
            <w:r>
              <w:rPr>
                <w:rFonts w:hint="eastAsia"/>
                <w:color w:val="000000"/>
                <w:sz w:val="21"/>
              </w:rPr>
              <w:t>不提供完整整机，而是向下游客户提供机械臂、上肢平台或标准化关节模组，帮助客户快速搭建本体，属于零部件企业向系统方向的延伸。</w:t>
            </w:r>
          </w:p>
        </w:tc>
        <w:tc>
          <w:tcPr>
            <w:tcW w:w="1643" w:type="pct"/>
            <w:tcBorders>
              <w:top w:val="single" w:sz="4" w:space="0" w:color="010000"/>
            </w:tcBorders>
            <w:vAlign w:val="center"/>
          </w:tcPr>
          <w:p>
            <w:pPr>
              <w:jc w:val="left"/>
            </w:pPr>
            <w:r/>
            <w:r>
              <w:rPr>
                <w:rFonts w:hint="eastAsia"/>
                <w:color w:val="000000"/>
                <w:sz w:val="21"/>
              </w:rPr>
              <w:t>以系列化一体化关节模组为核心，按关节部位（颈、腕、肩、肘、腰、髋）分规格配置。</w:t>
            </w:r>
          </w:p>
        </w:tc>
        <w:tc>
          <w:tcPr>
            <w:tcW w:w="1071" w:type="pct"/>
            <w:tcBorders>
              <w:top w:val="single" w:sz="4" w:space="0" w:color="010000"/>
            </w:tcBorders>
            <w:vAlign w:val="center"/>
          </w:tcPr>
          <w:p>
            <w:pPr>
              <w:jc w:val="left"/>
            </w:pPr>
            <w:r/>
            <w:r>
              <w:rPr>
                <w:rFonts w:hint="eastAsia"/>
                <w:color w:val="000000"/>
                <w:sz w:val="21"/>
              </w:rPr>
              <w:t>无锡巨蟹通用型上肢硬件平台、绿的谐波轻量化关节模组、星动纪元灵巧手/半身模组</w:t>
            </w:r>
          </w:p>
        </w:tc>
      </w:tr>
    </w:tbl>
    <w:p>
      <w:pPr>
        <w:pStyle w:val="a6"/>
      </w:pPr>
      <w:r>
        <w:rPr>
          <w:rFonts w:hint="eastAsia"/>
        </w:rPr>
        <w:t>资料来源：各公司官网及公开产品资料、世界机器人大会展商资料、公开新闻报道，本报告整理。</w:t>
      </w:r>
    </w:p>
    <w:p>
      <w:pPr>
        <w:pStyle w:val="3"/>
        <w:numPr>
          <w:ilvl w:val="0"/>
          <w:numId w:val="0"/>
        </w:numPr>
        <w:spacing w:before="156" w:after="156"/>
      </w:pPr>
      <w:bookmarkStart w:id="1003" w:name="_Toc900003"/>
      <w:r>
        <w:rPr>
          <w:rFonts w:hint="eastAsia"/>
        </w:rPr>
        <w:t>1.3 人形机器人的基本构成——以旋转关节与一体化动力关节模组为例</w:t>
      </w:r>
      <w:bookmarkEnd w:id="1003"/>
    </w:p>
    <w:p>
      <w:pPr>
        <w:pStyle w:val="a0"/>
      </w:pPr>
      <w:r>
        <w:rPr>
          <w:rFonts w:hint="eastAsia"/>
        </w:rPr>
        <w:t>人形机器人本体由执行系统、感知系统、计算系统、结构件与能源系统共同构成。其中执行系统是价值量最高、技术壁垒最集中的部分，也是无锡巨蟹智能驱动科技有限公司（以下简称"无锡巨蟹"）所处的环节。执行系统按运动形式分为旋转执行器（旋转关节）和线性执行器（直线关节）两类：旋转关节以"电机＋减速器＋编码器＋驱动器"为基本结构，广泛用于颈部、肩、肘、腕、腰和髋等部位；线性执行器以"力矩电机＋行星滚柱丝杠"为主，主要用于膝、踝等需要大推力和高刚度的部位。</w:t>
      </w:r>
    </w:p>
    <w:p>
      <w:pPr>
        <w:pStyle w:val="a0"/>
      </w:pPr>
      <w:r>
        <w:rPr>
          <w:rFonts w:hint="eastAsia"/>
        </w:rPr>
        <w:t>以旋转关节为例，各组成部分的功能分工如下：无框力矩电机（或空心杯电机）提供原始扭矩和转速；谐波减速器将高转速低扭矩转换为低转速高扭矩输出，同时保证极小的回差和较高的传动精度；编码器分别安装在电机端和输出端（即"双编码器"配置），前者用于电流环和速度环换向控制，后者用于消除减速器柔性变形和回差带来的位置误差，实现输出端的高精度闭环；驱动器完成电流采样、功率放大、力矩控制和总线通信，是关节的"神经末梢"；制动器、力矩传感器和散热结构则用于保障断电安全、力控性能和连续工作能力。</w:t>
      </w:r>
    </w:p>
    <w:p>
      <w:pPr>
        <w:pStyle w:val="a0"/>
      </w:pPr>
      <w:r>
        <w:rPr>
          <w:rFonts w:hint="eastAsia"/>
        </w:rPr>
        <w:t>所谓"一体化动力关节模组"，是指把上述部件在机械、电气和控制三个层面深度集成为一个可直接装配的标准单元，对外只保留机械安装面、动力线和通信总线接口。相较于整机厂自行采购分立部件再装配，一体化模组能够显著缩短本体开发周期，减少装配公差累积，降低线束数量和整机重量，并把关节层面的标定、补偿和保护逻辑固化在模组内部。据行业白皮书判断，一体化设计是规模化量产的必选项，无法提供一体化方案的模组厂商在未来两年将快速边缘化。无锡巨蟹的产品体系正是沿着"自研谐波减速器＋自研微型低压驱动器＋自研编码器→系列化一体化关节模组→上肢平台/机械臂"这条路径展开的。</w:t>
      </w:r>
    </w:p>
    <w:p>
      <w:pPr>
        <w:pStyle w:val="3"/>
        <w:numPr>
          <w:ilvl w:val="0"/>
          <w:numId w:val="0"/>
        </w:numPr>
        <w:spacing w:before="156" w:after="156"/>
      </w:pPr>
      <w:bookmarkStart w:id="1004" w:name="_Toc900004"/>
      <w:r>
        <w:rPr>
          <w:rFonts w:hint="eastAsia"/>
        </w:rPr>
        <w:t>1.4 人形机器人行业的基本指标</w:t>
      </w:r>
      <w:bookmarkEnd w:id="1004"/>
    </w:p>
    <w:p>
      <w:pPr>
        <w:pStyle w:val="a0"/>
      </w:pPr>
      <w:r>
        <w:rPr>
          <w:rFonts w:hint="eastAsia"/>
        </w:rPr>
        <w:t>评价人形机器人整机时，自由度、负载、续航和整机成本用于描述产品的基本能力；评价关节模组和核心零部件时，扭矩密度、传动精度、回差、重复定位精度、寿命和一致性则用于判断产品的实际工程水平。各项指标的具体含义如下：</w:t>
      </w:r>
    </w:p>
    <w:p>
      <w:pPr>
        <w:keepNext/>
        <w:jc w:val="center"/>
      </w:pPr>
      <w:r>
        <w:rPr>
          <w:rFonts w:hint="eastAsia"/>
          <w:b/>
          <w:sz w:val="21"/>
        </w:rPr>
        <w:t>表2  人形机器人行业基本指标</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4153"/>
        <w:gridCol w:w="4153"/>
      </w:tblGrid>
      <w:tr>
        <w:trPr>
          <w:cantSplit/>
          <w:tblHeader/>
          <w:jc w:val="center"/>
        </w:trPr>
        <w:tc>
          <w:tcPr>
            <w:tcW w:w="786" w:type="pct"/>
            <w:tcBorders>
              <w:top w:val="single" w:sz="12" w:space="0" w:color="010000"/>
              <w:bottom w:val="single" w:sz="4" w:space="0" w:color="010000"/>
            </w:tcBorders>
            <w:vAlign w:val="center"/>
          </w:tcPr>
          <w:p>
            <w:pPr>
              <w:keepNext/>
              <w:jc w:val="center"/>
            </w:pPr>
            <w:r/>
            <w:r>
              <w:rPr>
                <w:rFonts w:hint="eastAsia"/>
                <w:b/>
                <w:color w:val="000000"/>
                <w:sz w:val="21"/>
              </w:rPr>
              <w:t>指标</w:t>
            </w:r>
          </w:p>
        </w:tc>
        <w:tc>
          <w:tcPr>
            <w:tcW w:w="4214" w:type="pct"/>
            <w:tcBorders>
              <w:top w:val="single" w:sz="12" w:space="0" w:color="010000"/>
              <w:bottom w:val="single" w:sz="4" w:space="0" w:color="010000"/>
            </w:tcBorders>
            <w:vAlign w:val="center"/>
          </w:tcPr>
          <w:p>
            <w:pPr>
              <w:keepNext/>
              <w:jc w:val="center"/>
            </w:pPr>
            <w:r/>
            <w:r>
              <w:rPr>
                <w:rFonts w:hint="eastAsia"/>
                <w:b/>
                <w:color w:val="000000"/>
                <w:sz w:val="21"/>
              </w:rPr>
              <w:t>含义</w:t>
            </w:r>
          </w:p>
        </w:tc>
      </w:tr>
      <w:tr>
        <w:trPr>
          <w:cantSplit/>
          <w:jc w:val="center"/>
        </w:trPr>
        <w:tc>
          <w:tcPr>
            <w:tcW w:w="786" w:type="pct"/>
            <w:tcBorders>
              <w:top w:val="single" w:sz="4" w:space="0" w:color="010000"/>
            </w:tcBorders>
            <w:vAlign w:val="center"/>
          </w:tcPr>
          <w:p>
            <w:pPr>
              <w:jc w:val="left"/>
            </w:pPr>
            <w:r/>
            <w:r>
              <w:rPr>
                <w:rFonts w:hint="eastAsia"/>
                <w:color w:val="000000"/>
                <w:sz w:val="21"/>
              </w:rPr>
              <w:t>自由度（DOF）</w:t>
            </w:r>
          </w:p>
        </w:tc>
        <w:tc>
          <w:tcPr>
            <w:tcW w:w="4214" w:type="pct"/>
            <w:tcBorders>
              <w:top w:val="single" w:sz="4" w:space="0" w:color="010000"/>
            </w:tcBorders>
            <w:vAlign w:val="center"/>
          </w:tcPr>
          <w:p>
            <w:pPr>
              <w:jc w:val="left"/>
            </w:pPr>
            <w:r/>
            <w:r>
              <w:rPr>
                <w:rFonts w:hint="eastAsia"/>
                <w:color w:val="000000"/>
                <w:sz w:val="21"/>
              </w:rPr>
              <w:t>自由度是机器人可独立控制的运动方向数量，通常等于有效关节数量。自由度越高，动作越接近人类、可完成的任务越复杂，但同时意味着更多的电机、减速器、编码器和驱动器，整机成本和控制难度同步上升。全尺寸人形机器人的整机自由度通常在30个以上，灵巧手单手自由度一般在6—20个之间。</w:t>
            </w:r>
          </w:p>
        </w:tc>
      </w:tr>
      <w:tr>
        <w:trPr>
          <w:cantSplit/>
          <w:jc w:val="center"/>
        </w:trPr>
        <w:tc>
          <w:tcPr>
            <w:tcW w:w="786" w:type="pct"/>
            <w:tcBorders>
              <w:top w:val="single" w:sz="4" w:space="0" w:color="010000"/>
            </w:tcBorders>
            <w:vAlign w:val="center"/>
          </w:tcPr>
          <w:p>
            <w:pPr>
              <w:jc w:val="left"/>
            </w:pPr>
            <w:r/>
            <w:r>
              <w:rPr>
                <w:rFonts w:hint="eastAsia"/>
                <w:color w:val="000000"/>
                <w:sz w:val="21"/>
              </w:rPr>
              <w:t>额定扭矩与峰值扭矩（N·m）</w:t>
            </w:r>
          </w:p>
        </w:tc>
        <w:tc>
          <w:tcPr>
            <w:tcW w:w="4214" w:type="pct"/>
            <w:tcBorders>
              <w:top w:val="single" w:sz="4" w:space="0" w:color="010000"/>
            </w:tcBorders>
            <w:vAlign w:val="center"/>
          </w:tcPr>
          <w:p>
            <w:pPr>
              <w:jc w:val="left"/>
            </w:pPr>
            <w:r/>
            <w:r>
              <w:rPr>
                <w:rFonts w:hint="eastAsia"/>
                <w:color w:val="000000"/>
                <w:sz w:val="21"/>
              </w:rPr>
              <w:t>额定扭矩是关节可长期连续输出的扭矩，峰值扭矩是短时间内可输出的最大扭矩。人形机器人在起身、跳跃和承载时对峰值扭矩要求很高，而在长时间作业时受限于额定扭矩和散热能力，因此两个指标需要同时考察。</w:t>
            </w:r>
          </w:p>
        </w:tc>
      </w:tr>
      <w:tr>
        <w:trPr>
          <w:cantSplit/>
          <w:jc w:val="center"/>
        </w:trPr>
        <w:tc>
          <w:tcPr>
            <w:tcW w:w="786" w:type="pct"/>
            <w:tcBorders>
              <w:top w:val="single" w:sz="4" w:space="0" w:color="010000"/>
            </w:tcBorders>
            <w:vAlign w:val="center"/>
          </w:tcPr>
          <w:p>
            <w:pPr>
              <w:jc w:val="left"/>
            </w:pPr>
            <w:r/>
            <w:r>
              <w:rPr>
                <w:rFonts w:hint="eastAsia"/>
                <w:color w:val="000000"/>
                <w:sz w:val="21"/>
              </w:rPr>
              <w:t>扭矩密度（N·m/kg）</w:t>
            </w:r>
          </w:p>
        </w:tc>
        <w:tc>
          <w:tcPr>
            <w:tcW w:w="4214" w:type="pct"/>
            <w:tcBorders>
              <w:top w:val="single" w:sz="4" w:space="0" w:color="010000"/>
            </w:tcBorders>
            <w:vAlign w:val="center"/>
          </w:tcPr>
          <w:p>
            <w:pPr>
              <w:jc w:val="left"/>
            </w:pPr>
            <w:r/>
            <w:r>
              <w:rPr>
                <w:rFonts w:hint="eastAsia"/>
                <w:color w:val="000000"/>
                <w:sz w:val="21"/>
              </w:rPr>
              <w:t>扭矩密度是关节输出扭矩与自身重量的比值，是衡量关节模组工程水平的核心指标。人形机器人属于"自重敏感"系统，关节越重，其他关节需要承担的负载越大，因此在同等扭矩下减重具有乘数效应。</w:t>
            </w:r>
          </w:p>
        </w:tc>
      </w:tr>
      <w:tr>
        <w:trPr>
          <w:cantSplit/>
          <w:jc w:val="center"/>
        </w:trPr>
        <w:tc>
          <w:tcPr>
            <w:tcW w:w="786" w:type="pct"/>
            <w:tcBorders>
              <w:top w:val="single" w:sz="4" w:space="0" w:color="010000"/>
            </w:tcBorders>
            <w:vAlign w:val="center"/>
          </w:tcPr>
          <w:p>
            <w:pPr>
              <w:jc w:val="left"/>
            </w:pPr>
            <w:r/>
            <w:r>
              <w:rPr>
                <w:rFonts w:hint="eastAsia"/>
                <w:color w:val="000000"/>
                <w:sz w:val="21"/>
              </w:rPr>
              <w:t>减速比与回差</w:t>
            </w:r>
          </w:p>
        </w:tc>
        <w:tc>
          <w:tcPr>
            <w:tcW w:w="4214" w:type="pct"/>
            <w:tcBorders>
              <w:top w:val="single" w:sz="4" w:space="0" w:color="010000"/>
            </w:tcBorders>
            <w:vAlign w:val="center"/>
          </w:tcPr>
          <w:p>
            <w:pPr>
              <w:jc w:val="left"/>
            </w:pPr>
            <w:r/>
            <w:r>
              <w:rPr>
                <w:rFonts w:hint="eastAsia"/>
                <w:color w:val="000000"/>
                <w:sz w:val="21"/>
              </w:rPr>
              <w:t>减速比是输入转速与输出转速之比，决定了扭矩放大倍数；回差（背隙）是输入方向反转时输出端的空程量。谐波减速器的核心优势正在于可以在单级实现50—160的大减速比，同时保持接近零回差，这也是它在人形机器人上肢精密关节中难以被替代的原因。</w:t>
            </w:r>
          </w:p>
        </w:tc>
      </w:tr>
      <w:tr>
        <w:trPr>
          <w:cantSplit/>
          <w:jc w:val="center"/>
        </w:trPr>
        <w:tc>
          <w:tcPr>
            <w:tcW w:w="786" w:type="pct"/>
            <w:tcBorders>
              <w:top w:val="single" w:sz="4" w:space="0" w:color="010000"/>
            </w:tcBorders>
            <w:vAlign w:val="center"/>
          </w:tcPr>
          <w:p>
            <w:pPr>
              <w:jc w:val="left"/>
            </w:pPr>
            <w:r/>
            <w:r>
              <w:rPr>
                <w:rFonts w:hint="eastAsia"/>
                <w:color w:val="000000"/>
                <w:sz w:val="21"/>
              </w:rPr>
              <w:t>传动精度与重复定位精度</w:t>
            </w:r>
          </w:p>
        </w:tc>
        <w:tc>
          <w:tcPr>
            <w:tcW w:w="4214" w:type="pct"/>
            <w:tcBorders>
              <w:top w:val="single" w:sz="4" w:space="0" w:color="010000"/>
            </w:tcBorders>
            <w:vAlign w:val="center"/>
          </w:tcPr>
          <w:p>
            <w:pPr>
              <w:jc w:val="left"/>
            </w:pPr>
            <w:r/>
            <w:r>
              <w:rPr>
                <w:rFonts w:hint="eastAsia"/>
                <w:color w:val="000000"/>
                <w:sz w:val="21"/>
              </w:rPr>
              <w:t>传动精度指输出角度相对理论值的偏差，重复定位精度指多次回到同一指令位置时的离散程度。二者共同决定机器人末端的操作精度，受减速器加工精度、编码器分辨率和控制算法共同影响。</w:t>
            </w:r>
          </w:p>
        </w:tc>
      </w:tr>
      <w:tr>
        <w:trPr>
          <w:cantSplit/>
          <w:jc w:val="center"/>
        </w:trPr>
        <w:tc>
          <w:tcPr>
            <w:tcW w:w="786" w:type="pct"/>
            <w:tcBorders>
              <w:top w:val="single" w:sz="4" w:space="0" w:color="010000"/>
            </w:tcBorders>
            <w:vAlign w:val="center"/>
          </w:tcPr>
          <w:p>
            <w:pPr>
              <w:jc w:val="left"/>
            </w:pPr>
            <w:r/>
            <w:r>
              <w:rPr>
                <w:rFonts w:hint="eastAsia"/>
                <w:color w:val="000000"/>
                <w:sz w:val="21"/>
              </w:rPr>
              <w:t>编码器分辨率与绝对/增量类型</w:t>
            </w:r>
          </w:p>
        </w:tc>
        <w:tc>
          <w:tcPr>
            <w:tcW w:w="4214" w:type="pct"/>
            <w:tcBorders>
              <w:top w:val="single" w:sz="4" w:space="0" w:color="010000"/>
            </w:tcBorders>
            <w:vAlign w:val="center"/>
          </w:tcPr>
          <w:p>
            <w:pPr>
              <w:jc w:val="left"/>
            </w:pPr>
            <w:r/>
            <w:r>
              <w:rPr>
                <w:rFonts w:hint="eastAsia"/>
                <w:color w:val="000000"/>
                <w:sz w:val="21"/>
              </w:rPr>
              <w:t>分辨率决定位置反馈的最小分辨单位（常用位数表示，如17位、19位）。绝对值编码器上电即知当前位置，无需回零，是人形机器人关节的主流选择；双编码器方案通过输出端编码器补偿减速器柔性变形，进一步提升实际控制精度。</w:t>
            </w:r>
          </w:p>
        </w:tc>
      </w:tr>
      <w:tr>
        <w:trPr>
          <w:cantSplit/>
          <w:jc w:val="center"/>
        </w:trPr>
        <w:tc>
          <w:tcPr>
            <w:tcW w:w="786" w:type="pct"/>
            <w:tcBorders>
              <w:top w:val="single" w:sz="4" w:space="0" w:color="010000"/>
            </w:tcBorders>
            <w:vAlign w:val="center"/>
          </w:tcPr>
          <w:p>
            <w:pPr>
              <w:jc w:val="left"/>
            </w:pPr>
            <w:r/>
            <w:r>
              <w:rPr>
                <w:rFonts w:hint="eastAsia"/>
                <w:color w:val="000000"/>
                <w:sz w:val="21"/>
              </w:rPr>
              <w:t>寿命与疲劳可靠性</w:t>
            </w:r>
          </w:p>
        </w:tc>
        <w:tc>
          <w:tcPr>
            <w:tcW w:w="4214" w:type="pct"/>
            <w:tcBorders>
              <w:top w:val="single" w:sz="4" w:space="0" w:color="010000"/>
            </w:tcBorders>
            <w:vAlign w:val="center"/>
          </w:tcPr>
          <w:p>
            <w:pPr>
              <w:jc w:val="left"/>
            </w:pPr>
            <w:r/>
            <w:r>
              <w:rPr>
                <w:rFonts w:hint="eastAsia"/>
                <w:color w:val="000000"/>
                <w:sz w:val="21"/>
              </w:rPr>
              <w:t>谐波减速器的寿命主要取决于柔轮的疲劳性能，柔轮壁厚通常小于1毫米，每转经历约两次交变弯曲，累计疲劳循环量级可达10的7次方，因此对材料纯净度和热处理工艺要求极高。行业通常以L10寿命（小时）和额定负载下的连续运行时间衡量。</w:t>
            </w:r>
          </w:p>
        </w:tc>
      </w:tr>
      <w:tr>
        <w:trPr>
          <w:cantSplit/>
          <w:jc w:val="center"/>
        </w:trPr>
        <w:tc>
          <w:tcPr>
            <w:tcW w:w="786" w:type="pct"/>
            <w:tcBorders>
              <w:top w:val="single" w:sz="4" w:space="0" w:color="010000"/>
            </w:tcBorders>
            <w:vAlign w:val="center"/>
          </w:tcPr>
          <w:p>
            <w:pPr>
              <w:jc w:val="left"/>
            </w:pPr>
            <w:r/>
            <w:r>
              <w:rPr>
                <w:rFonts w:hint="eastAsia"/>
                <w:color w:val="000000"/>
                <w:sz w:val="21"/>
              </w:rPr>
              <w:t>一致性与良率</w:t>
            </w:r>
          </w:p>
        </w:tc>
        <w:tc>
          <w:tcPr>
            <w:tcW w:w="4214" w:type="pct"/>
            <w:tcBorders>
              <w:top w:val="single" w:sz="4" w:space="0" w:color="010000"/>
            </w:tcBorders>
            <w:vAlign w:val="center"/>
          </w:tcPr>
          <w:p>
            <w:pPr>
              <w:jc w:val="left"/>
            </w:pPr>
            <w:r/>
            <w:r>
              <w:rPr>
                <w:rFonts w:hint="eastAsia"/>
                <w:color w:val="000000"/>
                <w:sz w:val="21"/>
              </w:rPr>
              <w:t>一致性指同一批次产品在扭矩、回差、精度和寿命上的离散程度；良率决定制造成本。在整机进入万台级量产后，竞争维度已由"单件性能指标"转向"批量一致性、交付稳定性和良率"，可复制的制造能力成为新的护城河。</w:t>
            </w:r>
          </w:p>
        </w:tc>
      </w:tr>
      <w:tr>
        <w:trPr>
          <w:cantSplit/>
          <w:jc w:val="center"/>
        </w:trPr>
        <w:tc>
          <w:tcPr>
            <w:tcW w:w="786" w:type="pct"/>
            <w:tcBorders>
              <w:top w:val="single" w:sz="4" w:space="0" w:color="010000"/>
            </w:tcBorders>
            <w:vAlign w:val="center"/>
          </w:tcPr>
          <w:p>
            <w:pPr>
              <w:jc w:val="left"/>
            </w:pPr>
            <w:r/>
            <w:r>
              <w:rPr>
                <w:rFonts w:hint="eastAsia"/>
                <w:color w:val="000000"/>
                <w:sz w:val="21"/>
              </w:rPr>
              <w:t>整机BOM成本与售价</w:t>
            </w:r>
          </w:p>
        </w:tc>
        <w:tc>
          <w:tcPr>
            <w:tcW w:w="4214" w:type="pct"/>
            <w:tcBorders>
              <w:top w:val="single" w:sz="4" w:space="0" w:color="010000"/>
            </w:tcBorders>
            <w:vAlign w:val="center"/>
          </w:tcPr>
          <w:p>
            <w:pPr>
              <w:jc w:val="left"/>
            </w:pPr>
            <w:r/>
            <w:r>
              <w:rPr>
                <w:rFonts w:hint="eastAsia"/>
                <w:color w:val="000000"/>
                <w:sz w:val="21"/>
              </w:rPr>
              <w:t>BOM成本约占整机成本的60%—70%，其中执行/传动相关环节合计占比最高。整机售价则从科研教育机型的数万元到工业全尺寸机型的数十万元不等，是判断各细分市场规模的基础。</w:t>
            </w:r>
          </w:p>
        </w:tc>
      </w:tr>
    </w:tbl>
    <w:p>
      <w:pPr>
        <w:pStyle w:val="a6"/>
      </w:pPr>
      <w:r>
        <w:rPr>
          <w:rFonts w:hint="eastAsia"/>
        </w:rPr>
        <w:t>资料来源：公开技术资料、行业白皮书及券商研究报告，本报告整理。</w:t>
      </w:r>
    </w:p>
    <w:p/>
    <w:p/>
    <w:p>
      <w:pPr>
        <w:pStyle w:val="2"/>
        <w:spacing w:before="156" w:after="156"/>
      </w:pPr>
      <w:bookmarkStart w:id="1005" w:name="_Toc900005"/>
      <w:r>
        <w:rPr>
          <w:rFonts w:hint="eastAsia"/>
          <w:b/>
        </w:rPr>
        <w:t>人形机器人产业链结构及各环节比较</w:t>
      </w:r>
      <w:bookmarkEnd w:id="1005"/>
    </w:p>
    <w:p>
      <w:pPr>
        <w:pStyle w:val="3"/>
        <w:numPr>
          <w:ilvl w:val="0"/>
          <w:numId w:val="0"/>
        </w:numPr>
        <w:spacing w:before="156" w:after="156"/>
      </w:pPr>
      <w:bookmarkStart w:id="1006" w:name="_Toc900006"/>
      <w:r>
        <w:rPr>
          <w:rFonts w:hint="eastAsia"/>
        </w:rPr>
        <w:t>2.1 产业链整体结构与价值传导</w:t>
      </w:r>
      <w:bookmarkEnd w:id="1006"/>
    </w:p>
    <w:p>
      <w:pPr>
        <w:pStyle w:val="a0"/>
      </w:pPr>
      <w:r>
        <w:rPr>
          <w:rFonts w:hint="eastAsia"/>
        </w:rPr>
        <w:t>人形机器人产业链可以划分为上游核心零部件、中游整机制造、下游应用与服务三个层次。上游提供执行、传动、感知和计算部件，中游将其组合为具备完整运动与交互能力的本体并叠加算法，下游通过科研教育、数据采集、交互服务、工业物流和展演等场景将机器人能力转化为实际付费需求。</w:t>
      </w:r>
    </w:p>
    <w:p>
      <w:pPr>
        <w:pStyle w:val="a0"/>
      </w:pPr>
      <w:r>
        <w:rPr>
          <w:rFonts w:hint="eastAsia"/>
        </w:rPr>
        <w:t>产业链的价值传导同时沿两个方向展开。成本方向上，谐波减速器、无框力矩电机、行星滚柱丝杠、编码器和芯片的价格变化直接决定整机BOM成本和终端定价；需求方向上，下游场景的付费意愿、政府和国资平台的采购节奏以及整机厂的产能规划，反向决定上游的订单规模、扩产节奏和价格谈判地位。2025—2026年，产业链两端同时出现明显变化：下游中标项目数量和金额快速上升，上游则因整机厂集中导入国产供应链而进入"量升价跌"阶段。</w:t>
      </w:r>
    </w:p>
    <w:p>
      <w:pPr>
        <w:pStyle w:val="a0"/>
      </w:pPr>
      <w:r>
        <w:rPr>
          <w:rFonts w:hint="eastAsia"/>
        </w:rPr>
        <w:t>从价值量分布看，执行与传动环节是整机中最集中的部分。据券商及第三方机构的公开测算，硬件成本约占整机成本的60%—70%，其中旋转执行器（无框力矩电机＋谐波减速器＋编码器）约占20%，线性执行器（行星滚柱丝杠＋力矩电机）约占20%，灵巧手约占15%，计算与感知约占15%，结构件与电池约占10%。按单一零部件口径，觅途咨询《2024人形机器人产业链白皮书》给出的价值占比为丝杠19.00%、无框力矩电机16.00%、减速器13.00%、力传感器11.00%、空心杯电机8.00%、轴承5.50%，可与上述功能模块口径相互印证。若按"关节模组"这一整体口径统计，据觅途咨询（M2）《2026年全球及中国人形机器人关节模组市场发展白皮书》，其在整机成本中的占比可达35%—60%；以特斯拉Optimus Gen2为例，整机硬件成本约29万元，28个一体化关节模组合计占比约54%，单套模组价格区间约4,000—6,500元。</w:t>
      </w:r>
    </w:p>
    <w:p>
      <w:pPr>
        <w:keepNext/>
        <w:jc w:val="center"/>
      </w:pPr>
      <w:r>
        <w:drawing>
          <wp:inline xmlns:a="http://schemas.openxmlformats.org/drawingml/2006/main" xmlns:pic="http://schemas.openxmlformats.org/drawingml/2006/picture">
            <wp:extent cx="5074920" cy="2375494"/>
            <wp:docPr id="1" name="Picture 1"/>
            <wp:cNvGraphicFramePr>
              <a:graphicFrameLocks noChangeAspect="1"/>
            </wp:cNvGraphicFramePr>
            <a:graphic>
              <a:graphicData uri="http://schemas.openxmlformats.org/drawingml/2006/picture">
                <pic:pic>
                  <pic:nvPicPr>
                    <pic:cNvPr id="0" name="fig3.png"/>
                    <pic:cNvPicPr/>
                  </pic:nvPicPr>
                  <pic:blipFill>
                    <a:blip r:embed="rId16"/>
                    <a:stretch>
                      <a:fillRect/>
                    </a:stretch>
                  </pic:blipFill>
                  <pic:spPr>
                    <a:xfrm>
                      <a:off x="0" y="0"/>
                      <a:ext cx="5074920" cy="2375494"/>
                    </a:xfrm>
                    <a:prstGeom prst="rect"/>
                  </pic:spPr>
                </pic:pic>
              </a:graphicData>
            </a:graphic>
          </wp:inline>
        </w:drawing>
      </w:r>
    </w:p>
    <w:p>
      <w:pPr>
        <w:jc w:val="center"/>
      </w:pPr>
      <w:r>
        <w:rPr>
          <w:rFonts w:hint="eastAsia"/>
          <w:b/>
          <w:sz w:val="21"/>
        </w:rPr>
        <w:t>图1  人形机器人整机硬件（BOM）价值量分布</w:t>
      </w:r>
    </w:p>
    <w:p>
      <w:pPr>
        <w:pStyle w:val="a6"/>
      </w:pPr>
      <w:r>
        <w:rPr>
          <w:rFonts w:hint="eastAsia"/>
        </w:rPr>
        <w:t>数据来源：券商研究报告及觅途咨询（M2）《2026年全球及中国人形机器人关节模组市场发展白皮书》等公开测算，本报告整理。各机构口径存在差异，本图用于观察价值量的相对集中度，不作为精确成本拆分依据。</w:t>
      </w:r>
    </w:p>
    <w:p>
      <w:pPr>
        <w:pStyle w:val="3"/>
        <w:numPr>
          <w:ilvl w:val="0"/>
          <w:numId w:val="0"/>
        </w:numPr>
        <w:spacing w:before="156" w:after="156"/>
      </w:pPr>
      <w:bookmarkStart w:id="1007" w:name="_Toc900007"/>
      <w:r>
        <w:rPr>
          <w:rFonts w:hint="eastAsia"/>
        </w:rPr>
        <w:t>2.2 上游核心环节（一）：谐波减速器</w:t>
      </w:r>
      <w:bookmarkEnd w:id="1007"/>
    </w:p>
    <w:p>
      <w:pPr>
        <w:pStyle w:val="a0"/>
      </w:pPr>
      <w:r>
        <w:rPr>
          <w:rFonts w:hint="eastAsia"/>
        </w:rPr>
        <w:t>谐波减速器由柔轮、刚轮和波发生器三个基本部件构成，依靠柔轮的可控弹性变形实现啮合传动，能够在单级结构中实现大减速比、近零回差和较高的扭矩密度，是人形机器人上半身精密旋转关节的主流方案。其技术壁垒主要不在结构原理，而在材料体系和精密制造：柔轮通常采用40Cr或40CrNiMo合金钢，杂质含量需控制在0.015%以下，需要专门的超纯净冶炼工艺；波发生器内部的柔性轴承需随椭圆廓形持续弹性变形，属于高度非标的专用部件；柔轮成形精度、刚轮淬火均匀性和交叉滚子轴承制造能力共同构成了国产化的主要瓶颈。</w:t>
      </w:r>
    </w:p>
    <w:p>
      <w:pPr>
        <w:pStyle w:val="a0"/>
      </w:pPr>
      <w:r>
        <w:rPr>
          <w:rFonts w:hint="eastAsia"/>
        </w:rPr>
        <w:t>市场规模方面，据观研天下（观研报告网）统计，中国谐波减速器行业市场规模由2019年的19.09亿元增长至2023年的51.53亿元，年均复合增长率约28.18%。产能方面，据高工机器人（GGII）《全球谐波减速器市场"沉浮录"》（2025年6月11日），2024年全球谐波减速器产能489.7万台，同比增长10.37%，2025年预计达600万台，基于对人形机器人赛道的长期评估，2030年全球产能有望突破1,000万台。日本哈默纳科（Harmonic Drive）长期垄断航空航天、医疗设备等高端应用，毛利率维持在50%以上。</w:t>
      </w:r>
    </w:p>
    <w:p>
      <w:pPr>
        <w:pStyle w:val="a0"/>
      </w:pPr>
      <w:r>
        <w:rPr>
          <w:rFonts w:hint="eastAsia"/>
        </w:rPr>
        <w:t>竞争格局需要区分两个口径。据GGII同一份报告，全球工业机器人用谐波减速器TOP4厂商合计份额由2023年的59.36%提升至2024年的64.13%，市场集中度持续提高；国产厂商份额由2020年的48.71%提升至2021年的55.15%（首次超过外资厂商），并进一步提升至2024年的75.11%，代表厂商为绿的谐波、来福谐波、同川科技、杉川谐波等。需要提示的是，另有二手行业资料称"国内工业机器人用谐波减速器国产化率约30%、2025年有望提升至40%"，与GGII口径差异极大，本报告采用GGII数据，并提醒该指标在不同统计边界下结论差异显著，引用前须确认口径。就单家企业而言，来福谐波在其港交所上市文件中披露，按2025年出货量计算其市场占有率为21.4%，为中国机器人谐波减速器市场第二大企业；绿的谐波为国内龙头，全球份额仅次于哈默纳科。</w:t>
      </w:r>
    </w:p>
    <w:p>
      <w:pPr>
        <w:keepNext/>
        <w:jc w:val="center"/>
      </w:pPr>
      <w:r>
        <w:drawing>
          <wp:inline xmlns:a="http://schemas.openxmlformats.org/drawingml/2006/main" xmlns:pic="http://schemas.openxmlformats.org/drawingml/2006/picture">
            <wp:extent cx="5074920" cy="2061686"/>
            <wp:docPr id="2" name="Picture 2"/>
            <wp:cNvGraphicFramePr>
              <a:graphicFrameLocks noChangeAspect="1"/>
            </wp:cNvGraphicFramePr>
            <a:graphic>
              <a:graphicData uri="http://schemas.openxmlformats.org/drawingml/2006/picture">
                <pic:pic>
                  <pic:nvPicPr>
                    <pic:cNvPr id="0" name="fig4.png"/>
                    <pic:cNvPicPr/>
                  </pic:nvPicPr>
                  <pic:blipFill>
                    <a:blip r:embed="rId17"/>
                    <a:stretch>
                      <a:fillRect/>
                    </a:stretch>
                  </pic:blipFill>
                  <pic:spPr>
                    <a:xfrm>
                      <a:off x="0" y="0"/>
                      <a:ext cx="5074920" cy="2061686"/>
                    </a:xfrm>
                    <a:prstGeom prst="rect"/>
                  </pic:spPr>
                </pic:pic>
              </a:graphicData>
            </a:graphic>
          </wp:inline>
        </w:drawing>
      </w:r>
    </w:p>
    <w:p>
      <w:pPr>
        <w:jc w:val="center"/>
      </w:pPr>
      <w:r>
        <w:rPr>
          <w:rFonts w:hint="eastAsia"/>
          <w:b/>
          <w:sz w:val="21"/>
        </w:rPr>
        <w:t>图2  谐波减速器：国产份额与市场集中度（GGII口径）</w:t>
      </w:r>
    </w:p>
    <w:p>
      <w:pPr>
        <w:pStyle w:val="a6"/>
      </w:pPr>
      <w:r>
        <w:rPr>
          <w:rFonts w:hint="eastAsia"/>
        </w:rPr>
        <w:t>数据来源：高工机器人（GGII）《全球谐波减速器市场"沉浮录"》，2025年6月11日。左图为国产厂商在谐波减速器市场的份额，右图为全球工业机器人用谐波减速器TOP4厂商合计份额，两者统计边界不同，不可直接换算。</w:t>
      </w:r>
    </w:p>
    <w:p>
      <w:pPr>
        <w:pStyle w:val="a0"/>
      </w:pPr>
      <w:r>
        <w:rPr>
          <w:rFonts w:hint="eastAsia"/>
        </w:rPr>
        <w:t>从经营层面看，谐波减速器环节正在经历典型的"量升价跌"过程。绿的谐波2025年营业总收入5.71亿元，同比增长47.31%，归母净利润1.24亿元，同比增长121.42%，全年谐波减速器及金属部件销量42.52万台，同比增长72.48%——销量增速显著高于收入增速，说明单价在下行；公司机电一体化业务收入0.74亿元，同比增长41.28%，并已推出面向具身智能场景的轻量化专用关节模组。来福谐波2023—2025年营业收入分别为9,455万元、1.08亿元和2.61亿元，谐波减速器销量由11.53万台增至29.15万台，但平均售价由795元/台降至571元/台，降幅28.2%，谐波减速器毛利率由29.9%降至24.6%，三年累计亏损，2025年归母净亏损1.71亿元。</w:t>
      </w:r>
    </w:p>
    <w:p>
      <w:pPr>
        <w:keepNext/>
        <w:jc w:val="center"/>
      </w:pPr>
      <w:r>
        <w:drawing>
          <wp:inline xmlns:a="http://schemas.openxmlformats.org/drawingml/2006/main" xmlns:pic="http://schemas.openxmlformats.org/drawingml/2006/picture">
            <wp:extent cx="5074920" cy="2061686"/>
            <wp:docPr id="3" name="Picture 3"/>
            <wp:cNvGraphicFramePr>
              <a:graphicFrameLocks noChangeAspect="1"/>
            </wp:cNvGraphicFramePr>
            <a:graphic>
              <a:graphicData uri="http://schemas.openxmlformats.org/drawingml/2006/picture">
                <pic:pic>
                  <pic:nvPicPr>
                    <pic:cNvPr id="0" name="fig5.png"/>
                    <pic:cNvPicPr/>
                  </pic:nvPicPr>
                  <pic:blipFill>
                    <a:blip r:embed="rId18"/>
                    <a:stretch>
                      <a:fillRect/>
                    </a:stretch>
                  </pic:blipFill>
                  <pic:spPr>
                    <a:xfrm>
                      <a:off x="0" y="0"/>
                      <a:ext cx="5074920" cy="2061686"/>
                    </a:xfrm>
                    <a:prstGeom prst="rect"/>
                  </pic:spPr>
                </pic:pic>
              </a:graphicData>
            </a:graphic>
          </wp:inline>
        </w:drawing>
      </w:r>
    </w:p>
    <w:p>
      <w:pPr>
        <w:jc w:val="center"/>
      </w:pPr>
      <w:r>
        <w:rPr>
          <w:rFonts w:hint="eastAsia"/>
          <w:b/>
          <w:sz w:val="21"/>
        </w:rPr>
        <w:t>图3  谐波减速器环节代表企业经营对比（2025年）</w:t>
      </w:r>
    </w:p>
    <w:p>
      <w:pPr>
        <w:pStyle w:val="a6"/>
      </w:pPr>
      <w:r>
        <w:rPr>
          <w:rFonts w:hint="eastAsia"/>
        </w:rPr>
        <w:t>数据来源：绿的谐波（688017.SH）2025年年度报告、来福谐波（03952.HK）港交所上市文件及相关媒体报道。绿的谐波销量口径为"谐波减速器及金属部件"，来福谐波为"谐波减速器"，两者口径不完全一致。</w:t>
      </w:r>
    </w:p>
    <w:p>
      <w:pPr>
        <w:pStyle w:val="a0"/>
      </w:pPr>
      <w:r>
        <w:rPr>
          <w:rFonts w:hint="eastAsia"/>
        </w:rPr>
        <w:t>对无锡巨蟹而言，谐波减速器环节的关键判断有三点：第一，人形机器人带来的增量需求真实存在但价格中枢在下移，仅靠标准品出货难以获得超额利润；第二，头部企业已在通过"减速器＋关节模组"的纵向整合抬高单客户价值量，说明单纯的部件供应商定位正在被稀释；第三，行业竞争维度已从扭矩和精度转向批量一致性、交付稳定性和良率，这对中小规模企业既是壁垒也是机会——如果能够在特定规格（如微型、超薄、非金属柔轮等差异化产品）建立稳定的批量供应能力，仍有可能形成局部优势。公开信息显示，无锡巨蟹以自研谐波减速器为核心，并具备非金属谐波减速器的制造能力，这类差异化产品在轻量化、低噪声和特殊环境应用上具有一定的技术特色。</w:t>
      </w:r>
    </w:p>
    <w:p>
      <w:pPr>
        <w:pStyle w:val="3"/>
        <w:numPr>
          <w:ilvl w:val="0"/>
          <w:numId w:val="0"/>
        </w:numPr>
        <w:spacing w:before="156" w:after="156"/>
      </w:pPr>
      <w:bookmarkStart w:id="1008" w:name="_Toc900008"/>
      <w:r>
        <w:rPr>
          <w:rFonts w:hint="eastAsia"/>
        </w:rPr>
        <w:t>2.3 上游核心环节（二）：电机、驱动器与编码器</w:t>
      </w:r>
      <w:bookmarkEnd w:id="1008"/>
    </w:p>
    <w:p>
      <w:pPr>
        <w:pStyle w:val="a0"/>
      </w:pPr>
      <w:r>
        <w:rPr>
          <w:rFonts w:hint="eastAsia"/>
        </w:rPr>
        <w:t>电机、驱动器与编码器是关节模组中除减速器外的三大核心部件，也是无锡巨蟹自研产品覆盖的环节。三者在技术路线、竞争格局和国产化程度上差异明显：电机环节国产替代进展最快、增速最高；驱动器环节标准化程度较高但小型化和高集成度产品仍有壁垒；编码器环节国产化程度最低，仍以外资品牌为主。</w:t>
      </w:r>
    </w:p>
    <w:p>
      <w:pPr>
        <w:keepNext/>
        <w:jc w:val="center"/>
      </w:pPr>
      <w:r>
        <w:rPr>
          <w:rFonts w:hint="eastAsia"/>
          <w:b/>
          <w:sz w:val="21"/>
        </w:rPr>
        <w:t>表3  人形机器人电机、驱动器与编码器环节比较</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500" w:type="pct"/>
            <w:tcBorders>
              <w:top w:val="single" w:sz="12" w:space="0" w:color="010000"/>
              <w:bottom w:val="single" w:sz="4" w:space="0" w:color="010000"/>
            </w:tcBorders>
            <w:vAlign w:val="center"/>
          </w:tcPr>
          <w:p>
            <w:pPr>
              <w:keepNext/>
              <w:jc w:val="center"/>
            </w:pPr>
            <w:r/>
            <w:r>
              <w:rPr>
                <w:rFonts w:hint="eastAsia"/>
                <w:b/>
                <w:color w:val="000000"/>
                <w:sz w:val="21"/>
              </w:rPr>
              <w:t>环节</w:t>
            </w:r>
          </w:p>
        </w:tc>
        <w:tc>
          <w:tcPr>
            <w:tcW w:w="1643" w:type="pct"/>
            <w:tcBorders>
              <w:top w:val="single" w:sz="12" w:space="0" w:color="010000"/>
              <w:bottom w:val="single" w:sz="4" w:space="0" w:color="010000"/>
            </w:tcBorders>
            <w:vAlign w:val="center"/>
          </w:tcPr>
          <w:p>
            <w:pPr>
              <w:keepNext/>
              <w:jc w:val="center"/>
            </w:pPr>
            <w:r/>
            <w:r>
              <w:rPr>
                <w:rFonts w:hint="eastAsia"/>
                <w:b/>
                <w:color w:val="000000"/>
                <w:sz w:val="21"/>
              </w:rPr>
              <w:t>主要技术路线与产品</w:t>
            </w:r>
          </w:p>
        </w:tc>
        <w:tc>
          <w:tcPr>
            <w:tcW w:w="1857" w:type="pct"/>
            <w:tcBorders>
              <w:top w:val="single" w:sz="12" w:space="0" w:color="010000"/>
              <w:bottom w:val="single" w:sz="4" w:space="0" w:color="010000"/>
            </w:tcBorders>
            <w:vAlign w:val="center"/>
          </w:tcPr>
          <w:p>
            <w:pPr>
              <w:keepNext/>
              <w:jc w:val="center"/>
            </w:pPr>
            <w:r/>
            <w:r>
              <w:rPr>
                <w:rFonts w:hint="eastAsia"/>
                <w:b/>
                <w:color w:val="000000"/>
                <w:sz w:val="21"/>
              </w:rPr>
              <w:t>竞争格局与国产化情况</w:t>
            </w:r>
          </w:p>
        </w:tc>
        <w:tc>
          <w:tcPr>
            <w:tcW w:w="1000" w:type="pct"/>
            <w:tcBorders>
              <w:top w:val="single" w:sz="12" w:space="0" w:color="010000"/>
              <w:bottom w:val="single" w:sz="4" w:space="0" w:color="010000"/>
            </w:tcBorders>
            <w:vAlign w:val="center"/>
          </w:tcPr>
          <w:p>
            <w:pPr>
              <w:keepNext/>
              <w:jc w:val="center"/>
            </w:pPr>
            <w:r/>
            <w:r>
              <w:rPr>
                <w:rFonts w:hint="eastAsia"/>
                <w:b/>
                <w:color w:val="000000"/>
                <w:sz w:val="21"/>
              </w:rPr>
              <w:t>代表性企业</w:t>
            </w:r>
          </w:p>
        </w:tc>
      </w:tr>
      <w:tr>
        <w:trPr>
          <w:cantSplit/>
          <w:jc w:val="center"/>
        </w:trPr>
        <w:tc>
          <w:tcPr>
            <w:tcW w:w="500" w:type="pct"/>
            <w:tcBorders>
              <w:top w:val="single" w:sz="4" w:space="0" w:color="010000"/>
            </w:tcBorders>
            <w:vAlign w:val="center"/>
          </w:tcPr>
          <w:p>
            <w:pPr>
              <w:jc w:val="left"/>
            </w:pPr>
            <w:r/>
            <w:r>
              <w:rPr>
                <w:rFonts w:hint="eastAsia"/>
                <w:color w:val="000000"/>
                <w:sz w:val="21"/>
              </w:rPr>
              <w:t>无框力矩电机</w:t>
            </w:r>
          </w:p>
        </w:tc>
        <w:tc>
          <w:tcPr>
            <w:tcW w:w="1643" w:type="pct"/>
            <w:tcBorders>
              <w:top w:val="single" w:sz="4" w:space="0" w:color="010000"/>
            </w:tcBorders>
            <w:vAlign w:val="center"/>
          </w:tcPr>
          <w:p>
            <w:pPr>
              <w:jc w:val="left"/>
            </w:pPr>
            <w:r/>
            <w:r>
              <w:rPr>
                <w:rFonts w:hint="eastAsia"/>
                <w:color w:val="000000"/>
                <w:sz w:val="21"/>
              </w:rPr>
              <w:t>取消外壳和轴承的定转子组件，由客户直接集成进关节结构，可显著缩短轴向长度、提高扭矩密度，是人形机器人旋转关节的主流电机方案。</w:t>
            </w:r>
          </w:p>
        </w:tc>
        <w:tc>
          <w:tcPr>
            <w:tcW w:w="1857" w:type="pct"/>
            <w:tcBorders>
              <w:top w:val="single" w:sz="4" w:space="0" w:color="010000"/>
            </w:tcBorders>
            <w:vAlign w:val="center"/>
          </w:tcPr>
          <w:p>
            <w:pPr>
              <w:jc w:val="left"/>
            </w:pPr>
            <w:r/>
            <w:r>
              <w:rPr>
                <w:rFonts w:hint="eastAsia"/>
                <w:color w:val="000000"/>
                <w:sz w:val="21"/>
              </w:rPr>
              <w:t>国际厂商起步早、产品谱系完整；国内厂商在2025年实现规模放量，增速远高于行业。据公开数据，2025年雷赛智能无框力矩电机交付超12万台，实现20倍以上增长；步科股份2025年无框力矩电机销量约8.3万台，同比增长247.84%，2026年一季度约3.5万台，同比增长246.28%。</w:t>
            </w:r>
          </w:p>
        </w:tc>
        <w:tc>
          <w:tcPr>
            <w:tcW w:w="1000" w:type="pct"/>
            <w:tcBorders>
              <w:top w:val="single" w:sz="4" w:space="0" w:color="010000"/>
            </w:tcBorders>
            <w:vAlign w:val="center"/>
          </w:tcPr>
          <w:p>
            <w:pPr>
              <w:jc w:val="left"/>
            </w:pPr>
            <w:r/>
            <w:r>
              <w:rPr>
                <w:rFonts w:hint="eastAsia"/>
                <w:color w:val="000000"/>
                <w:sz w:val="21"/>
              </w:rPr>
              <w:t>国际：科尔摩根、威腾斯坦、尼得科、派克汉尼汾；国内：步科股份、雷赛智能、昊志机电、禾川科技等。</w:t>
            </w:r>
          </w:p>
        </w:tc>
      </w:tr>
      <w:tr>
        <w:trPr>
          <w:cantSplit/>
          <w:jc w:val="center"/>
        </w:trPr>
        <w:tc>
          <w:tcPr>
            <w:tcW w:w="500" w:type="pct"/>
            <w:tcBorders>
              <w:top w:val="single" w:sz="4" w:space="0" w:color="010000"/>
            </w:tcBorders>
            <w:vAlign w:val="center"/>
          </w:tcPr>
          <w:p>
            <w:pPr>
              <w:jc w:val="left"/>
            </w:pPr>
            <w:r/>
            <w:r>
              <w:rPr>
                <w:rFonts w:hint="eastAsia"/>
                <w:color w:val="000000"/>
                <w:sz w:val="21"/>
              </w:rPr>
              <w:t>空心杯电机</w:t>
            </w:r>
          </w:p>
        </w:tc>
        <w:tc>
          <w:tcPr>
            <w:tcW w:w="1643" w:type="pct"/>
            <w:tcBorders>
              <w:top w:val="single" w:sz="4" w:space="0" w:color="010000"/>
            </w:tcBorders>
            <w:vAlign w:val="center"/>
          </w:tcPr>
          <w:p>
            <w:pPr>
              <w:jc w:val="left"/>
            </w:pPr>
            <w:r/>
            <w:r>
              <w:rPr>
                <w:rFonts w:hint="eastAsia"/>
                <w:color w:val="000000"/>
                <w:sz w:val="21"/>
              </w:rPr>
              <w:t>无铁芯绕组结构，转动惯量小、响应快、无齿槽效应，主要用于灵巧手和末端微型执行器。</w:t>
            </w:r>
          </w:p>
        </w:tc>
        <w:tc>
          <w:tcPr>
            <w:tcW w:w="1857" w:type="pct"/>
            <w:tcBorders>
              <w:top w:val="single" w:sz="4" w:space="0" w:color="010000"/>
            </w:tcBorders>
            <w:vAlign w:val="center"/>
          </w:tcPr>
          <w:p>
            <w:pPr>
              <w:jc w:val="left"/>
            </w:pPr>
            <w:r/>
            <w:r>
              <w:rPr>
                <w:rFonts w:hint="eastAsia"/>
                <w:color w:val="000000"/>
                <w:sz w:val="21"/>
              </w:rPr>
              <w:t>国内产能已具备规模，鸣志电器为国内龙头，其高功率密度无刷无齿槽电机越南产能预计2026年四季度投产；拓邦股份空心杯电机年产能超百万台。</w:t>
            </w:r>
          </w:p>
        </w:tc>
        <w:tc>
          <w:tcPr>
            <w:tcW w:w="1000" w:type="pct"/>
            <w:tcBorders>
              <w:top w:val="single" w:sz="4" w:space="0" w:color="010000"/>
            </w:tcBorders>
            <w:vAlign w:val="center"/>
          </w:tcPr>
          <w:p>
            <w:pPr>
              <w:jc w:val="left"/>
            </w:pPr>
            <w:r/>
            <w:r>
              <w:rPr>
                <w:rFonts w:hint="eastAsia"/>
                <w:color w:val="000000"/>
                <w:sz w:val="21"/>
              </w:rPr>
              <w:t>鸣志电器、拓邦股份、鼎智科技、伟创电气、昊升电机等。</w:t>
            </w:r>
          </w:p>
        </w:tc>
      </w:tr>
      <w:tr>
        <w:trPr>
          <w:cantSplit/>
          <w:jc w:val="center"/>
        </w:trPr>
        <w:tc>
          <w:tcPr>
            <w:tcW w:w="500" w:type="pct"/>
            <w:tcBorders>
              <w:top w:val="single" w:sz="4" w:space="0" w:color="010000"/>
            </w:tcBorders>
            <w:vAlign w:val="center"/>
          </w:tcPr>
          <w:p>
            <w:pPr>
              <w:jc w:val="left"/>
            </w:pPr>
            <w:r/>
            <w:r>
              <w:rPr>
                <w:rFonts w:hint="eastAsia"/>
                <w:color w:val="000000"/>
                <w:sz w:val="21"/>
              </w:rPr>
              <w:t>关节驱动器</w:t>
            </w:r>
          </w:p>
        </w:tc>
        <w:tc>
          <w:tcPr>
            <w:tcW w:w="1643" w:type="pct"/>
            <w:tcBorders>
              <w:top w:val="single" w:sz="4" w:space="0" w:color="010000"/>
            </w:tcBorders>
            <w:vAlign w:val="center"/>
          </w:tcPr>
          <w:p>
            <w:pPr>
              <w:jc w:val="left"/>
            </w:pPr>
            <w:r/>
            <w:r>
              <w:rPr>
                <w:rFonts w:hint="eastAsia"/>
                <w:color w:val="000000"/>
                <w:sz w:val="21"/>
              </w:rPr>
              <w:t>完成电流采样、功率放大、力矩闭环和总线通信。人形机器人普遍采用低压直流母线，对驱动器的体积、功率密度、散热和总线实时性要求高，趋势是与电机、编码器高度一体化。</w:t>
            </w:r>
          </w:p>
        </w:tc>
        <w:tc>
          <w:tcPr>
            <w:tcW w:w="1857" w:type="pct"/>
            <w:tcBorders>
              <w:top w:val="single" w:sz="4" w:space="0" w:color="010000"/>
            </w:tcBorders>
            <w:vAlign w:val="center"/>
          </w:tcPr>
          <w:p>
            <w:pPr>
              <w:jc w:val="left"/>
            </w:pPr>
            <w:r/>
            <w:r>
              <w:rPr>
                <w:rFonts w:hint="eastAsia"/>
                <w:color w:val="000000"/>
                <w:sz w:val="21"/>
              </w:rPr>
              <w:t>标准工业伺服驱动器国产化程度已较高，但适配人形机器人的微型低压、高集成驱动器仍在快速迭代，多数由关节模组厂商或整机厂自研，形成"随模组走"的供应特征。</w:t>
            </w:r>
          </w:p>
        </w:tc>
        <w:tc>
          <w:tcPr>
            <w:tcW w:w="1000" w:type="pct"/>
            <w:tcBorders>
              <w:top w:val="single" w:sz="4" w:space="0" w:color="010000"/>
            </w:tcBorders>
            <w:vAlign w:val="center"/>
          </w:tcPr>
          <w:p>
            <w:pPr>
              <w:jc w:val="left"/>
            </w:pPr>
            <w:r/>
            <w:r>
              <w:rPr>
                <w:rFonts w:hint="eastAsia"/>
                <w:color w:val="000000"/>
                <w:sz w:val="21"/>
              </w:rPr>
              <w:t>汇川技术、雷赛智能、步科股份、英威腾、蓝海华腾等工业厂商；无锡巨蟹等模组厂商自研微型低压驱动器。</w:t>
            </w:r>
          </w:p>
        </w:tc>
      </w:tr>
      <w:tr>
        <w:trPr>
          <w:cantSplit/>
          <w:jc w:val="center"/>
        </w:trPr>
        <w:tc>
          <w:tcPr>
            <w:tcW w:w="500" w:type="pct"/>
            <w:tcBorders>
              <w:top w:val="single" w:sz="4" w:space="0" w:color="010000"/>
            </w:tcBorders>
            <w:vAlign w:val="center"/>
          </w:tcPr>
          <w:p>
            <w:pPr>
              <w:jc w:val="left"/>
            </w:pPr>
            <w:r/>
            <w:r>
              <w:rPr>
                <w:rFonts w:hint="eastAsia"/>
                <w:color w:val="000000"/>
                <w:sz w:val="21"/>
              </w:rPr>
              <w:t>编码器</w:t>
            </w:r>
          </w:p>
        </w:tc>
        <w:tc>
          <w:tcPr>
            <w:tcW w:w="1643" w:type="pct"/>
            <w:tcBorders>
              <w:top w:val="single" w:sz="4" w:space="0" w:color="010000"/>
            </w:tcBorders>
            <w:vAlign w:val="center"/>
          </w:tcPr>
          <w:p>
            <w:pPr>
              <w:jc w:val="left"/>
            </w:pPr>
            <w:r/>
            <w:r>
              <w:rPr>
                <w:rFonts w:hint="eastAsia"/>
                <w:color w:val="000000"/>
                <w:sz w:val="21"/>
              </w:rPr>
              <w:t>分为光电式与磁电式，按输出分为增量式与绝对值式。人形机器人关节普遍采用双编码器方案（电机端＋输出端），单机用量大。据测算，特斯拉Optimus单台在旋转关节、线性关节和灵巧手上合计使用约54个编码器；编码器在单个关节模组成本中占比约10%—20%，在整机硬件成本中占比约7%—8%。</w:t>
            </w:r>
          </w:p>
        </w:tc>
        <w:tc>
          <w:tcPr>
            <w:tcW w:w="1857" w:type="pct"/>
            <w:tcBorders>
              <w:top w:val="single" w:sz="4" w:space="0" w:color="010000"/>
            </w:tcBorders>
            <w:vAlign w:val="center"/>
          </w:tcPr>
          <w:p>
            <w:pPr>
              <w:jc w:val="left"/>
            </w:pPr>
            <w:r/>
            <w:r>
              <w:rPr>
                <w:rFonts w:hint="eastAsia"/>
                <w:color w:val="000000"/>
                <w:sz w:val="21"/>
              </w:rPr>
              <w:t>是核心零部件中国产化程度最低的环节之一。据MIR DATABANK，2024年中国编码器销量前五为多摩川、海德汉、禹衡光学、SICK和堡盟，其中仅禹衡光学为内资企业。奥普光电通过子公司禹衡光学成为国内最大的高端编码器生产商，其高端光栅编码器成本较进口产品低约20%—30%。</w:t>
            </w:r>
          </w:p>
        </w:tc>
        <w:tc>
          <w:tcPr>
            <w:tcW w:w="1000" w:type="pct"/>
            <w:tcBorders>
              <w:top w:val="single" w:sz="4" w:space="0" w:color="010000"/>
            </w:tcBorders>
            <w:vAlign w:val="center"/>
          </w:tcPr>
          <w:p>
            <w:pPr>
              <w:jc w:val="left"/>
            </w:pPr>
            <w:r/>
            <w:r>
              <w:rPr>
                <w:rFonts w:hint="eastAsia"/>
                <w:color w:val="000000"/>
                <w:sz w:val="21"/>
              </w:rPr>
              <w:t>国际：多摩川、海德汉、SICK、堡盟、雷尼绍；国内：奥普光电（禹衡光学）、长春汇成、无锡巨蟹（自研关节用编码器）等。</w:t>
            </w:r>
          </w:p>
        </w:tc>
      </w:tr>
    </w:tbl>
    <w:p>
      <w:pPr>
        <w:pStyle w:val="a6"/>
      </w:pPr>
      <w:r>
        <w:rPr>
          <w:rFonts w:hint="eastAsia"/>
        </w:rPr>
        <w:t>数据来源：MIR DATABANK、各公司公开披露及投资者交流记录、行业媒体报道，本报告整理。</w:t>
      </w:r>
    </w:p>
    <w:p>
      <w:pPr>
        <w:pStyle w:val="a0"/>
      </w:pPr>
      <w:r>
        <w:rPr>
          <w:rFonts w:hint="eastAsia"/>
        </w:rPr>
        <w:t>从经营模式看，电机和编码器环节的规模效应明显，头部企业通过标准化产品和产能扩张摊薄成本；驱动器环节则更依赖与整机控制架构的深度耦合，单独销售的溢价空间有限，更多作为关节模组的组成部分实现价值。这一特征解释了为什么以谐波减速器起家的企业普遍向"减速器＋驱动＋编码器＋电机"的一体化模组延伸——把三个单独议价能力有限的部件，通过集成转化为一个具备系统性能承诺的整体产品。</w:t>
      </w:r>
    </w:p>
    <w:p>
      <w:pPr>
        <w:pStyle w:val="3"/>
        <w:numPr>
          <w:ilvl w:val="0"/>
          <w:numId w:val="0"/>
        </w:numPr>
        <w:spacing w:before="156" w:after="156"/>
      </w:pPr>
      <w:bookmarkStart w:id="1009" w:name="_Toc900009"/>
      <w:r>
        <w:rPr>
          <w:rFonts w:hint="eastAsia"/>
        </w:rPr>
        <w:t>2.4 上游核心环节（三）：一体化动力关节模组</w:t>
      </w:r>
      <w:bookmarkEnd w:id="1009"/>
    </w:p>
    <w:p>
      <w:pPr>
        <w:pStyle w:val="a0"/>
      </w:pPr>
      <w:r>
        <w:rPr>
          <w:rFonts w:hint="eastAsia"/>
        </w:rPr>
        <w:t>一体化动力关节模组是无锡巨蟹的核心产品，也是当前人形机器人产业链中价值量最高、竞争最激烈的环节。据行业白皮书统计，2025年全球关节模组需求约72万个，其中国产人形整机的需求占约70%；2026年全球头部整机企业合计规划产能突破10万台，实际交付预计4万—6万台，对应关节模组需求将同步放大。关节模组在整机BOM成本中占比达35%—60%，是名副其实的"大头"。</w:t>
      </w:r>
    </w:p>
    <w:p>
      <w:pPr>
        <w:pStyle w:val="a0"/>
      </w:pPr>
      <w:r>
        <w:rPr>
          <w:rFonts w:hint="eastAsia"/>
        </w:rPr>
        <w:t>技术路线上，行业正在收敛为混合架构：上半身精密关节以"谐波减速器方案"为主，下肢高动态关节以"准直驱（QDD）方案"为主，成本敏感场景使用行星减速方案。据行业白皮书判断，这一混合架构将成为中长期主流，准直驱方案已在2026年于宇树、智元等主流机型上大规模落地。这意味着谐波路线的模组厂商需要在"精度、扭矩密度、轻量化"上持续做深，而不是与准直驱在下肢正面竞争。</w:t>
      </w:r>
    </w:p>
    <w:p>
      <w:pPr>
        <w:pStyle w:val="a0"/>
      </w:pPr>
      <w:r>
        <w:rPr>
          <w:rFonts w:hint="eastAsia"/>
        </w:rPr>
        <w:t>竞争格局上，关节模组环节参与者众多、来源复杂，大致可分为四类：一是由减速器企业向上集成（绿的谐波、来福谐波、中大力德、无锡巨蟹等）；二是由汽车零部件企业跨界切入，依托规模制造和成本控制能力（拓普集团、三花智控、震裕科技等）；三是由电机/运控企业延伸（鸣志电器、步科股份、雷赛智能、兆威机电等）；四是整机厂自研自供（宇树、智元、优必选等头部整机企业均具备一定的关节自研能力）。据行业白皮书预测，到2030年全球市场将形成5—8家头部企业占据80%以上份额的格局，缺乏核心技术和量产交付能力的中小厂商将逐步被淘汰。</w:t>
      </w:r>
    </w:p>
    <w:p>
      <w:pPr>
        <w:keepNext/>
        <w:jc w:val="center"/>
      </w:pPr>
      <w:r>
        <w:rPr>
          <w:rFonts w:hint="eastAsia"/>
          <w:b/>
          <w:sz w:val="21"/>
        </w:rPr>
        <w:t>表4  人形机器人一体化关节模组环节参与者类型比较</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786" w:type="pct"/>
            <w:tcBorders>
              <w:top w:val="single" w:sz="12" w:space="0" w:color="010000"/>
              <w:bottom w:val="single" w:sz="4" w:space="0" w:color="010000"/>
            </w:tcBorders>
            <w:vAlign w:val="center"/>
          </w:tcPr>
          <w:p>
            <w:pPr>
              <w:keepNext/>
              <w:jc w:val="center"/>
            </w:pPr>
            <w:r/>
            <w:r>
              <w:rPr>
                <w:rFonts w:hint="eastAsia"/>
                <w:b/>
                <w:color w:val="000000"/>
                <w:sz w:val="21"/>
              </w:rPr>
              <w:t>参与者类型</w:t>
            </w:r>
          </w:p>
        </w:tc>
        <w:tc>
          <w:tcPr>
            <w:tcW w:w="1929" w:type="pct"/>
            <w:tcBorders>
              <w:top w:val="single" w:sz="12" w:space="0" w:color="010000"/>
              <w:bottom w:val="single" w:sz="4" w:space="0" w:color="010000"/>
            </w:tcBorders>
            <w:vAlign w:val="center"/>
          </w:tcPr>
          <w:p>
            <w:pPr>
              <w:keepNext/>
              <w:jc w:val="center"/>
            </w:pPr>
            <w:r/>
            <w:r>
              <w:rPr>
                <w:rFonts w:hint="eastAsia"/>
                <w:b/>
                <w:color w:val="000000"/>
                <w:sz w:val="21"/>
              </w:rPr>
              <w:t>切入逻辑与优势</w:t>
            </w:r>
          </w:p>
        </w:tc>
        <w:tc>
          <w:tcPr>
            <w:tcW w:w="1357" w:type="pct"/>
            <w:tcBorders>
              <w:top w:val="single" w:sz="12" w:space="0" w:color="010000"/>
              <w:bottom w:val="single" w:sz="4" w:space="0" w:color="010000"/>
            </w:tcBorders>
            <w:vAlign w:val="center"/>
          </w:tcPr>
          <w:p>
            <w:pPr>
              <w:keepNext/>
              <w:jc w:val="center"/>
            </w:pPr>
            <w:r/>
            <w:r>
              <w:rPr>
                <w:rFonts w:hint="eastAsia"/>
                <w:b/>
                <w:color w:val="000000"/>
                <w:sz w:val="21"/>
              </w:rPr>
              <w:t>主要风险</w:t>
            </w:r>
          </w:p>
        </w:tc>
        <w:tc>
          <w:tcPr>
            <w:tcW w:w="929" w:type="pct"/>
            <w:tcBorders>
              <w:top w:val="single" w:sz="12" w:space="0" w:color="010000"/>
              <w:bottom w:val="single" w:sz="4" w:space="0" w:color="010000"/>
            </w:tcBorders>
            <w:vAlign w:val="center"/>
          </w:tcPr>
          <w:p>
            <w:pPr>
              <w:keepNext/>
              <w:jc w:val="center"/>
            </w:pPr>
            <w:r/>
            <w:r>
              <w:rPr>
                <w:rFonts w:hint="eastAsia"/>
                <w:b/>
                <w:color w:val="000000"/>
                <w:sz w:val="21"/>
              </w:rPr>
              <w:t>代表性企业</w:t>
            </w:r>
          </w:p>
        </w:tc>
      </w:tr>
      <w:tr>
        <w:trPr>
          <w:cantSplit/>
          <w:jc w:val="center"/>
        </w:trPr>
        <w:tc>
          <w:tcPr>
            <w:tcW w:w="786" w:type="pct"/>
            <w:tcBorders>
              <w:top w:val="single" w:sz="4" w:space="0" w:color="010000"/>
            </w:tcBorders>
            <w:vAlign w:val="center"/>
          </w:tcPr>
          <w:p>
            <w:pPr>
              <w:jc w:val="left"/>
            </w:pPr>
            <w:r/>
            <w:r>
              <w:rPr>
                <w:rFonts w:hint="eastAsia"/>
                <w:color w:val="000000"/>
                <w:sz w:val="21"/>
              </w:rPr>
              <w:t>减速器企业向上集成</w:t>
            </w:r>
          </w:p>
        </w:tc>
        <w:tc>
          <w:tcPr>
            <w:tcW w:w="1929" w:type="pct"/>
            <w:tcBorders>
              <w:top w:val="single" w:sz="4" w:space="0" w:color="010000"/>
            </w:tcBorders>
            <w:vAlign w:val="center"/>
          </w:tcPr>
          <w:p>
            <w:pPr>
              <w:jc w:val="left"/>
            </w:pPr>
            <w:r/>
            <w:r>
              <w:rPr>
                <w:rFonts w:hint="eastAsia"/>
                <w:color w:val="000000"/>
                <w:sz w:val="21"/>
              </w:rPr>
              <w:t>掌握模组中壁垒最高的减速器环节，向下集成电机、编码器和驱动的边际成本相对可控；能够以整体性能指标（扭矩密度、精度、寿命）对外承诺，摆脱单一部件的价格竞争。</w:t>
            </w:r>
          </w:p>
        </w:tc>
        <w:tc>
          <w:tcPr>
            <w:tcW w:w="1357" w:type="pct"/>
            <w:tcBorders>
              <w:top w:val="single" w:sz="4" w:space="0" w:color="010000"/>
            </w:tcBorders>
            <w:vAlign w:val="center"/>
          </w:tcPr>
          <w:p>
            <w:pPr>
              <w:jc w:val="left"/>
            </w:pPr>
            <w:r/>
            <w:r>
              <w:rPr>
                <w:rFonts w:hint="eastAsia"/>
                <w:color w:val="000000"/>
                <w:sz w:val="21"/>
              </w:rPr>
              <w:t>需要补齐电控、软件和系统标定能力；集成后可能与原有减速器客户（模组厂/整机厂）形成竞争。</w:t>
            </w:r>
          </w:p>
        </w:tc>
        <w:tc>
          <w:tcPr>
            <w:tcW w:w="929" w:type="pct"/>
            <w:tcBorders>
              <w:top w:val="single" w:sz="4" w:space="0" w:color="010000"/>
            </w:tcBorders>
            <w:vAlign w:val="center"/>
          </w:tcPr>
          <w:p>
            <w:pPr>
              <w:jc w:val="left"/>
            </w:pPr>
            <w:r/>
            <w:r>
              <w:rPr>
                <w:rFonts w:hint="eastAsia"/>
                <w:color w:val="000000"/>
                <w:sz w:val="21"/>
              </w:rPr>
              <w:t>绿的谐波、来福谐波、中大力德、无锡巨蟹</w:t>
            </w:r>
          </w:p>
        </w:tc>
      </w:tr>
      <w:tr>
        <w:trPr>
          <w:cantSplit/>
          <w:jc w:val="center"/>
        </w:trPr>
        <w:tc>
          <w:tcPr>
            <w:tcW w:w="786" w:type="pct"/>
            <w:tcBorders>
              <w:top w:val="single" w:sz="4" w:space="0" w:color="010000"/>
            </w:tcBorders>
            <w:vAlign w:val="center"/>
          </w:tcPr>
          <w:p>
            <w:pPr>
              <w:jc w:val="left"/>
            </w:pPr>
            <w:r/>
            <w:r>
              <w:rPr>
                <w:rFonts w:hint="eastAsia"/>
                <w:color w:val="000000"/>
                <w:sz w:val="21"/>
              </w:rPr>
              <w:t>汽车零部件企业跨界</w:t>
            </w:r>
          </w:p>
        </w:tc>
        <w:tc>
          <w:tcPr>
            <w:tcW w:w="1929" w:type="pct"/>
            <w:tcBorders>
              <w:top w:val="single" w:sz="4" w:space="0" w:color="010000"/>
            </w:tcBorders>
            <w:vAlign w:val="center"/>
          </w:tcPr>
          <w:p>
            <w:pPr>
              <w:jc w:val="left"/>
            </w:pPr>
            <w:r/>
            <w:r>
              <w:rPr>
                <w:rFonts w:hint="eastAsia"/>
                <w:color w:val="000000"/>
                <w:sz w:val="21"/>
              </w:rPr>
              <w:t>具备大规模精密制造、成本控制和主机厂配套经验，适合承接整机厂的降本和产能爬坡需求；资金实力强，可承受长周期投入。</w:t>
            </w:r>
          </w:p>
        </w:tc>
        <w:tc>
          <w:tcPr>
            <w:tcW w:w="1357" w:type="pct"/>
            <w:tcBorders>
              <w:top w:val="single" w:sz="4" w:space="0" w:color="010000"/>
            </w:tcBorders>
            <w:vAlign w:val="center"/>
          </w:tcPr>
          <w:p>
            <w:pPr>
              <w:jc w:val="left"/>
            </w:pPr>
            <w:r/>
            <w:r>
              <w:rPr>
                <w:rFonts w:hint="eastAsia"/>
                <w:color w:val="000000"/>
                <w:sz w:val="21"/>
              </w:rPr>
              <w:t>对精密传动和低速高精度控制的积累相对较薄；产品定义能力更多依赖客户。</w:t>
            </w:r>
          </w:p>
        </w:tc>
        <w:tc>
          <w:tcPr>
            <w:tcW w:w="929" w:type="pct"/>
            <w:tcBorders>
              <w:top w:val="single" w:sz="4" w:space="0" w:color="010000"/>
            </w:tcBorders>
            <w:vAlign w:val="center"/>
          </w:tcPr>
          <w:p>
            <w:pPr>
              <w:jc w:val="left"/>
            </w:pPr>
            <w:r/>
            <w:r>
              <w:rPr>
                <w:rFonts w:hint="eastAsia"/>
                <w:color w:val="000000"/>
                <w:sz w:val="21"/>
              </w:rPr>
              <w:t>拓普集团、三花智控、震裕科技</w:t>
            </w:r>
          </w:p>
        </w:tc>
      </w:tr>
      <w:tr>
        <w:trPr>
          <w:cantSplit/>
          <w:jc w:val="center"/>
        </w:trPr>
        <w:tc>
          <w:tcPr>
            <w:tcW w:w="786" w:type="pct"/>
            <w:tcBorders>
              <w:top w:val="single" w:sz="4" w:space="0" w:color="010000"/>
            </w:tcBorders>
            <w:vAlign w:val="center"/>
          </w:tcPr>
          <w:p>
            <w:pPr>
              <w:jc w:val="left"/>
            </w:pPr>
            <w:r/>
            <w:r>
              <w:rPr>
                <w:rFonts w:hint="eastAsia"/>
                <w:color w:val="000000"/>
                <w:sz w:val="21"/>
              </w:rPr>
              <w:t>电机与运控企业延伸</w:t>
            </w:r>
          </w:p>
        </w:tc>
        <w:tc>
          <w:tcPr>
            <w:tcW w:w="1929" w:type="pct"/>
            <w:tcBorders>
              <w:top w:val="single" w:sz="4" w:space="0" w:color="010000"/>
            </w:tcBorders>
            <w:vAlign w:val="center"/>
          </w:tcPr>
          <w:p>
            <w:pPr>
              <w:jc w:val="left"/>
            </w:pPr>
            <w:r/>
            <w:r>
              <w:rPr>
                <w:rFonts w:hint="eastAsia"/>
                <w:color w:val="000000"/>
                <w:sz w:val="21"/>
              </w:rPr>
              <w:t>电机和驱动是模组中的高价值部件，向模组延伸可提升单客户价值量；具备现成的批量制造和渠道体系。</w:t>
            </w:r>
          </w:p>
        </w:tc>
        <w:tc>
          <w:tcPr>
            <w:tcW w:w="1357" w:type="pct"/>
            <w:tcBorders>
              <w:top w:val="single" w:sz="4" w:space="0" w:color="010000"/>
            </w:tcBorders>
            <w:vAlign w:val="center"/>
          </w:tcPr>
          <w:p>
            <w:pPr>
              <w:jc w:val="left"/>
            </w:pPr>
            <w:r/>
            <w:r>
              <w:rPr>
                <w:rFonts w:hint="eastAsia"/>
                <w:color w:val="000000"/>
                <w:sz w:val="21"/>
              </w:rPr>
              <w:t>减速器多需外购，模组的核心壁垒环节受制于人；同质化风险较高。</w:t>
            </w:r>
          </w:p>
        </w:tc>
        <w:tc>
          <w:tcPr>
            <w:tcW w:w="929" w:type="pct"/>
            <w:tcBorders>
              <w:top w:val="single" w:sz="4" w:space="0" w:color="010000"/>
            </w:tcBorders>
            <w:vAlign w:val="center"/>
          </w:tcPr>
          <w:p>
            <w:pPr>
              <w:jc w:val="left"/>
            </w:pPr>
            <w:r/>
            <w:r>
              <w:rPr>
                <w:rFonts w:hint="eastAsia"/>
                <w:color w:val="000000"/>
                <w:sz w:val="21"/>
              </w:rPr>
              <w:t>鸣志电器、步科股份、雷赛智能、兆威机电</w:t>
            </w:r>
          </w:p>
        </w:tc>
      </w:tr>
      <w:tr>
        <w:trPr>
          <w:cantSplit/>
          <w:jc w:val="center"/>
        </w:trPr>
        <w:tc>
          <w:tcPr>
            <w:tcW w:w="786" w:type="pct"/>
            <w:tcBorders>
              <w:top w:val="single" w:sz="4" w:space="0" w:color="010000"/>
            </w:tcBorders>
            <w:vAlign w:val="center"/>
          </w:tcPr>
          <w:p>
            <w:pPr>
              <w:jc w:val="left"/>
            </w:pPr>
            <w:r/>
            <w:r>
              <w:rPr>
                <w:rFonts w:hint="eastAsia"/>
                <w:color w:val="000000"/>
                <w:sz w:val="21"/>
              </w:rPr>
              <w:t>整机厂自研自供</w:t>
            </w:r>
          </w:p>
        </w:tc>
        <w:tc>
          <w:tcPr>
            <w:tcW w:w="1929" w:type="pct"/>
            <w:tcBorders>
              <w:top w:val="single" w:sz="4" w:space="0" w:color="010000"/>
            </w:tcBorders>
            <w:vAlign w:val="center"/>
          </w:tcPr>
          <w:p>
            <w:pPr>
              <w:jc w:val="left"/>
            </w:pPr>
            <w:r/>
            <w:r>
              <w:rPr>
                <w:rFonts w:hint="eastAsia"/>
                <w:color w:val="000000"/>
                <w:sz w:val="21"/>
              </w:rPr>
              <w:t>对本体结构和控制架构理解最深，可实现关节与整机的联合优化；有利于成本控制和供应安全。</w:t>
            </w:r>
          </w:p>
        </w:tc>
        <w:tc>
          <w:tcPr>
            <w:tcW w:w="1357" w:type="pct"/>
            <w:tcBorders>
              <w:top w:val="single" w:sz="4" w:space="0" w:color="010000"/>
            </w:tcBorders>
            <w:vAlign w:val="center"/>
          </w:tcPr>
          <w:p>
            <w:pPr>
              <w:jc w:val="left"/>
            </w:pPr>
            <w:r/>
            <w:r>
              <w:rPr>
                <w:rFonts w:hint="eastAsia"/>
                <w:color w:val="000000"/>
                <w:sz w:val="21"/>
              </w:rPr>
              <w:t>自研投入大、规格分散，难以形成对外的规模效应；通常仍需外部供应商补充产能和特殊规格。</w:t>
            </w:r>
          </w:p>
        </w:tc>
        <w:tc>
          <w:tcPr>
            <w:tcW w:w="929" w:type="pct"/>
            <w:tcBorders>
              <w:top w:val="single" w:sz="4" w:space="0" w:color="010000"/>
            </w:tcBorders>
            <w:vAlign w:val="center"/>
          </w:tcPr>
          <w:p>
            <w:pPr>
              <w:jc w:val="left"/>
            </w:pPr>
            <w:r/>
            <w:r>
              <w:rPr>
                <w:rFonts w:hint="eastAsia"/>
                <w:color w:val="000000"/>
                <w:sz w:val="21"/>
              </w:rPr>
              <w:t>宇树科技、智元机器人、优必选</w:t>
            </w:r>
          </w:p>
        </w:tc>
      </w:tr>
    </w:tbl>
    <w:p>
      <w:pPr>
        <w:pStyle w:val="a6"/>
      </w:pPr>
      <w:r>
        <w:rPr>
          <w:rFonts w:hint="eastAsia"/>
        </w:rPr>
        <w:t>资料来源：行业白皮书、各公司公开披露及公开新闻报道，本报告整理。</w:t>
      </w:r>
    </w:p>
    <w:p>
      <w:pPr>
        <w:pStyle w:val="a0"/>
      </w:pPr>
      <w:r>
        <w:rPr>
          <w:rFonts w:hint="eastAsia"/>
        </w:rPr>
        <w:t>无锡巨蟹在这一环节的定位属于第一类。据公开资料，公司成立于2019年4月26日，位于无锡，创始人赵伟为东南大学仪器科学与工程学院2016级博士，公司拥有约8,000平方米研制基地，系江苏省重点智能制造企业。公司以谐波减速器为核心，同时自研微型低压驱动器、编码器与力传感器，并将上述部件集成为可直接装配的人形关节模组；产品体系包含R48、R58、R68、R83、R102、R120六大系列，覆盖头部、肩部、腕部、腰部、髋部等多自由度场景，全系标配双编码器。以2025年推出的R48-Lite集成式谐波减速关节模组为例，体积为Ø48×45.5毫米，重量0.26公斤，额定扭矩5N·m、峰值扭矩11±0.5N·m，减速比101:1，额定转速3,000转/分，主要面向机器人颈部、手腕等对空间和精度要求较高的部位。</w:t>
      </w:r>
    </w:p>
    <w:p>
      <w:pPr>
        <w:pStyle w:val="a0"/>
      </w:pPr>
      <w:r>
        <w:rPr>
          <w:rFonts w:hint="eastAsia"/>
        </w:rPr>
        <w:t>商业进展方面，据公开报道，无锡巨蟹已完成人形机器人专用模组1,320套的交付，为全球首款防爆人形机器人"天魁1号"（由天创机器人推出，IIC T6级防爆、负载15公斤、续航5小时）提供了除手部以外的上肢，并中标哈尔滨电机厂发电机组智能检查机器人项目，2025年4月获得"LeadeRobot 2025年度人形机器人核心供应商"称号。融资方面，公司于2025年10月宣布完成近亿元人民币A轮融资，由扫地机器人龙头科沃斯的战略投资平台领投，上海宁玮仁、上海湖银等产业资源方跟投，资金用于动力模组研发与产能扩建。上述数字表明，公司当前处于"从样机验证走向小批量交付"的阶段，交付量级与头部模组厂商仍有明显差距，但已进入整机厂的供应体系。</w:t>
      </w:r>
    </w:p>
    <w:p>
      <w:pPr>
        <w:pStyle w:val="3"/>
        <w:numPr>
          <w:ilvl w:val="0"/>
          <w:numId w:val="0"/>
        </w:numPr>
        <w:spacing w:before="156" w:after="156"/>
      </w:pPr>
      <w:bookmarkStart w:id="1010" w:name="_Toc900010"/>
      <w:r>
        <w:rPr>
          <w:rFonts w:hint="eastAsia"/>
        </w:rPr>
        <w:t>2.5 上游其他环节：丝杠、轴承、灵巧手、传感器与芯片</w:t>
      </w:r>
      <w:bookmarkEnd w:id="1010"/>
    </w:p>
    <w:p>
      <w:pPr>
        <w:pStyle w:val="a0"/>
      </w:pPr>
      <w:r>
        <w:rPr>
          <w:rFonts w:hint="eastAsia"/>
        </w:rPr>
        <w:t>除上述与无锡巨蟹直接相关的环节外，人形机器人上游还包括行星滚柱丝杠、精密轴承、灵巧手、力/触觉传感器以及主控与算力芯片等环节。这些环节与无锡巨蟹的业务相关度较低，此处从简介绍，供产业链完整性参考。</w:t>
      </w:r>
    </w:p>
    <w:p>
      <w:pPr>
        <w:keepNext/>
        <w:jc w:val="center"/>
      </w:pPr>
      <w:r>
        <w:rPr>
          <w:rFonts w:hint="eastAsia"/>
          <w:b/>
          <w:sz w:val="21"/>
        </w:rPr>
        <w:t>表5  人形机器人其他上游环节概览</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625" w:type="pct"/>
            <w:tcBorders>
              <w:top w:val="single" w:sz="12" w:space="0" w:color="010000"/>
              <w:bottom w:val="single" w:sz="4" w:space="0" w:color="010000"/>
            </w:tcBorders>
            <w:vAlign w:val="center"/>
          </w:tcPr>
          <w:p>
            <w:pPr>
              <w:keepNext/>
              <w:jc w:val="center"/>
            </w:pPr>
            <w:r/>
            <w:r>
              <w:rPr>
                <w:rFonts w:hint="eastAsia"/>
                <w:b/>
                <w:color w:val="000000"/>
                <w:sz w:val="21"/>
              </w:rPr>
              <w:t>环节</w:t>
            </w:r>
          </w:p>
        </w:tc>
        <w:tc>
          <w:tcPr>
            <w:tcW w:w="3125" w:type="pct"/>
            <w:tcBorders>
              <w:top w:val="single" w:sz="12" w:space="0" w:color="010000"/>
              <w:bottom w:val="single" w:sz="4" w:space="0" w:color="010000"/>
            </w:tcBorders>
            <w:vAlign w:val="center"/>
          </w:tcPr>
          <w:p>
            <w:pPr>
              <w:keepNext/>
              <w:jc w:val="center"/>
            </w:pPr>
            <w:r/>
            <w:r>
              <w:rPr>
                <w:rFonts w:hint="eastAsia"/>
                <w:b/>
                <w:color w:val="000000"/>
                <w:sz w:val="21"/>
              </w:rPr>
              <w:t>主要情况与市场规模</w:t>
            </w:r>
          </w:p>
        </w:tc>
        <w:tc>
          <w:tcPr>
            <w:tcW w:w="1250" w:type="pct"/>
            <w:tcBorders>
              <w:top w:val="single" w:sz="12" w:space="0" w:color="010000"/>
              <w:bottom w:val="single" w:sz="4" w:space="0" w:color="010000"/>
            </w:tcBorders>
            <w:vAlign w:val="center"/>
          </w:tcPr>
          <w:p>
            <w:pPr>
              <w:keepNext/>
              <w:jc w:val="center"/>
            </w:pPr>
            <w:r/>
            <w:r>
              <w:rPr>
                <w:rFonts w:hint="eastAsia"/>
                <w:b/>
                <w:color w:val="000000"/>
                <w:sz w:val="21"/>
              </w:rPr>
              <w:t>代表性企业</w:t>
            </w:r>
          </w:p>
        </w:tc>
      </w:tr>
      <w:tr>
        <w:trPr>
          <w:cantSplit/>
          <w:jc w:val="center"/>
        </w:trPr>
        <w:tc>
          <w:tcPr>
            <w:tcW w:w="625" w:type="pct"/>
            <w:tcBorders>
              <w:top w:val="single" w:sz="4" w:space="0" w:color="010000"/>
            </w:tcBorders>
            <w:vAlign w:val="center"/>
          </w:tcPr>
          <w:p>
            <w:pPr>
              <w:jc w:val="left"/>
            </w:pPr>
            <w:r/>
            <w:r>
              <w:rPr>
                <w:rFonts w:hint="eastAsia"/>
                <w:color w:val="000000"/>
                <w:sz w:val="21"/>
              </w:rPr>
              <w:t>行星滚柱丝杠</w:t>
            </w:r>
          </w:p>
        </w:tc>
        <w:tc>
          <w:tcPr>
            <w:tcW w:w="3125" w:type="pct"/>
            <w:tcBorders>
              <w:top w:val="single" w:sz="4" w:space="0" w:color="010000"/>
            </w:tcBorders>
            <w:vAlign w:val="center"/>
          </w:tcPr>
          <w:p>
            <w:pPr>
              <w:jc w:val="left"/>
            </w:pPr>
            <w:r/>
            <w:r>
              <w:rPr>
                <w:rFonts w:hint="eastAsia"/>
                <w:color w:val="000000"/>
                <w:sz w:val="21"/>
              </w:rPr>
              <w:t>用于膝、踝等线性执行器，价值量占整机BOM成本近20%。特斯拉Optimus单台使用14个行星滚柱丝杠。据第三方研究，2024年全球人形机器人用行星滚柱丝杠收入规模约30.1亿元；国内厂商正加速扩产与送样，但在精度一致性和寿命上仍处于验证爬坡阶段。</w:t>
            </w:r>
          </w:p>
        </w:tc>
        <w:tc>
          <w:tcPr>
            <w:tcW w:w="1250" w:type="pct"/>
            <w:tcBorders>
              <w:top w:val="single" w:sz="4" w:space="0" w:color="010000"/>
            </w:tcBorders>
            <w:vAlign w:val="center"/>
          </w:tcPr>
          <w:p>
            <w:pPr>
              <w:jc w:val="left"/>
            </w:pPr>
            <w:r/>
            <w:r>
              <w:rPr>
                <w:rFonts w:hint="eastAsia"/>
                <w:color w:val="000000"/>
                <w:sz w:val="21"/>
              </w:rPr>
              <w:t>恒立液压、五洲新春、贝斯特、北特科技、秦川机床等。</w:t>
            </w:r>
          </w:p>
        </w:tc>
      </w:tr>
      <w:tr>
        <w:trPr>
          <w:cantSplit/>
          <w:jc w:val="center"/>
        </w:trPr>
        <w:tc>
          <w:tcPr>
            <w:tcW w:w="625" w:type="pct"/>
            <w:tcBorders>
              <w:top w:val="single" w:sz="4" w:space="0" w:color="010000"/>
            </w:tcBorders>
            <w:vAlign w:val="center"/>
          </w:tcPr>
          <w:p>
            <w:pPr>
              <w:jc w:val="left"/>
            </w:pPr>
            <w:r/>
            <w:r>
              <w:rPr>
                <w:rFonts w:hint="eastAsia"/>
                <w:color w:val="000000"/>
                <w:sz w:val="21"/>
              </w:rPr>
              <w:t>精密轴承</w:t>
            </w:r>
          </w:p>
        </w:tc>
        <w:tc>
          <w:tcPr>
            <w:tcW w:w="3125" w:type="pct"/>
            <w:tcBorders>
              <w:top w:val="single" w:sz="4" w:space="0" w:color="010000"/>
            </w:tcBorders>
            <w:vAlign w:val="center"/>
          </w:tcPr>
          <w:p>
            <w:pPr>
              <w:jc w:val="left"/>
            </w:pPr>
            <w:r/>
            <w:r>
              <w:rPr>
                <w:rFonts w:hint="eastAsia"/>
                <w:color w:val="000000"/>
                <w:sz w:val="21"/>
              </w:rPr>
              <w:t>包括交叉滚子轴承和谐波减速器专用柔性轴承，是减速器性能的关键配套。全球主要供应商集中在日本和德国，国内洛阳鸿元在交叉滚子轴承和谐波减速器轴承的国内市场中占据主导地位。</w:t>
            </w:r>
          </w:p>
        </w:tc>
        <w:tc>
          <w:tcPr>
            <w:tcW w:w="1250" w:type="pct"/>
            <w:tcBorders>
              <w:top w:val="single" w:sz="4" w:space="0" w:color="010000"/>
            </w:tcBorders>
            <w:vAlign w:val="center"/>
          </w:tcPr>
          <w:p>
            <w:pPr>
              <w:jc w:val="left"/>
            </w:pPr>
            <w:r/>
            <w:r>
              <w:rPr>
                <w:rFonts w:hint="eastAsia"/>
                <w:color w:val="000000"/>
                <w:sz w:val="21"/>
              </w:rPr>
              <w:t>洛阳鸿元、五洲新春、力星股份、南方精工等。</w:t>
            </w:r>
          </w:p>
        </w:tc>
      </w:tr>
      <w:tr>
        <w:trPr>
          <w:cantSplit/>
          <w:jc w:val="center"/>
        </w:trPr>
        <w:tc>
          <w:tcPr>
            <w:tcW w:w="625" w:type="pct"/>
            <w:tcBorders>
              <w:top w:val="single" w:sz="4" w:space="0" w:color="010000"/>
            </w:tcBorders>
            <w:vAlign w:val="center"/>
          </w:tcPr>
          <w:p>
            <w:pPr>
              <w:jc w:val="left"/>
            </w:pPr>
            <w:r/>
            <w:r>
              <w:rPr>
                <w:rFonts w:hint="eastAsia"/>
                <w:color w:val="000000"/>
                <w:sz w:val="21"/>
              </w:rPr>
              <w:t>灵巧手</w:t>
            </w:r>
          </w:p>
        </w:tc>
        <w:tc>
          <w:tcPr>
            <w:tcW w:w="3125" w:type="pct"/>
            <w:tcBorders>
              <w:top w:val="single" w:sz="4" w:space="0" w:color="010000"/>
            </w:tcBorders>
            <w:vAlign w:val="center"/>
          </w:tcPr>
          <w:p>
            <w:pPr>
              <w:jc w:val="left"/>
            </w:pPr>
            <w:r/>
            <w:r>
              <w:rPr>
                <w:rFonts w:hint="eastAsia"/>
                <w:color w:val="000000"/>
                <w:sz w:val="21"/>
              </w:rPr>
              <w:t>单机价值量约占整机15%。据行业测算，2025年全球人形机器人需求对应灵巧手市场规模约71亿元，2030年有望达到约419亿元。第一梯队包括灵心巧手、因时机器人、帕西尼感知等，第二梯队包括智元、兆威机电、宇树（Dex5达20自由度、94个触觉传感器）等。</w:t>
            </w:r>
          </w:p>
        </w:tc>
        <w:tc>
          <w:tcPr>
            <w:tcW w:w="1250" w:type="pct"/>
            <w:tcBorders>
              <w:top w:val="single" w:sz="4" w:space="0" w:color="010000"/>
            </w:tcBorders>
            <w:vAlign w:val="center"/>
          </w:tcPr>
          <w:p>
            <w:pPr>
              <w:jc w:val="left"/>
            </w:pPr>
            <w:r/>
            <w:r>
              <w:rPr>
                <w:rFonts w:hint="eastAsia"/>
                <w:color w:val="000000"/>
                <w:sz w:val="21"/>
              </w:rPr>
              <w:t>灵心巧手、因时机器人、帕西尼感知、兆威机电、智元机器人。</w:t>
            </w:r>
          </w:p>
        </w:tc>
      </w:tr>
      <w:tr>
        <w:trPr>
          <w:cantSplit/>
          <w:jc w:val="center"/>
        </w:trPr>
        <w:tc>
          <w:tcPr>
            <w:tcW w:w="625" w:type="pct"/>
            <w:tcBorders>
              <w:top w:val="single" w:sz="4" w:space="0" w:color="010000"/>
            </w:tcBorders>
            <w:vAlign w:val="center"/>
          </w:tcPr>
          <w:p>
            <w:pPr>
              <w:jc w:val="left"/>
            </w:pPr>
            <w:r/>
            <w:r>
              <w:rPr>
                <w:rFonts w:hint="eastAsia"/>
                <w:color w:val="000000"/>
                <w:sz w:val="21"/>
              </w:rPr>
              <w:t>力与触觉传感器</w:t>
            </w:r>
          </w:p>
        </w:tc>
        <w:tc>
          <w:tcPr>
            <w:tcW w:w="3125" w:type="pct"/>
            <w:tcBorders>
              <w:top w:val="single" w:sz="4" w:space="0" w:color="010000"/>
            </w:tcBorders>
            <w:vAlign w:val="center"/>
          </w:tcPr>
          <w:p>
            <w:pPr>
              <w:jc w:val="left"/>
            </w:pPr>
            <w:r/>
            <w:r>
              <w:rPr>
                <w:rFonts w:hint="eastAsia"/>
                <w:color w:val="000000"/>
                <w:sz w:val="21"/>
              </w:rPr>
              <w:t>六维力传感器用于末端力控和整机平衡，2025年中国六维力传感器市场规模超3亿元，2026年预计约3.88亿元。当前应变片技术占80%以上份额，MEMS路线正在兴起，可将体积降至传统产品的十分之一。</w:t>
            </w:r>
          </w:p>
        </w:tc>
        <w:tc>
          <w:tcPr>
            <w:tcW w:w="1250" w:type="pct"/>
            <w:tcBorders>
              <w:top w:val="single" w:sz="4" w:space="0" w:color="010000"/>
            </w:tcBorders>
            <w:vAlign w:val="center"/>
          </w:tcPr>
          <w:p>
            <w:pPr>
              <w:jc w:val="left"/>
            </w:pPr>
            <w:r/>
            <w:r>
              <w:rPr>
                <w:rFonts w:hint="eastAsia"/>
                <w:color w:val="000000"/>
                <w:sz w:val="21"/>
              </w:rPr>
              <w:t>坤维科技、宇立仪器、蓝点触控、柯力传感、安培龙等。</w:t>
            </w:r>
          </w:p>
        </w:tc>
      </w:tr>
      <w:tr>
        <w:trPr>
          <w:cantSplit/>
          <w:jc w:val="center"/>
        </w:trPr>
        <w:tc>
          <w:tcPr>
            <w:tcW w:w="625" w:type="pct"/>
            <w:tcBorders>
              <w:top w:val="single" w:sz="4" w:space="0" w:color="010000"/>
            </w:tcBorders>
            <w:vAlign w:val="center"/>
          </w:tcPr>
          <w:p>
            <w:pPr>
              <w:jc w:val="left"/>
            </w:pPr>
            <w:r/>
            <w:r>
              <w:rPr>
                <w:rFonts w:hint="eastAsia"/>
                <w:color w:val="000000"/>
                <w:sz w:val="21"/>
              </w:rPr>
              <w:t>主控与算力芯片</w:t>
            </w:r>
          </w:p>
        </w:tc>
        <w:tc>
          <w:tcPr>
            <w:tcW w:w="3125" w:type="pct"/>
            <w:tcBorders>
              <w:top w:val="single" w:sz="4" w:space="0" w:color="010000"/>
            </w:tcBorders>
            <w:vAlign w:val="center"/>
          </w:tcPr>
          <w:p>
            <w:pPr>
              <w:jc w:val="left"/>
            </w:pPr>
            <w:r/>
            <w:r>
              <w:rPr>
                <w:rFonts w:hint="eastAsia"/>
                <w:color w:val="000000"/>
                <w:sz w:val="21"/>
              </w:rPr>
              <w:t>承担多模态感知、模型推理和实时运动控制，计算与感知环节合计约占整机成本15%。目前高算力平台仍以英伟达等国外方案为主，国产替代处于早期。</w:t>
            </w:r>
          </w:p>
        </w:tc>
        <w:tc>
          <w:tcPr>
            <w:tcW w:w="1250" w:type="pct"/>
            <w:tcBorders>
              <w:top w:val="single" w:sz="4" w:space="0" w:color="010000"/>
            </w:tcBorders>
            <w:vAlign w:val="center"/>
          </w:tcPr>
          <w:p>
            <w:pPr>
              <w:jc w:val="left"/>
            </w:pPr>
            <w:r/>
            <w:r>
              <w:rPr>
                <w:rFonts w:hint="eastAsia"/>
                <w:color w:val="000000"/>
                <w:sz w:val="21"/>
              </w:rPr>
              <w:t>英伟达、地平线、瑞芯微、寒武纪等。</w:t>
            </w:r>
          </w:p>
        </w:tc>
      </w:tr>
    </w:tbl>
    <w:p>
      <w:pPr>
        <w:pStyle w:val="a6"/>
      </w:pPr>
      <w:r>
        <w:rPr>
          <w:rFonts w:hint="eastAsia"/>
        </w:rPr>
        <w:t>数据来源：各细分行业研究报告、券商研究报告及公开新闻报道，本报告整理。</w:t>
      </w:r>
    </w:p>
    <w:p>
      <w:pPr>
        <w:pStyle w:val="3"/>
        <w:numPr>
          <w:ilvl w:val="0"/>
          <w:numId w:val="0"/>
        </w:numPr>
        <w:spacing w:before="156" w:after="156"/>
      </w:pPr>
      <w:bookmarkStart w:id="1011" w:name="_Toc900011"/>
      <w:r>
        <w:rPr>
          <w:rFonts w:hint="eastAsia"/>
        </w:rPr>
        <w:t>2.6 中游：整机制造</w:t>
      </w:r>
      <w:bookmarkEnd w:id="1011"/>
    </w:p>
    <w:p>
      <w:pPr>
        <w:pStyle w:val="a0"/>
      </w:pPr>
      <w:r>
        <w:rPr>
          <w:rFonts w:hint="eastAsia"/>
        </w:rPr>
        <w:t>中游整机制造是把上游零部件、结构设计、运动控制算法和具身智能模型整合为完整产品并对外交付的环节，也是产业链中话语权最强、变化最快的部分。整机厂商既是上游零部件的需求来源和技术定义者，也是产业链降本压力的传导中枢。据公开统计，中国人形机器人整机企业已超过140家，但出货量高度集中：2025年全球出货量前六名全部为中国企业，合计占全球74.1%的出货份额。</w:t>
      </w:r>
    </w:p>
    <w:p>
      <w:pPr>
        <w:pStyle w:val="a0"/>
      </w:pPr>
      <w:r>
        <w:rPr>
          <w:rFonts w:hint="eastAsia"/>
        </w:rPr>
        <w:t>从商业模式看，当前整机厂商的收入来源可分为三类：一是本体销售，主要面向科研教育、展演和交互服务客户，单价从几万元到几十万元不等；二是"本体＋服务"的项目制交付，主要面向政府、国资平台和大型企业的数据采集中心、示范应用项目，单笔金额可达千万元乃至亿元级；三是零部件与半成品外销，部分整机厂将自研的关节模组、灵巧手、半身平台对外销售，形成"沿途下蛋"式的现金流补充。整机环节的详细企业分析见本报告第五章。</w:t>
      </w:r>
    </w:p>
    <w:p>
      <w:pPr>
        <w:pStyle w:val="3"/>
        <w:numPr>
          <w:ilvl w:val="0"/>
          <w:numId w:val="0"/>
        </w:numPr>
        <w:spacing w:before="156" w:after="156"/>
      </w:pPr>
      <w:bookmarkStart w:id="1012" w:name="_Toc900012"/>
      <w:r>
        <w:rPr>
          <w:rFonts w:hint="eastAsia"/>
        </w:rPr>
        <w:t>2.7 下游：应用场景与集成服务</w:t>
      </w:r>
      <w:bookmarkEnd w:id="1012"/>
    </w:p>
    <w:p>
      <w:pPr>
        <w:pStyle w:val="a0"/>
      </w:pPr>
      <w:r>
        <w:rPr>
          <w:rFonts w:hint="eastAsia"/>
        </w:rPr>
        <w:t>下游通过具体场景把机器人能力转化为付费需求。据上述报告，2025年中国人形机器人已形成教育科研、数据采集、交互服务、工业物流和娱乐表演五大应用场景，各场景在采购主体、采购规模、单价和服务占比上差异明显，因而出货量结构与市场规模结构并不一致。</w:t>
      </w:r>
    </w:p>
    <w:p>
      <w:pPr>
        <w:keepNext/>
        <w:jc w:val="center"/>
      </w:pPr>
      <w:r>
        <w:rPr>
          <w:rFonts w:hint="eastAsia"/>
          <w:b/>
          <w:sz w:val="21"/>
        </w:rPr>
        <w:t>表6  2025年中国人形机器人五大应用场景比较</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597" w:type="pct"/>
            <w:tcBorders>
              <w:top w:val="single" w:sz="12" w:space="0" w:color="010000"/>
              <w:bottom w:val="single" w:sz="4" w:space="0" w:color="010000"/>
            </w:tcBorders>
            <w:vAlign w:val="center"/>
          </w:tcPr>
          <w:p>
            <w:pPr>
              <w:keepNext/>
              <w:jc w:val="center"/>
            </w:pPr>
            <w:r/>
            <w:r>
              <w:rPr>
                <w:rFonts w:hint="eastAsia"/>
                <w:b/>
                <w:color w:val="000000"/>
                <w:sz w:val="21"/>
              </w:rPr>
              <w:t>应用场景</w:t>
            </w:r>
          </w:p>
        </w:tc>
        <w:tc>
          <w:tcPr>
            <w:tcW w:w="970" w:type="pct"/>
            <w:tcBorders>
              <w:top w:val="single" w:sz="12" w:space="0" w:color="010000"/>
              <w:bottom w:val="single" w:sz="4" w:space="0" w:color="010000"/>
            </w:tcBorders>
            <w:vAlign w:val="center"/>
          </w:tcPr>
          <w:p>
            <w:pPr>
              <w:keepNext/>
              <w:jc w:val="center"/>
            </w:pPr>
            <w:r/>
            <w:r>
              <w:rPr>
                <w:rFonts w:hint="eastAsia"/>
                <w:b/>
                <w:color w:val="000000"/>
                <w:sz w:val="21"/>
              </w:rPr>
              <w:t>主要采购方</w:t>
            </w:r>
          </w:p>
        </w:tc>
        <w:tc>
          <w:tcPr>
            <w:tcW w:w="1866" w:type="pct"/>
            <w:tcBorders>
              <w:top w:val="single" w:sz="12" w:space="0" w:color="010000"/>
              <w:bottom w:val="single" w:sz="4" w:space="0" w:color="010000"/>
            </w:tcBorders>
            <w:vAlign w:val="center"/>
          </w:tcPr>
          <w:p>
            <w:pPr>
              <w:keepNext/>
              <w:jc w:val="center"/>
            </w:pPr>
            <w:r/>
            <w:r>
              <w:rPr>
                <w:rFonts w:hint="eastAsia"/>
                <w:b/>
                <w:color w:val="000000"/>
                <w:sz w:val="21"/>
              </w:rPr>
              <w:t>采购特征</w:t>
            </w:r>
          </w:p>
        </w:tc>
        <w:tc>
          <w:tcPr>
            <w:tcW w:w="1567" w:type="pct"/>
            <w:tcBorders>
              <w:top w:val="single" w:sz="12" w:space="0" w:color="010000"/>
              <w:bottom w:val="single" w:sz="4" w:space="0" w:color="010000"/>
            </w:tcBorders>
            <w:vAlign w:val="center"/>
          </w:tcPr>
          <w:p>
            <w:pPr>
              <w:keepNext/>
              <w:jc w:val="center"/>
            </w:pPr>
            <w:r/>
            <w:r>
              <w:rPr>
                <w:rFonts w:hint="eastAsia"/>
                <w:b/>
                <w:color w:val="000000"/>
                <w:sz w:val="21"/>
              </w:rPr>
              <w:t>对上游的影响</w:t>
            </w:r>
          </w:p>
        </w:tc>
      </w:tr>
      <w:tr>
        <w:trPr>
          <w:cantSplit/>
          <w:jc w:val="center"/>
        </w:trPr>
        <w:tc>
          <w:tcPr>
            <w:tcW w:w="597" w:type="pct"/>
            <w:tcBorders>
              <w:top w:val="single" w:sz="4" w:space="0" w:color="010000"/>
            </w:tcBorders>
            <w:vAlign w:val="center"/>
          </w:tcPr>
          <w:p>
            <w:pPr>
              <w:jc w:val="left"/>
            </w:pPr>
            <w:r/>
            <w:r>
              <w:rPr>
                <w:rFonts w:hint="eastAsia"/>
                <w:color w:val="000000"/>
                <w:sz w:val="21"/>
              </w:rPr>
              <w:t>教育科研</w:t>
            </w:r>
          </w:p>
        </w:tc>
        <w:tc>
          <w:tcPr>
            <w:tcW w:w="970" w:type="pct"/>
            <w:tcBorders>
              <w:top w:val="single" w:sz="4" w:space="0" w:color="010000"/>
            </w:tcBorders>
            <w:vAlign w:val="center"/>
          </w:tcPr>
          <w:p>
            <w:pPr>
              <w:jc w:val="left"/>
            </w:pPr>
            <w:r/>
            <w:r>
              <w:rPr>
                <w:rFonts w:hint="eastAsia"/>
                <w:color w:val="000000"/>
                <w:sz w:val="21"/>
              </w:rPr>
              <w:t>高校、职业院校及科研机构</w:t>
            </w:r>
          </w:p>
        </w:tc>
        <w:tc>
          <w:tcPr>
            <w:tcW w:w="1866" w:type="pct"/>
            <w:tcBorders>
              <w:top w:val="single" w:sz="4" w:space="0" w:color="010000"/>
            </w:tcBorders>
            <w:vAlign w:val="center"/>
          </w:tcPr>
          <w:p>
            <w:pPr>
              <w:jc w:val="left"/>
            </w:pPr>
            <w:r/>
            <w:r>
              <w:rPr>
                <w:rFonts w:hint="eastAsia"/>
                <w:color w:val="000000"/>
                <w:sz w:val="21"/>
              </w:rPr>
              <w:t>采购频次高但单次规模小，单价从几万元到一二十万元不等；出货量大而市场规模相对较小。</w:t>
            </w:r>
          </w:p>
        </w:tc>
        <w:tc>
          <w:tcPr>
            <w:tcW w:w="1567" w:type="pct"/>
            <w:tcBorders>
              <w:top w:val="single" w:sz="4" w:space="0" w:color="010000"/>
            </w:tcBorders>
            <w:vAlign w:val="center"/>
          </w:tcPr>
          <w:p>
            <w:pPr>
              <w:jc w:val="left"/>
            </w:pPr>
            <w:r/>
            <w:r>
              <w:rPr>
                <w:rFonts w:hint="eastAsia"/>
                <w:color w:val="000000"/>
                <w:sz w:val="21"/>
              </w:rPr>
              <w:t>拉动中小尺寸机型和低成本关节模组需求，对价格敏感度最高。</w:t>
            </w:r>
          </w:p>
        </w:tc>
      </w:tr>
      <w:tr>
        <w:trPr>
          <w:cantSplit/>
          <w:jc w:val="center"/>
        </w:trPr>
        <w:tc>
          <w:tcPr>
            <w:tcW w:w="597" w:type="pct"/>
            <w:tcBorders>
              <w:top w:val="single" w:sz="4" w:space="0" w:color="010000"/>
            </w:tcBorders>
            <w:vAlign w:val="center"/>
          </w:tcPr>
          <w:p>
            <w:pPr>
              <w:jc w:val="left"/>
            </w:pPr>
            <w:r/>
            <w:r>
              <w:rPr>
                <w:rFonts w:hint="eastAsia"/>
                <w:color w:val="000000"/>
                <w:sz w:val="21"/>
              </w:rPr>
              <w:t>数据采集</w:t>
            </w:r>
          </w:p>
        </w:tc>
        <w:tc>
          <w:tcPr>
            <w:tcW w:w="970" w:type="pct"/>
            <w:tcBorders>
              <w:top w:val="single" w:sz="4" w:space="0" w:color="010000"/>
            </w:tcBorders>
            <w:vAlign w:val="center"/>
          </w:tcPr>
          <w:p>
            <w:pPr>
              <w:jc w:val="left"/>
            </w:pPr>
            <w:r/>
            <w:r>
              <w:rPr>
                <w:rFonts w:hint="eastAsia"/>
                <w:color w:val="000000"/>
                <w:sz w:val="21"/>
              </w:rPr>
              <w:t>政务平台与国资产业基地</w:t>
            </w:r>
          </w:p>
        </w:tc>
        <w:tc>
          <w:tcPr>
            <w:tcW w:w="1866" w:type="pct"/>
            <w:tcBorders>
              <w:top w:val="single" w:sz="4" w:space="0" w:color="010000"/>
            </w:tcBorders>
            <w:vAlign w:val="center"/>
          </w:tcPr>
          <w:p>
            <w:pPr>
              <w:jc w:val="left"/>
            </w:pPr>
            <w:r/>
            <w:r>
              <w:rPr>
                <w:rFonts w:hint="eastAsia"/>
                <w:color w:val="000000"/>
                <w:sz w:val="21"/>
              </w:rPr>
              <w:t>单次采购规模一般在百台以上，采购金额较大，服务占比高。</w:t>
            </w:r>
          </w:p>
        </w:tc>
        <w:tc>
          <w:tcPr>
            <w:tcW w:w="1567" w:type="pct"/>
            <w:tcBorders>
              <w:top w:val="single" w:sz="4" w:space="0" w:color="010000"/>
            </w:tcBorders>
            <w:vAlign w:val="center"/>
          </w:tcPr>
          <w:p>
            <w:pPr>
              <w:jc w:val="left"/>
            </w:pPr>
            <w:r/>
            <w:r>
              <w:rPr>
                <w:rFonts w:hint="eastAsia"/>
                <w:color w:val="000000"/>
                <w:sz w:val="21"/>
              </w:rPr>
              <w:t>是2025年千万元级和亿元级订单的主要来源，带动整机厂产能爬坡和关节模组批量采购。</w:t>
            </w:r>
          </w:p>
        </w:tc>
      </w:tr>
      <w:tr>
        <w:trPr>
          <w:cantSplit/>
          <w:jc w:val="center"/>
        </w:trPr>
        <w:tc>
          <w:tcPr>
            <w:tcW w:w="597" w:type="pct"/>
            <w:tcBorders>
              <w:top w:val="single" w:sz="4" w:space="0" w:color="010000"/>
            </w:tcBorders>
            <w:vAlign w:val="center"/>
          </w:tcPr>
          <w:p>
            <w:pPr>
              <w:jc w:val="left"/>
            </w:pPr>
            <w:r/>
            <w:r>
              <w:rPr>
                <w:rFonts w:hint="eastAsia"/>
                <w:color w:val="000000"/>
                <w:sz w:val="21"/>
              </w:rPr>
              <w:t>交互服务</w:t>
            </w:r>
          </w:p>
        </w:tc>
        <w:tc>
          <w:tcPr>
            <w:tcW w:w="970" w:type="pct"/>
            <w:tcBorders>
              <w:top w:val="single" w:sz="4" w:space="0" w:color="010000"/>
            </w:tcBorders>
            <w:vAlign w:val="center"/>
          </w:tcPr>
          <w:p>
            <w:pPr>
              <w:jc w:val="left"/>
            </w:pPr>
            <w:r/>
            <w:r>
              <w:rPr>
                <w:rFonts w:hint="eastAsia"/>
                <w:color w:val="000000"/>
                <w:sz w:val="21"/>
              </w:rPr>
              <w:t>企业展厅、博物馆及文旅场所</w:t>
            </w:r>
          </w:p>
        </w:tc>
        <w:tc>
          <w:tcPr>
            <w:tcW w:w="1866" w:type="pct"/>
            <w:tcBorders>
              <w:top w:val="single" w:sz="4" w:space="0" w:color="010000"/>
            </w:tcBorders>
            <w:vAlign w:val="center"/>
          </w:tcPr>
          <w:p>
            <w:pPr>
              <w:jc w:val="left"/>
            </w:pPr>
            <w:r/>
            <w:r>
              <w:rPr>
                <w:rFonts w:hint="eastAsia"/>
                <w:color w:val="000000"/>
                <w:sz w:val="21"/>
              </w:rPr>
              <w:t>以展示和导览为主，对可靠性和外观要求高，对负载要求低。</w:t>
            </w:r>
          </w:p>
        </w:tc>
        <w:tc>
          <w:tcPr>
            <w:tcW w:w="1567" w:type="pct"/>
            <w:tcBorders>
              <w:top w:val="single" w:sz="4" w:space="0" w:color="010000"/>
            </w:tcBorders>
            <w:vAlign w:val="center"/>
          </w:tcPr>
          <w:p>
            <w:pPr>
              <w:jc w:val="left"/>
            </w:pPr>
            <w:r/>
            <w:r>
              <w:rPr>
                <w:rFonts w:hint="eastAsia"/>
                <w:color w:val="000000"/>
                <w:sz w:val="21"/>
              </w:rPr>
              <w:t>拉动中小尺寸双足和轮式机型，对关节的静音、轻量化有额外要求。</w:t>
            </w:r>
          </w:p>
        </w:tc>
      </w:tr>
      <w:tr>
        <w:trPr>
          <w:cantSplit/>
          <w:jc w:val="center"/>
        </w:trPr>
        <w:tc>
          <w:tcPr>
            <w:tcW w:w="597" w:type="pct"/>
            <w:tcBorders>
              <w:top w:val="single" w:sz="4" w:space="0" w:color="010000"/>
            </w:tcBorders>
            <w:vAlign w:val="center"/>
          </w:tcPr>
          <w:p>
            <w:pPr>
              <w:jc w:val="left"/>
            </w:pPr>
            <w:r/>
            <w:r>
              <w:rPr>
                <w:rFonts w:hint="eastAsia"/>
                <w:color w:val="000000"/>
                <w:sz w:val="21"/>
              </w:rPr>
              <w:t>工业物流</w:t>
            </w:r>
          </w:p>
        </w:tc>
        <w:tc>
          <w:tcPr>
            <w:tcW w:w="970" w:type="pct"/>
            <w:tcBorders>
              <w:top w:val="single" w:sz="4" w:space="0" w:color="010000"/>
            </w:tcBorders>
            <w:vAlign w:val="center"/>
          </w:tcPr>
          <w:p>
            <w:pPr>
              <w:jc w:val="left"/>
            </w:pPr>
            <w:r/>
            <w:r>
              <w:rPr>
                <w:rFonts w:hint="eastAsia"/>
                <w:color w:val="000000"/>
                <w:sz w:val="21"/>
              </w:rPr>
              <w:t>大型制造与物流企业</w:t>
            </w:r>
          </w:p>
        </w:tc>
        <w:tc>
          <w:tcPr>
            <w:tcW w:w="1866" w:type="pct"/>
            <w:tcBorders>
              <w:top w:val="single" w:sz="4" w:space="0" w:color="010000"/>
            </w:tcBorders>
            <w:vAlign w:val="center"/>
          </w:tcPr>
          <w:p>
            <w:pPr>
              <w:jc w:val="left"/>
            </w:pPr>
            <w:r/>
            <w:r>
              <w:rPr>
                <w:rFonts w:hint="eastAsia"/>
                <w:color w:val="000000"/>
                <w:sz w:val="21"/>
              </w:rPr>
              <w:t>单价较高、服务占比高，但目前仍处于试点阶段，整体规模较小。</w:t>
            </w:r>
          </w:p>
        </w:tc>
        <w:tc>
          <w:tcPr>
            <w:tcW w:w="1567" w:type="pct"/>
            <w:tcBorders>
              <w:top w:val="single" w:sz="4" w:space="0" w:color="010000"/>
            </w:tcBorders>
            <w:vAlign w:val="center"/>
          </w:tcPr>
          <w:p>
            <w:pPr>
              <w:jc w:val="left"/>
            </w:pPr>
            <w:r/>
            <w:r>
              <w:rPr>
                <w:rFonts w:hint="eastAsia"/>
                <w:color w:val="000000"/>
                <w:sz w:val="21"/>
              </w:rPr>
              <w:t>对关节的扭矩、寿命、防护等级和连续作业能力要求最高，是高规格关节模组的主要潜在市场。</w:t>
            </w:r>
          </w:p>
        </w:tc>
      </w:tr>
      <w:tr>
        <w:trPr>
          <w:cantSplit/>
          <w:jc w:val="center"/>
        </w:trPr>
        <w:tc>
          <w:tcPr>
            <w:tcW w:w="597" w:type="pct"/>
            <w:tcBorders>
              <w:top w:val="single" w:sz="4" w:space="0" w:color="010000"/>
            </w:tcBorders>
            <w:vAlign w:val="center"/>
          </w:tcPr>
          <w:p>
            <w:pPr>
              <w:jc w:val="left"/>
            </w:pPr>
            <w:r/>
            <w:r>
              <w:rPr>
                <w:rFonts w:hint="eastAsia"/>
                <w:color w:val="000000"/>
                <w:sz w:val="21"/>
              </w:rPr>
              <w:t>娱乐表演</w:t>
            </w:r>
          </w:p>
        </w:tc>
        <w:tc>
          <w:tcPr>
            <w:tcW w:w="970" w:type="pct"/>
            <w:tcBorders>
              <w:top w:val="single" w:sz="4" w:space="0" w:color="010000"/>
            </w:tcBorders>
            <w:vAlign w:val="center"/>
          </w:tcPr>
          <w:p>
            <w:pPr>
              <w:jc w:val="left"/>
            </w:pPr>
            <w:r/>
            <w:r>
              <w:rPr>
                <w:rFonts w:hint="eastAsia"/>
                <w:color w:val="000000"/>
                <w:sz w:val="21"/>
              </w:rPr>
              <w:t>租赁及商演公司</w:t>
            </w:r>
          </w:p>
        </w:tc>
        <w:tc>
          <w:tcPr>
            <w:tcW w:w="1866" w:type="pct"/>
            <w:tcBorders>
              <w:top w:val="single" w:sz="4" w:space="0" w:color="010000"/>
            </w:tcBorders>
            <w:vAlign w:val="center"/>
          </w:tcPr>
          <w:p>
            <w:pPr>
              <w:jc w:val="left"/>
            </w:pPr>
            <w:r/>
            <w:r>
              <w:rPr>
                <w:rFonts w:hint="eastAsia"/>
                <w:color w:val="000000"/>
                <w:sz w:val="21"/>
              </w:rPr>
              <w:t>以短周期租赁和活动为主，对整机数量弹性大。</w:t>
            </w:r>
          </w:p>
        </w:tc>
        <w:tc>
          <w:tcPr>
            <w:tcW w:w="1567" w:type="pct"/>
            <w:tcBorders>
              <w:top w:val="single" w:sz="4" w:space="0" w:color="010000"/>
            </w:tcBorders>
            <w:vAlign w:val="center"/>
          </w:tcPr>
          <w:p>
            <w:pPr>
              <w:jc w:val="left"/>
            </w:pPr>
            <w:r/>
            <w:r>
              <w:rPr>
                <w:rFonts w:hint="eastAsia"/>
                <w:color w:val="000000"/>
                <w:sz w:val="21"/>
              </w:rPr>
              <w:t>需求波动大，对成本和售后响应速度敏感。</w:t>
            </w:r>
          </w:p>
        </w:tc>
      </w:tr>
    </w:tbl>
    <w:p>
      <w:pPr>
        <w:pStyle w:val="a6"/>
      </w:pPr>
      <w:r>
        <w:rPr>
          <w:rFonts w:hint="eastAsia"/>
        </w:rPr>
        <w:t>数据来源：新战略咨询与人形机器人场景应用联盟《2025—2026年度人形机器人产业发展研究报告》，2026年3月30日发布，本报告整理。</w:t>
      </w:r>
    </w:p>
    <w:p/>
    <w:p/>
    <w:p>
      <w:pPr>
        <w:pStyle w:val="2"/>
        <w:spacing w:before="156" w:after="156"/>
      </w:pPr>
      <w:bookmarkStart w:id="1013" w:name="_Toc900013"/>
      <w:r>
        <w:rPr>
          <w:rFonts w:hint="eastAsia"/>
          <w:b/>
        </w:rPr>
        <w:t>国内人形机器人市场发展现状及产业规模</w:t>
      </w:r>
      <w:bookmarkEnd w:id="1013"/>
    </w:p>
    <w:p>
      <w:pPr>
        <w:pStyle w:val="3"/>
        <w:numPr>
          <w:ilvl w:val="0"/>
          <w:numId w:val="0"/>
        </w:numPr>
        <w:spacing w:before="156" w:after="156"/>
      </w:pPr>
      <w:bookmarkStart w:id="1014" w:name="_Toc900014"/>
      <w:r>
        <w:rPr>
          <w:rFonts w:hint="eastAsia"/>
        </w:rPr>
        <w:t>3.1 出货量与市场规模</w:t>
      </w:r>
      <w:bookmarkEnd w:id="1014"/>
    </w:p>
    <w:p>
      <w:pPr>
        <w:pStyle w:val="a0"/>
      </w:pPr>
      <w:r>
        <w:rPr>
          <w:rFonts w:hint="eastAsia"/>
        </w:rPr>
        <w:t>人形机器人行业目前尚无统一的统计口径，不同机构在"是否包含轮式双臂机型""是否包含半身/上肢平台""按整机口径还是含服务的广义口径"等方面存在差异，因此各来源数据不宜直接比较。本报告在引用时逐一标注口径。</w:t>
      </w:r>
    </w:p>
    <w:p>
      <w:pPr>
        <w:pStyle w:val="a0"/>
      </w:pPr>
      <w:r>
        <w:rPr>
          <w:rFonts w:hint="eastAsia"/>
        </w:rPr>
        <w:t>目前主要有三套口径并存。其一，新战略咨询（新战略机器人产业研究所）与人形机器人场景应用联盟于2026年3月30日发布的《2025—2026年度人形机器人产业发展研究报告》测算，2025年中国人形机器人出货量约2万台，同比增长614.29%（对应2024年约0.28万台），其中整机市场规模约50亿—65亿元，包含软件系统集成部署和服务在内的广义市场规模约90亿元。其二，高工机器人（GGII）口径较严，要求产品符合类人形态、具备自主移动与操作能力，且须完成客户下单、生产交付并通过验收、能在实际场景运行，据此统计2025年国内出货约1.8万台，2024年为2,400台，同比增长超650%。其三，北京赛迪出版传媒与中国电子报联合发布的《2025年人形机器人市场研究报告》统计，2025年全球出货约1.7万台，中国企业出货约1.44万台，占全球84.7%，前六名全部为中国企业、合计占全球74.1%。三套数据的差异主要来自统计边界、是否包含轮式机型以及是否要求完成验收，不可直接比较。</w:t>
      </w:r>
    </w:p>
    <w:p>
      <w:pPr>
        <w:pStyle w:val="a0"/>
      </w:pPr>
      <w:r>
        <w:rPr>
          <w:rFonts w:hint="eastAsia"/>
        </w:rPr>
        <w:t>展望2026年，中商产业研究院预测中国人形机器人出货量将达3.8万台，摩根士丹利预测2026年中国人形机器人销量将翻倍增长至2.8万台。据新华网报道及工业和信息化主管部门相关数据，2026年上半年国内人形机器人出货已超过4万台，全年产量有望冲刺10万台关口，实际进展快于年初的多数预测。长期来看，中国电子学会预测到2030年中国人形机器人市场规模有望达到约8,700亿元；高盛预测全球人形机器人出货量将由2025年的约2万台增长至2035年的140万台。</w:t>
      </w:r>
    </w:p>
    <w:p>
      <w:pPr>
        <w:keepNext/>
        <w:jc w:val="center"/>
      </w:pPr>
      <w:r>
        <w:drawing>
          <wp:inline xmlns:a="http://schemas.openxmlformats.org/drawingml/2006/main" xmlns:pic="http://schemas.openxmlformats.org/drawingml/2006/picture">
            <wp:extent cx="5074920" cy="2105551"/>
            <wp:docPr id="4" name="Picture 4"/>
            <wp:cNvGraphicFramePr>
              <a:graphicFrameLocks noChangeAspect="1"/>
            </wp:cNvGraphicFramePr>
            <a:graphic>
              <a:graphicData uri="http://schemas.openxmlformats.org/drawingml/2006/picture">
                <pic:pic>
                  <pic:nvPicPr>
                    <pic:cNvPr id="0" name="fig1.png"/>
                    <pic:cNvPicPr/>
                  </pic:nvPicPr>
                  <pic:blipFill>
                    <a:blip r:embed="rId19"/>
                    <a:stretch>
                      <a:fillRect/>
                    </a:stretch>
                  </pic:blipFill>
                  <pic:spPr>
                    <a:xfrm>
                      <a:off x="0" y="0"/>
                      <a:ext cx="5074920" cy="2105551"/>
                    </a:xfrm>
                    <a:prstGeom prst="rect"/>
                  </pic:spPr>
                </pic:pic>
              </a:graphicData>
            </a:graphic>
          </wp:inline>
        </w:drawing>
      </w:r>
    </w:p>
    <w:p>
      <w:pPr>
        <w:jc w:val="center"/>
      </w:pPr>
      <w:r>
        <w:rPr>
          <w:rFonts w:hint="eastAsia"/>
          <w:b/>
          <w:sz w:val="21"/>
        </w:rPr>
        <w:t>图4  中国人形机器人出货量：历史实际与2026年预测</w:t>
      </w:r>
    </w:p>
    <w:p>
      <w:pPr>
        <w:pStyle w:val="a6"/>
      </w:pPr>
      <w:r>
        <w:rPr>
          <w:rFonts w:hint="eastAsia"/>
        </w:rPr>
        <w:t>数据来源：2024—2025年实际值取新战略咨询与人形机器人场景应用联盟《2025—2026年度人形机器人产业发展研究报告》（2026年3月30日）口径；2026年预测值分别取中商产业研究院与摩根士丹利。2024年数值系按该报告披露的2025年出货2万台、同比增长614.29%倒算，为估算值。作为对照，GGII口径为2024年2,400台、2025年约1.8万台。2026年上半年实际出货已超4万台（工业和信息化主管部门数据），高于图中年初预测。</w:t>
      </w:r>
    </w:p>
    <w:p>
      <w:pPr>
        <w:pStyle w:val="3"/>
        <w:numPr>
          <w:ilvl w:val="0"/>
          <w:numId w:val="0"/>
        </w:numPr>
        <w:spacing w:before="156" w:after="156"/>
      </w:pPr>
      <w:bookmarkStart w:id="1015" w:name="_Toc900015"/>
      <w:r>
        <w:rPr>
          <w:rFonts w:hint="eastAsia"/>
        </w:rPr>
        <w:t>3.2 应用结构</w:t>
      </w:r>
      <w:bookmarkEnd w:id="1015"/>
    </w:p>
    <w:p>
      <w:pPr>
        <w:pStyle w:val="a0"/>
      </w:pPr>
      <w:r>
        <w:rPr>
          <w:rFonts w:hint="eastAsia"/>
        </w:rPr>
        <w:t>据新战略咨询与人形机器人场景应用联盟《2025—2026年度人形机器人产业发展研究报告》，2025年国内人形机器人的出货结构与市场规模结构存在明显错配。教育科研场景采购量最大但单价最低，贡献了大部分出货量而非大部分收入；数据采集场景单次采购规模在百台以上、服务占比高，是千万元级和亿元级订单的主要来源；工业物流场景单价最高但仍处试点，规模有限。这一结构说明，当前行业的真实付费能力主要来自政府和国资平台主导的示范性项目，而非完全市场化的产业需求，这也是判断2026—2027年需求持续性时需要重点跟踪的变量。</w:t>
      </w:r>
    </w:p>
    <w:p>
      <w:pPr>
        <w:pStyle w:val="3"/>
        <w:numPr>
          <w:ilvl w:val="0"/>
          <w:numId w:val="0"/>
        </w:numPr>
        <w:spacing w:before="156" w:after="156"/>
      </w:pPr>
      <w:bookmarkStart w:id="1016" w:name="_Toc900016"/>
      <w:r>
        <w:rPr>
          <w:rFonts w:hint="eastAsia"/>
        </w:rPr>
        <w:t>3.3 招投标与订单</w:t>
      </w:r>
      <w:bookmarkEnd w:id="1016"/>
    </w:p>
    <w:p>
      <w:pPr>
        <w:pStyle w:val="a0"/>
      </w:pPr>
      <w:r>
        <w:rPr>
          <w:rFonts w:hint="eastAsia"/>
        </w:rPr>
        <w:t>招投标数据是观察人形机器人真实需求的重要窗口。据新战略咨询与人形机器人场景应用联盟《2025—2026年度人形机器人产业发展研究报告》，2025年中国公开披露的人形机器人中标项目达292个，披露的合同金额合计超过18.1亿元。从金额分布看，0—100万元的项目占54%，100万—1,000万元的项目占33%，1,000万元以上的项目较少，其中亿元级项目仅10个。从时间分布看，1—2月数量下降，第二季度在15—23个项目之间震荡，真正放量出现在下半年（7—12月），连续6个月维持在27个项目以上。从采购主体看，真正拉高市场总额的是地方国资平台、产业投资公司和城市建设主体，防城港、自贡、九江、柳州、驻马店等地的平台型公司构成了亿元级项目的主要来源。</w:t>
      </w:r>
    </w:p>
    <w:p>
      <w:pPr>
        <w:keepNext/>
        <w:jc w:val="center"/>
      </w:pPr>
      <w:r>
        <w:drawing>
          <wp:inline xmlns:a="http://schemas.openxmlformats.org/drawingml/2006/main" xmlns:pic="http://schemas.openxmlformats.org/drawingml/2006/picture">
            <wp:extent cx="5074920" cy="2105551"/>
            <wp:docPr id="5" name="Picture 5"/>
            <wp:cNvGraphicFramePr>
              <a:graphicFrameLocks noChangeAspect="1"/>
            </wp:cNvGraphicFramePr>
            <a:graphic>
              <a:graphicData uri="http://schemas.openxmlformats.org/drawingml/2006/picture">
                <pic:pic>
                  <pic:nvPicPr>
                    <pic:cNvPr id="0" name="fig6.png"/>
                    <pic:cNvPicPr/>
                  </pic:nvPicPr>
                  <pic:blipFill>
                    <a:blip r:embed="rId20"/>
                    <a:stretch>
                      <a:fillRect/>
                    </a:stretch>
                  </pic:blipFill>
                  <pic:spPr>
                    <a:xfrm>
                      <a:off x="0" y="0"/>
                      <a:ext cx="5074920" cy="2105551"/>
                    </a:xfrm>
                    <a:prstGeom prst="rect"/>
                  </pic:spPr>
                </pic:pic>
              </a:graphicData>
            </a:graphic>
          </wp:inline>
        </w:drawing>
      </w:r>
    </w:p>
    <w:p>
      <w:pPr>
        <w:jc w:val="center"/>
      </w:pPr>
      <w:r>
        <w:rPr>
          <w:rFonts w:hint="eastAsia"/>
          <w:b/>
          <w:sz w:val="21"/>
        </w:rPr>
        <w:t>图5  2025年中国人形机器人中标项目金额分布</w:t>
      </w:r>
    </w:p>
    <w:p>
      <w:pPr>
        <w:pStyle w:val="a6"/>
      </w:pPr>
      <w:r>
        <w:rPr>
          <w:rFonts w:hint="eastAsia"/>
        </w:rPr>
        <w:t>数据来源：新战略咨询与人形机器人场景应用联盟《2025—2026年度人形机器人产业发展研究报告》，2026年3月30日发布。</w:t>
      </w:r>
    </w:p>
    <w:p>
      <w:pPr>
        <w:pStyle w:val="a0"/>
      </w:pPr>
      <w:r>
        <w:rPr>
          <w:rFonts w:hint="eastAsia"/>
        </w:rPr>
        <w:t>企业订单方面，2025年优必选以合计接近14亿元的订单金额位居机器人领域年度订单首位，其中包括9月获得的2.5亿元全球人形机器人最大采购合同（产品以Walker S2为主）、与天奇股份签署的3,000万元Walker S2采购订单，以及12月中标惠州市惠阳区人形机器人大湾区数据采集中心项目5,962.015万元。松延动力全年总订单超过2,500台、合同总额超过1亿元，主要覆盖教育、科研、文旅展演和商业演出。众擎机器人与多伦科技签署了2,000台具身智能机器人三年期框架采购协议。</w:t>
      </w:r>
    </w:p>
    <w:p>
      <w:pPr>
        <w:pStyle w:val="3"/>
        <w:numPr>
          <w:ilvl w:val="0"/>
          <w:numId w:val="0"/>
        </w:numPr>
        <w:spacing w:before="156" w:after="156"/>
      </w:pPr>
      <w:bookmarkStart w:id="1017" w:name="_Toc900017"/>
      <w:r>
        <w:rPr>
          <w:rFonts w:hint="eastAsia"/>
        </w:rPr>
        <w:t>3.4 成本曲线与降价趋势</w:t>
      </w:r>
      <w:bookmarkEnd w:id="1017"/>
    </w:p>
    <w:p>
      <w:pPr>
        <w:pStyle w:val="a0"/>
      </w:pPr>
      <w:r>
        <w:rPr>
          <w:rFonts w:hint="eastAsia"/>
        </w:rPr>
        <w:t>成本是决定人形机器人能否跨越商业化临界点的核心变量。据行业统计，2026年以无框力矩电机、行星减速齿轮、精密机加工结构件三大核心BOM部件为例，核心零部件成本降幅均超过10%；仅减速器国产化一项，就为单台整机带来3万—6万元的成本下降（一台人形机器人通常需要20—40个关节）。国内头部企业生产的17系列谐波减速器，精度寿命已突破2万小时，价格较进口同规格产品下降45%，90%以上的零部件可实现本土采购，供应链响应速度较2023年提升约60%。</w:t>
      </w:r>
    </w:p>
    <w:p>
      <w:pPr>
        <w:pStyle w:val="a0"/>
      </w:pPr>
      <w:r>
        <w:rPr>
          <w:rFonts w:hint="eastAsia"/>
        </w:rPr>
        <w:t>在部件价格层面，谐波减速器的降价最为直观：哈默纳科单台售价约1,500—3,000元，而来福谐波谐波减速器的平均售价已由2023年的795元/台降至2025年的571元/台，降幅28.2%，同期谐波减速器毛利率由29.9%降至24.6%。这一趋势对上游企业提出了明确要求：单纯依靠标准件出货难以维持盈利，必须通过一体化集成、规格差异化或制造效率提升来对冲价格下行。</w:t>
      </w:r>
    </w:p>
    <w:p>
      <w:pPr>
        <w:pStyle w:val="a0"/>
      </w:pPr>
      <w:r>
        <w:rPr>
          <w:rFonts w:hint="eastAsia"/>
        </w:rPr>
        <w:t>在整机层面，当前一台可执行作业任务的轮式人形机器人整机成本约15万元，其中轮式底盘约5万元、协作臂约6万元、灵巧手约2万元，三大板块合计占BOM成本80%以上。若要进入10万元以内的终端市场，上述三部分成本需分别压缩至约3万元、3万元和1万元。作为参照，特斯拉计划在Optimus达到年产100万台时将生产成本降至2万—2.5万美元/台。</w:t>
      </w:r>
    </w:p>
    <w:p>
      <w:pPr>
        <w:pStyle w:val="3"/>
        <w:numPr>
          <w:ilvl w:val="0"/>
          <w:numId w:val="0"/>
        </w:numPr>
        <w:spacing w:before="156" w:after="156"/>
      </w:pPr>
      <w:bookmarkStart w:id="1018" w:name="_Toc900018"/>
      <w:r>
        <w:rPr>
          <w:rFonts w:hint="eastAsia"/>
        </w:rPr>
        <w:t>3.5 相关政策</w:t>
      </w:r>
      <w:bookmarkEnd w:id="1018"/>
    </w:p>
    <w:p>
      <w:pPr>
        <w:pStyle w:val="a0"/>
      </w:pPr>
      <w:r>
        <w:rPr>
          <w:rFonts w:hint="eastAsia"/>
        </w:rPr>
        <w:t>政策是本轮人形机器人产业加速的重要推动力。2026年政府工作报告提出建立未来产业投入增长和风险分担机制，培育发展未来能源、量子科技、具身智能、脑机接口、6G等未来产业；"十五五"规划纲要草案亦提出前瞻布局未来产业，推动具身智能等成为新的经济增长点。这是具身智能首次被写入政府工作报告并列入国家重点培育的未来产业。</w:t>
      </w:r>
    </w:p>
    <w:p>
      <w:pPr>
        <w:pStyle w:val="a0"/>
      </w:pPr>
      <w:r>
        <w:rPr>
          <w:rFonts w:hint="eastAsia"/>
        </w:rPr>
        <w:t>部委层面，工业和信息化部此前印发的《人形机器人创新发展指导意见》提出，到2027年人形机器人技术创新能力显著提升，形成安全可靠的产业链供应链体系，构建具有国际竞争力的产业生态；工信部明确将以人形机器人为"小切口"带动具身智能"大产业"发展，并支持地方因地制宜建设未来产业先导区、加大政府投资基金投资力度。资本市场层面，科创板新政将人形机器人、具身智能纳入第五套上市标准适用范围，不设盈利指标要求，仅要求预计市值不低于40亿元、拥有核心自研技术并具备规模化落地场景，为未盈利的具身智能企业打开了A股上市通道。</w:t>
      </w:r>
    </w:p>
    <w:p>
      <w:pPr>
        <w:pStyle w:val="a0"/>
      </w:pPr>
      <w:r>
        <w:rPr>
          <w:rFonts w:hint="eastAsia"/>
        </w:rPr>
        <w:t>地方层面，北京、上海、深圳、杭州、合肥、无锡、天津、湖北等地密集出台具身智能专项政策，并以产业园区和数据采集中心为抓手搭建专业化服务平台。地方国资平台既是政策执行主体，也是当前人形机器人最主要的采购方，这构成了2025—2026年需求的重要支撑，同时也意味着需求节奏与地方财政和产业基金安排高度相关。</w:t>
      </w:r>
    </w:p>
    <w:p>
      <w:pPr>
        <w:pStyle w:val="3"/>
        <w:numPr>
          <w:ilvl w:val="0"/>
          <w:numId w:val="0"/>
        </w:numPr>
        <w:spacing w:before="156" w:after="156"/>
      </w:pPr>
      <w:bookmarkStart w:id="1019" w:name="_Toc900019"/>
      <w:r>
        <w:rPr>
          <w:rFonts w:hint="eastAsia"/>
        </w:rPr>
        <w:t>3.6 区域产业集群与无锡</w:t>
      </w:r>
      <w:bookmarkEnd w:id="1019"/>
    </w:p>
    <w:p>
      <w:pPr>
        <w:pStyle w:val="a0"/>
      </w:pPr>
      <w:r>
        <w:rPr>
          <w:rFonts w:hint="eastAsia"/>
        </w:rPr>
        <w:t>从区域看，人形机器人产业已在长三角、珠三角和京津冀形成较为集中的产业集群。江苏是重要节点：据公开报道，江苏省2025年人形机器人出货超过2,000台，约占全国产量的六分之一，2026年上半年出货已超过1万台。</w:t>
      </w:r>
    </w:p>
    <w:p>
      <w:pPr>
        <w:pStyle w:val="a0"/>
      </w:pPr>
      <w:r>
        <w:rPr>
          <w:rFonts w:hint="eastAsia"/>
        </w:rPr>
        <w:t>无锡是江苏具身智能产业链的重要承载地，也是无锡巨蟹所在地。2026年6月11—13日举办的长三角机器人及自动化展览会暨无锡具身智能机器人产业链伙伴大会上，宇树、奇瑞墨甲、乐聚、加速进化等国内具身智能企业与13家无锡本土整机企业同台参展，覆盖轴承、线缆、模组、芯片、电机、算力中心和软件平台的全产业链集群初步成形，会上20个重大产业项目集中签约，签约总额超过57亿元。本地整机企业的集聚为区域内的关节模组供应商提供了近距离配套、快速联调和联合开发的条件，这是无锡巨蟹相对于外地同类企业的区位优势之一。</w:t>
      </w:r>
    </w:p>
    <w:p/>
    <w:p/>
    <w:p>
      <w:pPr>
        <w:pStyle w:val="2"/>
        <w:spacing w:before="156" w:after="156"/>
      </w:pPr>
      <w:bookmarkStart w:id="1020" w:name="_Toc900020"/>
      <w:r>
        <w:rPr>
          <w:rFonts w:hint="eastAsia"/>
          <w:b/>
        </w:rPr>
        <w:t>行业格局、发展趋势及产业机会</w:t>
      </w:r>
      <w:bookmarkEnd w:id="1020"/>
    </w:p>
    <w:p>
      <w:pPr>
        <w:pStyle w:val="3"/>
        <w:numPr>
          <w:ilvl w:val="0"/>
          <w:numId w:val="0"/>
        </w:numPr>
        <w:spacing w:before="156" w:after="156"/>
      </w:pPr>
      <w:bookmarkStart w:id="1021" w:name="_Toc900021"/>
      <w:r>
        <w:rPr>
          <w:rFonts w:hint="eastAsia"/>
        </w:rPr>
        <w:t>4.1 整机环节竞争格局</w:t>
      </w:r>
      <w:bookmarkEnd w:id="1021"/>
    </w:p>
    <w:p>
      <w:pPr>
        <w:pStyle w:val="a0"/>
      </w:pPr>
      <w:r>
        <w:rPr>
          <w:rFonts w:hint="eastAsia"/>
        </w:rPr>
        <w:t>据北京赛迪出版传媒与中国电子报联合发布的《2025年人形机器人市场研究报告》，2025年全球人形机器人出货量约1.7万台，宇树科技以超过5,500台的出货量和32.4%的市场占比在出货量和份额两个维度均居全球第一；智元机器人以约4,000台、23.5%的份额位居第二；乐聚、加速进化、松延动力约各1,000台并列第三。中国企业包揽全球出货量前六名，合计占全球74.1%。另据新战略咨询《2025—2026年度人形机器人产业发展研究报告》，宇树5,500台、智元5,168台，份额分别为25%和24%；该报告同时指出第一梯队的宇树、智元、乐聚出货量均已突破2,000台。两套数据对智元的出货量差异较大，引用时须注明口径。</w:t>
      </w:r>
    </w:p>
    <w:p>
      <w:pPr>
        <w:keepNext/>
        <w:jc w:val="center"/>
      </w:pPr>
      <w:r>
        <w:drawing>
          <wp:inline xmlns:a="http://schemas.openxmlformats.org/drawingml/2006/main" xmlns:pic="http://schemas.openxmlformats.org/drawingml/2006/picture">
            <wp:extent cx="5074920" cy="2483471"/>
            <wp:docPr id="6" name="Picture 6"/>
            <wp:cNvGraphicFramePr>
              <a:graphicFrameLocks noChangeAspect="1"/>
            </wp:cNvGraphicFramePr>
            <a:graphic>
              <a:graphicData uri="http://schemas.openxmlformats.org/drawingml/2006/picture">
                <pic:pic>
                  <pic:nvPicPr>
                    <pic:cNvPr id="0" name="fig2.png"/>
                    <pic:cNvPicPr/>
                  </pic:nvPicPr>
                  <pic:blipFill>
                    <a:blip r:embed="rId21"/>
                    <a:stretch>
                      <a:fillRect/>
                    </a:stretch>
                  </pic:blipFill>
                  <pic:spPr>
                    <a:xfrm>
                      <a:off x="0" y="0"/>
                      <a:ext cx="5074920" cy="2483471"/>
                    </a:xfrm>
                    <a:prstGeom prst="rect"/>
                  </pic:spPr>
                </pic:pic>
              </a:graphicData>
            </a:graphic>
          </wp:inline>
        </w:drawing>
      </w:r>
    </w:p>
    <w:p>
      <w:pPr>
        <w:jc w:val="center"/>
      </w:pPr>
      <w:r>
        <w:rPr>
          <w:rFonts w:hint="eastAsia"/>
          <w:b/>
          <w:sz w:val="21"/>
        </w:rPr>
        <w:t>图6  2025年全球人形机器人出货量企业份额</w:t>
      </w:r>
    </w:p>
    <w:p>
      <w:pPr>
        <w:pStyle w:val="a6"/>
      </w:pPr>
      <w:r>
        <w:rPr>
          <w:rFonts w:hint="eastAsia"/>
        </w:rPr>
        <w:t>数据来源：北京赛迪出版传媒与中国电子报《2025年人形机器人市场研究报告》。需要说明的是，各机构对第二梯队企业的出货口径差异较大：IDC统计银河通用、优必选、众擎、星尘智能等厂商出货在400台至1,000台之间；优必选2025年年报披露全尺寸具身智能人形机器人销量1,079台；新战略咨询口径下智元为5,168台。本图仅用于观察行业集中度，不作为单家企业出货量的依据。</w:t>
      </w:r>
    </w:p>
    <w:p>
      <w:pPr>
        <w:pStyle w:val="a0"/>
      </w:pPr>
      <w:r>
        <w:rPr>
          <w:rFonts w:hint="eastAsia"/>
        </w:rPr>
        <w:t>从格局特征看，当前整机环节呈现"双寡头＋长尾"的结构：宇树和智元合计占全球出货量约56%（赛迪口径），其余百余家企业分享剩余份额，且多数企业年出货量在百台级以下。这种结构对上游零部件供应商的含义十分明确——头部两三家客户的导入与否，基本决定了供应商的出货量级；而长尾客户虽然数量众多、导入门槛低，但单客户采购量小、账期和回款质量参差，难以支撑规模化产能。</w:t>
      </w:r>
    </w:p>
    <w:p>
      <w:pPr>
        <w:pStyle w:val="a0"/>
      </w:pPr>
      <w:r>
        <w:rPr>
          <w:rFonts w:hint="eastAsia"/>
        </w:rPr>
        <w:t>值得注意的是，头部整机企业普遍具备关节自研能力并已实现部分自供，这对外部模组供应商既构成竞争也带来机会：竞争在于标准规格关节可能被自研替代，机会在于整机厂在产能爬坡期通常需要外部供应商补充产能，且对非主力规格（如颈部、腕部等小扭矩精密关节）更倾向外采。</w:t>
      </w:r>
    </w:p>
    <w:p>
      <w:pPr>
        <w:pStyle w:val="3"/>
        <w:numPr>
          <w:ilvl w:val="0"/>
          <w:numId w:val="0"/>
        </w:numPr>
        <w:spacing w:before="156" w:after="156"/>
      </w:pPr>
      <w:bookmarkStart w:id="1022" w:name="_Toc900022"/>
      <w:r>
        <w:rPr>
          <w:rFonts w:hint="eastAsia"/>
        </w:rPr>
        <w:t>4.2 核心传动与执行环节竞争格局</w:t>
      </w:r>
      <w:bookmarkEnd w:id="1022"/>
    </w:p>
    <w:p>
      <w:pPr>
        <w:pStyle w:val="a0"/>
      </w:pPr>
      <w:r>
        <w:rPr>
          <w:rFonts w:hint="eastAsia"/>
        </w:rPr>
        <w:t>核心传动与执行环节的竞争格局可以概括为三句话。第一，谐波减速器环节已形成"哈默纳科高端领先、绿的谐波与来福谐波国内双强"的格局，据GGII，全球工业机器人用谐波减速器TOP4份额2024年已达64.13%、国产厂商份额已达75.11%，集中度与国产化同步提升，但价格与毛利率持续下行。第二，电机环节国产替代最快、增速最高，无框力矩电机与空心杯电机的头部企业2025年均实现数倍增长。第三，编码器环节国产化程度最低，前五大供应商中仅一家为内资企业，是国产供应链中相对薄弱的一环，也因此成为具备自研编码器能力的模组厂商的差异化来源。</w:t>
      </w:r>
    </w:p>
    <w:p>
      <w:pPr>
        <w:pStyle w:val="a0"/>
      </w:pPr>
      <w:r>
        <w:rPr>
          <w:rFonts w:hint="eastAsia"/>
        </w:rPr>
        <w:t>把三者合起来看关节模组环节，竞争的核心已经不是单点性能。行业观点普遍认为，以往比较的是扭矩大小和精度高低，现在比较的是量产一致性、交付稳定性和良率，可复制的制造能力成为新的护城河；同时，一体化是规模化量产的必选项，无法提供一体化方案的模组厂商未来两年将迅速边缘化。预计到2030年，全球关节模组市场将形成5—8家头部企业占据80%以上份额的格局。</w:t>
      </w:r>
    </w:p>
    <w:p>
      <w:pPr>
        <w:pStyle w:val="a0"/>
      </w:pPr>
      <w:r>
        <w:rPr>
          <w:rFonts w:hint="eastAsia"/>
        </w:rPr>
        <w:t>这一判断对无锡巨蟹这类企业意味着，未来两到三年是"卡位窗口"：需要在头部整机厂的量产供应链中取得一个稳定的位置（哪怕只是某几类规格），并在此过程中把交付一致性和良率做到可复制，否则在行业集中度提升后将难以进入前列。</w:t>
      </w:r>
    </w:p>
    <w:p>
      <w:pPr>
        <w:pStyle w:val="3"/>
        <w:numPr>
          <w:ilvl w:val="0"/>
          <w:numId w:val="0"/>
        </w:numPr>
        <w:spacing w:before="156" w:after="156"/>
      </w:pPr>
      <w:bookmarkStart w:id="1023" w:name="_Toc900023"/>
      <w:r>
        <w:rPr>
          <w:rFonts w:hint="eastAsia"/>
        </w:rPr>
        <w:t>4.3 产业链价值迁移与业务机会</w:t>
      </w:r>
      <w:bookmarkEnd w:id="1023"/>
    </w:p>
    <w:p>
      <w:pPr>
        <w:pStyle w:val="a0"/>
      </w:pPr>
      <w:r>
        <w:rPr>
          <w:rFonts w:hint="eastAsia"/>
        </w:rPr>
        <w:t>综合前述出货量扩张、成本快速下降、混合技术架构收敛以及整机集中度提升等趋势，人形机器人产业链的业务机会正在发生迁移，对以谐波减速器、驱动器、编码器和一体化关节模组为主业的企业而言，主要体现在以下四个方向。</w:t>
      </w:r>
    </w:p>
    <w:p>
      <w:pPr>
        <w:pStyle w:val="a0"/>
      </w:pPr>
      <w:r>
        <w:rPr>
          <w:rFonts w:hint="eastAsia"/>
        </w:rPr>
        <w:t>第一，由部件供应转向系统承诺。单一部件的价格竞争已经充分展开——谐波减速器均价三年下降28%、毛利率下降5个百分点即是明证。相比之下，一体化关节模组可以把扭矩密度、精度、寿命、热性能和总线兼容性作为一个整体对外承诺，客户比较的是"这个关节能不能用、好不好装、坏不坏"，而非单个部件的报价。无锡巨蟹自研减速器、驱动器、编码器和力传感器并集成为模组的路径，正处在这一价值迁移的方向上，关键在于能否把系统级指标（而非部件级指标）做成可验证、可复现的对外承诺。</w:t>
      </w:r>
    </w:p>
    <w:p>
      <w:pPr>
        <w:pStyle w:val="a0"/>
      </w:pPr>
      <w:r>
        <w:rPr>
          <w:rFonts w:hint="eastAsia"/>
        </w:rPr>
        <w:t>第二，在差异化规格上建立局部优势。头部企业的产能和成本优势集中在主流规格，而人形机器人的关节谱系正在快速细分：颈部和腕部需要超薄、超轻、小扭矩的模组，腰部和髋部需要大扭矩和高刚度，特种场景（防爆、高温、强电磁）还有额外要求。无锡巨蟹的R48-Lite（Ø48×45.5毫米、0.26公斤、峰值扭矩11N·m）以及非金属谐波减速器能力，属于这一类差异化产品；其为全球首款防爆人形机器人"天魁1号"提供上肢、中标哈尔滨电机厂发电机组智能检查机器人项目，也体现了在特种工业场景的切入路径。</w:t>
      </w:r>
    </w:p>
    <w:p>
      <w:pPr>
        <w:pStyle w:val="a0"/>
      </w:pPr>
      <w:r>
        <w:rPr>
          <w:rFonts w:hint="eastAsia"/>
        </w:rPr>
        <w:t>第三，绑定区域整机生态并沿链条向上。无锡本地已聚集13家整机企业并形成全产业链集群，2026年产业链伙伴大会签约总额超57亿元。对本地零部件企业而言，区位带来的联合开发、快速联调和物流响应优势具有实际价值；同时，向上从关节模组延伸到机械臂、上肢平台乃至半身平台（公司已有通用型上肢硬件平台和人形机械臂产品），能够提高单客户价值量，并在整机厂尚未定型时更早介入产品定义。</w:t>
      </w:r>
    </w:p>
    <w:p>
      <w:pPr>
        <w:pStyle w:val="a0"/>
      </w:pPr>
      <w:r>
        <w:rPr>
          <w:rFonts w:hint="eastAsia"/>
        </w:rPr>
        <w:t>第四，为规模化交付做好制造与质量体系准备。2026年全球头部整机企业合计规划产能突破10万台、实际交付预计4万—6万台，2027年后行业集中度将进一步提升。这一阶段供应商的核心竞争力是产能爬坡速度、批次一致性和不良率控制，以及与之匹配的检测能力（回差、传动精度、疲劳寿命的批量抽检）。对处于A轮阶段、累计交付1,320套模组的企业而言，从"能做"到"能稳定量产"的跨越，是未来两年最主要的经营挑战，也是本次拜访中需要重点了解的内容。</w:t>
      </w:r>
    </w:p>
    <w:p/>
    <w:p/>
    <w:p>
      <w:pPr>
        <w:pStyle w:val="2"/>
        <w:spacing w:before="156" w:after="156"/>
      </w:pPr>
      <w:bookmarkStart w:id="1024" w:name="_Toc900024"/>
      <w:r>
        <w:rPr>
          <w:rFonts w:hint="eastAsia"/>
          <w:b/>
        </w:rPr>
        <w:t>整机制造环节代表性企业</w:t>
      </w:r>
      <w:bookmarkEnd w:id="1024"/>
    </w:p>
    <w:p>
      <w:pPr>
        <w:pStyle w:val="a0"/>
      </w:pPr>
      <w:r>
        <w:rPr>
          <w:rFonts w:hint="eastAsia"/>
        </w:rPr>
        <w:t>本章对整机环节的代表性企业进行分企业梳理，重点关注产品条线、出货量和商业化现状。需要说明的是，除已上市或已提交上市申请的企业外，多数整机企业的出货量和财务数据来自公司自主披露或第三方统计，口径不完全一致，本报告已逐项标注来源。</w:t>
      </w:r>
    </w:p>
    <w:p>
      <w:pPr>
        <w:pStyle w:val="3"/>
        <w:numPr>
          <w:ilvl w:val="0"/>
          <w:numId w:val="0"/>
        </w:numPr>
        <w:spacing w:before="156" w:after="156"/>
      </w:pPr>
      <w:bookmarkStart w:id="1025" w:name="_Toc900025"/>
      <w:r>
        <w:rPr>
          <w:rFonts w:hint="eastAsia"/>
        </w:rPr>
        <w:t>5.1 宇树科技</w:t>
      </w:r>
      <w:bookmarkEnd w:id="1025"/>
    </w:p>
    <w:p>
      <w:pPr>
        <w:pStyle w:val="a0"/>
      </w:pPr>
      <w:r>
        <w:rPr>
          <w:rFonts w:hint="eastAsia"/>
        </w:rPr>
        <w:t>宇树科技是当前全球出货量最大的人形机器人企业，也是A股人形机器人第一股。据公司科创板招股文件，2025年公司营业收入17.08亿元，同比增长335.36%，毛利率60.27%，扣非后归母净利润6.001亿元，同比增长674.29%；2025年人形机器人出货量超过5,500台（纯人形口径，不含轮式双臂机器人），以32.4%的份额位居全球第一。</w:t>
      </w:r>
    </w:p>
    <w:p>
      <w:pPr>
        <w:pStyle w:val="a0"/>
      </w:pPr>
      <w:r>
        <w:rPr>
          <w:rFonts w:hint="eastAsia"/>
        </w:rPr>
        <w:t>产品条线方面，公司同时经营四足机器人和人形机器人两条产品线。四足机器人已形成XDog、Laikago、AlienGo、A1、Go1、B1、Go2、B2、A2等系列，是公司早期收入的主要来源，产品已进入52个国家的水电站、炼油厂和考古现场等场景。人形机器人方面，2023年首款全尺寸机型H1上市，当年销售5台；2024年中型机型G1上市后开始放量，全年销售410台；2025年在G1、R1等中小尺寸机型带动下出货突破5,500台，同年10月20日发布H2（身高180厘米、体重70公斤，配备仿人双目与仿生人脸）。商业化方面，新加坡滨海湾金沙酒店部署了50台G1人形机器人提供客房服务和多语种导览，是较为典型的规模化商用案例。</w:t>
      </w:r>
    </w:p>
    <w:p>
      <w:pPr>
        <w:pStyle w:val="a0"/>
      </w:pPr>
      <w:r>
        <w:rPr>
          <w:rFonts w:hint="eastAsia"/>
        </w:rPr>
        <w:t>资本化方面，公司科创板IPO于2026年3月20日获上交所受理，7月初获中国证监会同意注册，从受理到注册仅用104天，创下科创板最快全流程审核纪录，证券代码688836。据公司2026年8月6日发行公告，本次发行数量4,044.6434万股，占发行后总股本10%，无老股转让；发行价格确定为150.80元/股，对应发行后市值约609亿元，预计募集资金总额约60.99亿元，发行市盈率219.23倍，高于行业平均市盈率38.56倍；网上、网下申购日均为8月10日，按科创板每签500股计算，中一签需缴款7.54万元；战略配售总量808.9286万股，投资者包括社保基金、深度求索、中国石油集团、南方电网等。保荐人（主承销商）为中信证券。需要说明的是，招股阶段披露的拟募集资金为42.02亿元、发行底价约103.9元/股（对应估值约420亿元），最终定价显著高于该水平。</w:t>
      </w:r>
    </w:p>
    <w:p>
      <w:pPr>
        <w:pStyle w:val="3"/>
        <w:numPr>
          <w:ilvl w:val="0"/>
          <w:numId w:val="0"/>
        </w:numPr>
        <w:spacing w:before="156" w:after="156"/>
      </w:pPr>
      <w:bookmarkStart w:id="1026" w:name="_Toc900026"/>
      <w:r>
        <w:rPr>
          <w:rFonts w:hint="eastAsia"/>
        </w:rPr>
        <w:t>5.2 智元机器人</w:t>
      </w:r>
      <w:bookmarkEnd w:id="1026"/>
    </w:p>
    <w:p>
      <w:pPr>
        <w:pStyle w:val="a0"/>
      </w:pPr>
      <w:r>
        <w:rPr>
          <w:rFonts w:hint="eastAsia"/>
        </w:rPr>
        <w:t>智元机器人是国内出货量第二、产品矩阵最完整的整机企业之一。据第三方统计，2025年公司人形机器人出货约4,000台，全球份额23.5%；公司自主披露，截至2025年12月8日第5,000台通用具身机器人量产下线交付，其中灵犀X1/X2系列1,846台、远征A1/A2系列1,742台、精灵G1/G2系列1,412台。</w:t>
      </w:r>
    </w:p>
    <w:p>
      <w:pPr>
        <w:pStyle w:val="a0"/>
      </w:pPr>
      <w:r>
        <w:rPr>
          <w:rFonts w:hint="eastAsia"/>
        </w:rPr>
        <w:t>产品条线方面，公司形成灵犀、远征、精灵三大系列：灵犀系列（X1/X2）为中小尺寸双足机型，面向科研教育和交互场景，其中灵犀X2身高约1.3米；远征系列（A1/A2）为全尺寸双足机型，面向工业搬运等场景，2024年8月发布第二代远征A2并宣布正式进入商用交付；精灵系列（G1/G2）为轮式双臂机型，面向商用服务和家庭场景。三条产品线的出货较为均衡，说明公司采取的是"多形态覆盖多场景"的策略，而非押注单一形态。</w:t>
      </w:r>
    </w:p>
    <w:p>
      <w:pPr>
        <w:pStyle w:val="a0"/>
      </w:pPr>
      <w:r>
        <w:rPr>
          <w:rFonts w:hint="eastAsia"/>
        </w:rPr>
        <w:t>资本化方面，智元采取了通过上市公司平台实现证券化的路径。2025年7月8日，公司先通过协议转让取得上纬新材（688585.SH）29.99%股份；9月23日完成过户登记，以"协议转让＋部分要约收购"合计21亿元对价取得上纬新材66.99%控股权，公司董事长、CEO邓泰华成为上市公司实际控制人。智元方面回应称该交易不构成重组上市，不属于借壳上市。该安排为智元的投资人（高瓴、红杉、腾讯等）提供了未来通过上市公司定增退出的路径，也为公司提供了年研发投入超10亿元所需的低成本融资平台。</w:t>
      </w:r>
    </w:p>
    <w:p>
      <w:pPr>
        <w:pStyle w:val="3"/>
        <w:numPr>
          <w:ilvl w:val="0"/>
          <w:numId w:val="0"/>
        </w:numPr>
        <w:spacing w:before="156" w:after="156"/>
      </w:pPr>
      <w:bookmarkStart w:id="1027" w:name="_Toc900027"/>
      <w:r>
        <w:rPr>
          <w:rFonts w:hint="eastAsia"/>
        </w:rPr>
        <w:t>5.3 优必选</w:t>
      </w:r>
      <w:bookmarkEnd w:id="1027"/>
    </w:p>
    <w:p>
      <w:pPr>
        <w:pStyle w:val="a0"/>
      </w:pPr>
      <w:r>
        <w:rPr>
          <w:rFonts w:hint="eastAsia"/>
        </w:rPr>
        <w:t>优必选（09880.HK）是首家在港股上市的人形机器人企业，也是2025年订单金额最高的机器人企业。据公司2025年年报，全年总营收20.01亿元，同比增长53.3%；其中全尺寸具身智能人形机器人收入8.2亿元，同比增长2,203.7%，收入占比达41.0%，成为公司第一大收入来源，该业务毛利4.48亿元，同比增长1,568.1%；全尺寸具身智能人形机器人销量1,079台，2024年同期为3台。</w:t>
      </w:r>
    </w:p>
    <w:p>
      <w:pPr>
        <w:pStyle w:val="a0"/>
      </w:pPr>
      <w:r>
        <w:rPr>
          <w:rFonts w:hint="eastAsia"/>
        </w:rPr>
        <w:t>产品条线方面，公司以Walker系列全尺寸工业人形机器人为核心，2025年主力交付机型为Walker S2，同时保留教育、物流、康养等既有业务线。商业化方面，2025年公司订单合计金额接近14亿元，位居机器人领域年度订单首位，主要包括：9月获得的2.5亿元采购合同（客户为国内某知名企业，产品以Walker S2为主），为当时全球人形机器人最大采购合同；与天奇股份签署的3,000万元Walker S2采购订单；12月中标惠州市惠阳区人形机器人大湾区数据采集中心项目，金额5,962.015万元。</w:t>
      </w:r>
    </w:p>
    <w:p>
      <w:pPr>
        <w:pStyle w:val="a0"/>
      </w:pPr>
      <w:r>
        <w:rPr>
          <w:rFonts w:hint="eastAsia"/>
        </w:rPr>
        <w:t>优必选的案例说明，人形机器人在工业和数据采集场景已经能够形成亿元级的单笔订单，但从"订单"到"收入"仍有交付节奏和验收周期的差异，公司整体仍处于商业化过渡期。</w:t>
      </w:r>
    </w:p>
    <w:p>
      <w:pPr>
        <w:pStyle w:val="3"/>
        <w:numPr>
          <w:ilvl w:val="0"/>
          <w:numId w:val="0"/>
        </w:numPr>
        <w:spacing w:before="156" w:after="156"/>
      </w:pPr>
      <w:bookmarkStart w:id="1028" w:name="_Toc900028"/>
      <w:r>
        <w:rPr>
          <w:rFonts w:hint="eastAsia"/>
        </w:rPr>
        <w:t>5.4 第二梯队与新兴整机企业</w:t>
      </w:r>
      <w:bookmarkEnd w:id="1028"/>
    </w:p>
    <w:p>
      <w:pPr>
        <w:pStyle w:val="a0"/>
      </w:pPr>
      <w:r>
        <w:rPr>
          <w:rFonts w:hint="eastAsia"/>
        </w:rPr>
        <w:t>第二梯队企业在出货量上与头部存在数量级差距，但在细分场景、技术路线和资本化进度上各具特点。主要企业情况如下：</w:t>
      </w:r>
    </w:p>
    <w:p>
      <w:pPr>
        <w:keepNext/>
        <w:jc w:val="center"/>
      </w:pPr>
      <w:r>
        <w:rPr>
          <w:rFonts w:hint="eastAsia"/>
          <w:b/>
          <w:sz w:val="21"/>
        </w:rPr>
        <w:t>表7  第二梯队及新兴人形机器人整机企业概览</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507"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1377" w:type="pct"/>
            <w:tcBorders>
              <w:top w:val="single" w:sz="12" w:space="0" w:color="010000"/>
              <w:bottom w:val="single" w:sz="4" w:space="0" w:color="010000"/>
            </w:tcBorders>
            <w:vAlign w:val="center"/>
          </w:tcPr>
          <w:p>
            <w:pPr>
              <w:keepNext/>
              <w:jc w:val="center"/>
            </w:pPr>
            <w:r/>
            <w:r>
              <w:rPr>
                <w:rFonts w:hint="eastAsia"/>
                <w:b/>
                <w:color w:val="000000"/>
                <w:sz w:val="21"/>
              </w:rPr>
              <w:t>主要产品条线</w:t>
            </w:r>
          </w:p>
        </w:tc>
        <w:tc>
          <w:tcPr>
            <w:tcW w:w="1232" w:type="pct"/>
            <w:tcBorders>
              <w:top w:val="single" w:sz="12" w:space="0" w:color="010000"/>
              <w:bottom w:val="single" w:sz="4" w:space="0" w:color="010000"/>
            </w:tcBorders>
            <w:vAlign w:val="center"/>
          </w:tcPr>
          <w:p>
            <w:pPr>
              <w:keepNext/>
              <w:jc w:val="center"/>
            </w:pPr>
            <w:r/>
            <w:r>
              <w:rPr>
                <w:rFonts w:hint="eastAsia"/>
                <w:b/>
                <w:color w:val="000000"/>
                <w:sz w:val="21"/>
              </w:rPr>
              <w:t>出货量与订单</w:t>
            </w:r>
          </w:p>
        </w:tc>
        <w:tc>
          <w:tcPr>
            <w:tcW w:w="1884" w:type="pct"/>
            <w:tcBorders>
              <w:top w:val="single" w:sz="12" w:space="0" w:color="010000"/>
              <w:bottom w:val="single" w:sz="4" w:space="0" w:color="010000"/>
            </w:tcBorders>
            <w:vAlign w:val="center"/>
          </w:tcPr>
          <w:p>
            <w:pPr>
              <w:keepNext/>
              <w:jc w:val="center"/>
            </w:pPr>
            <w:r/>
            <w:r>
              <w:rPr>
                <w:rFonts w:hint="eastAsia"/>
                <w:b/>
                <w:color w:val="000000"/>
                <w:sz w:val="21"/>
              </w:rPr>
              <w:t>商业化及资本化现状</w:t>
            </w:r>
          </w:p>
        </w:tc>
      </w:tr>
      <w:tr>
        <w:trPr>
          <w:cantSplit/>
          <w:jc w:val="center"/>
        </w:trPr>
        <w:tc>
          <w:tcPr>
            <w:tcW w:w="507" w:type="pct"/>
            <w:tcBorders>
              <w:top w:val="single" w:sz="4" w:space="0" w:color="010000"/>
            </w:tcBorders>
            <w:vAlign w:val="center"/>
          </w:tcPr>
          <w:p>
            <w:pPr>
              <w:jc w:val="left"/>
            </w:pPr>
            <w:r/>
            <w:r>
              <w:rPr>
                <w:rFonts w:hint="eastAsia"/>
                <w:color w:val="000000"/>
                <w:sz w:val="21"/>
              </w:rPr>
              <w:t>乐聚智能</w:t>
            </w:r>
          </w:p>
        </w:tc>
        <w:tc>
          <w:tcPr>
            <w:tcW w:w="1377" w:type="pct"/>
            <w:tcBorders>
              <w:top w:val="single" w:sz="4" w:space="0" w:color="010000"/>
            </w:tcBorders>
            <w:vAlign w:val="center"/>
          </w:tcPr>
          <w:p>
            <w:pPr>
              <w:jc w:val="left"/>
            </w:pPr>
            <w:r/>
            <w:r>
              <w:rPr>
                <w:rFonts w:hint="eastAsia"/>
                <w:color w:val="000000"/>
                <w:sz w:val="21"/>
              </w:rPr>
              <w:t>以轻量化人形机器人为主，教育与工业场景落地较为成熟。</w:t>
            </w:r>
          </w:p>
        </w:tc>
        <w:tc>
          <w:tcPr>
            <w:tcW w:w="1232" w:type="pct"/>
            <w:tcBorders>
              <w:top w:val="single" w:sz="4" w:space="0" w:color="010000"/>
            </w:tcBorders>
            <w:vAlign w:val="center"/>
          </w:tcPr>
          <w:p>
            <w:pPr>
              <w:jc w:val="left"/>
            </w:pPr>
            <w:r/>
            <w:r>
              <w:rPr>
                <w:rFonts w:hint="eastAsia"/>
                <w:color w:val="000000"/>
                <w:sz w:val="21"/>
              </w:rPr>
              <w:t>2025年出货约1,000台（第三方统计），并列全球第三。</w:t>
            </w:r>
          </w:p>
        </w:tc>
        <w:tc>
          <w:tcPr>
            <w:tcW w:w="1884" w:type="pct"/>
            <w:tcBorders>
              <w:top w:val="single" w:sz="4" w:space="0" w:color="010000"/>
            </w:tcBorders>
            <w:vAlign w:val="center"/>
          </w:tcPr>
          <w:p>
            <w:pPr>
              <w:jc w:val="left"/>
            </w:pPr>
            <w:r/>
            <w:r>
              <w:rPr>
                <w:rFonts w:hint="eastAsia"/>
                <w:color w:val="000000"/>
                <w:sz w:val="21"/>
              </w:rPr>
              <w:t>创业板IPO于2026年5月19日获深交所受理，为首家适用创业板第四套上市标准获受理的企业，拟募资26亿元，保荐人为东方证券；5月26日进入已问询状态；招股信息显示预计最早2028年盈利，腾讯、深创投为股东。</w:t>
            </w:r>
          </w:p>
        </w:tc>
      </w:tr>
      <w:tr>
        <w:trPr>
          <w:cantSplit/>
          <w:jc w:val="center"/>
        </w:trPr>
        <w:tc>
          <w:tcPr>
            <w:tcW w:w="507" w:type="pct"/>
            <w:tcBorders>
              <w:top w:val="single" w:sz="4" w:space="0" w:color="010000"/>
            </w:tcBorders>
            <w:vAlign w:val="center"/>
          </w:tcPr>
          <w:p>
            <w:pPr>
              <w:jc w:val="left"/>
            </w:pPr>
            <w:r/>
            <w:r>
              <w:rPr>
                <w:rFonts w:hint="eastAsia"/>
                <w:color w:val="000000"/>
                <w:sz w:val="21"/>
              </w:rPr>
              <w:t>云深处科技</w:t>
            </w:r>
          </w:p>
        </w:tc>
        <w:tc>
          <w:tcPr>
            <w:tcW w:w="1377" w:type="pct"/>
            <w:tcBorders>
              <w:top w:val="single" w:sz="4" w:space="0" w:color="010000"/>
            </w:tcBorders>
            <w:vAlign w:val="center"/>
          </w:tcPr>
          <w:p>
            <w:pPr>
              <w:jc w:val="left"/>
            </w:pPr>
            <w:r/>
            <w:r>
              <w:rPr>
                <w:rFonts w:hint="eastAsia"/>
                <w:color w:val="000000"/>
                <w:sz w:val="21"/>
              </w:rPr>
              <w:t>以高负载四足机器人为核心，并向人形产品延伸，专注电力与矿山巡检。</w:t>
            </w:r>
          </w:p>
        </w:tc>
        <w:tc>
          <w:tcPr>
            <w:tcW w:w="1232" w:type="pct"/>
            <w:tcBorders>
              <w:top w:val="single" w:sz="4" w:space="0" w:color="010000"/>
            </w:tcBorders>
            <w:vAlign w:val="center"/>
          </w:tcPr>
          <w:p>
            <w:pPr>
              <w:jc w:val="left"/>
            </w:pPr>
            <w:r/>
            <w:r>
              <w:rPr>
                <w:rFonts w:hint="eastAsia"/>
                <w:color w:val="000000"/>
                <w:sz w:val="21"/>
              </w:rPr>
              <w:t>四足机器人领域收入超过波士顿动力，已实现扭亏为盈。</w:t>
            </w:r>
          </w:p>
        </w:tc>
        <w:tc>
          <w:tcPr>
            <w:tcW w:w="1884" w:type="pct"/>
            <w:tcBorders>
              <w:top w:val="single" w:sz="4" w:space="0" w:color="010000"/>
            </w:tcBorders>
            <w:vAlign w:val="center"/>
          </w:tcPr>
          <w:p>
            <w:pPr>
              <w:jc w:val="left"/>
            </w:pPr>
            <w:r/>
            <w:r>
              <w:rPr>
                <w:rFonts w:hint="eastAsia"/>
                <w:color w:val="000000"/>
                <w:sz w:val="21"/>
              </w:rPr>
              <w:t>2025年12月23日提交辅导备案，2026年5月18日科创板IPO获上交所受理，拟募资25.03亿元，保荐机构为中信建投证券；市场估值参考约139亿元。</w:t>
            </w:r>
          </w:p>
        </w:tc>
      </w:tr>
      <w:tr>
        <w:trPr>
          <w:cantSplit/>
          <w:jc w:val="center"/>
        </w:trPr>
        <w:tc>
          <w:tcPr>
            <w:tcW w:w="507" w:type="pct"/>
            <w:tcBorders>
              <w:top w:val="single" w:sz="4" w:space="0" w:color="010000"/>
            </w:tcBorders>
            <w:vAlign w:val="center"/>
          </w:tcPr>
          <w:p>
            <w:pPr>
              <w:jc w:val="left"/>
            </w:pPr>
            <w:r/>
            <w:r>
              <w:rPr>
                <w:rFonts w:hint="eastAsia"/>
                <w:color w:val="000000"/>
                <w:sz w:val="21"/>
              </w:rPr>
              <w:t>众擎机器人</w:t>
            </w:r>
          </w:p>
        </w:tc>
        <w:tc>
          <w:tcPr>
            <w:tcW w:w="1377" w:type="pct"/>
            <w:tcBorders>
              <w:top w:val="single" w:sz="4" w:space="0" w:color="010000"/>
            </w:tcBorders>
            <w:vAlign w:val="center"/>
          </w:tcPr>
          <w:p>
            <w:pPr>
              <w:jc w:val="left"/>
            </w:pPr>
            <w:r/>
            <w:r>
              <w:rPr>
                <w:rFonts w:hint="eastAsia"/>
                <w:color w:val="000000"/>
                <w:sz w:val="21"/>
              </w:rPr>
              <w:t>PM01等中小尺寸双足机型，2024年12月26日发布PM01并开售，统一售价8.8万元。</w:t>
            </w:r>
          </w:p>
        </w:tc>
        <w:tc>
          <w:tcPr>
            <w:tcW w:w="1232" w:type="pct"/>
            <w:tcBorders>
              <w:top w:val="single" w:sz="4" w:space="0" w:color="010000"/>
            </w:tcBorders>
            <w:vAlign w:val="center"/>
          </w:tcPr>
          <w:p>
            <w:pPr>
              <w:jc w:val="left"/>
            </w:pPr>
            <w:r/>
            <w:r>
              <w:rPr>
                <w:rFonts w:hint="eastAsia"/>
                <w:color w:val="000000"/>
                <w:sz w:val="21"/>
              </w:rPr>
              <w:t>2025年出货量约400—1,000台（IDC口径）；与多伦科技签署2,000台三年期框架采购协议。</w:t>
            </w:r>
          </w:p>
        </w:tc>
        <w:tc>
          <w:tcPr>
            <w:tcW w:w="1884" w:type="pct"/>
            <w:tcBorders>
              <w:top w:val="single" w:sz="4" w:space="0" w:color="010000"/>
            </w:tcBorders>
            <w:vAlign w:val="center"/>
          </w:tcPr>
          <w:p>
            <w:pPr>
              <w:jc w:val="left"/>
            </w:pPr>
            <w:r/>
            <w:r>
              <w:rPr>
                <w:rFonts w:hint="eastAsia"/>
                <w:color w:val="000000"/>
                <w:sz w:val="21"/>
              </w:rPr>
              <w:t>已完成股改，估值进入百亿元阵营；与尚品宅配开展智能家居生态合作。</w:t>
            </w:r>
          </w:p>
        </w:tc>
      </w:tr>
      <w:tr>
        <w:trPr>
          <w:cantSplit/>
          <w:jc w:val="center"/>
        </w:trPr>
        <w:tc>
          <w:tcPr>
            <w:tcW w:w="507" w:type="pct"/>
            <w:tcBorders>
              <w:top w:val="single" w:sz="4" w:space="0" w:color="010000"/>
            </w:tcBorders>
            <w:vAlign w:val="center"/>
          </w:tcPr>
          <w:p>
            <w:pPr>
              <w:jc w:val="left"/>
            </w:pPr>
            <w:r/>
            <w:r>
              <w:rPr>
                <w:rFonts w:hint="eastAsia"/>
                <w:color w:val="000000"/>
                <w:sz w:val="21"/>
              </w:rPr>
              <w:t>松延动力</w:t>
            </w:r>
          </w:p>
        </w:tc>
        <w:tc>
          <w:tcPr>
            <w:tcW w:w="1377" w:type="pct"/>
            <w:tcBorders>
              <w:top w:val="single" w:sz="4" w:space="0" w:color="010000"/>
            </w:tcBorders>
            <w:vAlign w:val="center"/>
          </w:tcPr>
          <w:p>
            <w:pPr>
              <w:jc w:val="left"/>
            </w:pPr>
            <w:r/>
            <w:r>
              <w:rPr>
                <w:rFonts w:hint="eastAsia"/>
                <w:color w:val="000000"/>
                <w:sz w:val="21"/>
              </w:rPr>
              <w:t>N2等中小尺寸双足机型，主打高性价比。</w:t>
            </w:r>
          </w:p>
        </w:tc>
        <w:tc>
          <w:tcPr>
            <w:tcW w:w="1232" w:type="pct"/>
            <w:tcBorders>
              <w:top w:val="single" w:sz="4" w:space="0" w:color="010000"/>
            </w:tcBorders>
            <w:vAlign w:val="center"/>
          </w:tcPr>
          <w:p>
            <w:pPr>
              <w:jc w:val="left"/>
            </w:pPr>
            <w:r/>
            <w:r>
              <w:rPr>
                <w:rFonts w:hint="eastAsia"/>
                <w:color w:val="000000"/>
                <w:sz w:val="21"/>
              </w:rPr>
              <w:t>2025年总订单超2,500台，合同总额超1亿元。</w:t>
            </w:r>
          </w:p>
        </w:tc>
        <w:tc>
          <w:tcPr>
            <w:tcW w:w="1884" w:type="pct"/>
            <w:tcBorders>
              <w:top w:val="single" w:sz="4" w:space="0" w:color="010000"/>
            </w:tcBorders>
            <w:vAlign w:val="center"/>
          </w:tcPr>
          <w:p>
            <w:pPr>
              <w:jc w:val="left"/>
            </w:pPr>
            <w:r/>
            <w:r>
              <w:rPr>
                <w:rFonts w:hint="eastAsia"/>
                <w:color w:val="000000"/>
                <w:sz w:val="21"/>
              </w:rPr>
              <w:t>订单主要覆盖教育、科研、文旅展演和商业演出；已完成股改。</w:t>
            </w:r>
          </w:p>
        </w:tc>
      </w:tr>
      <w:tr>
        <w:trPr>
          <w:cantSplit/>
          <w:jc w:val="center"/>
        </w:trPr>
        <w:tc>
          <w:tcPr>
            <w:tcW w:w="507" w:type="pct"/>
            <w:tcBorders>
              <w:top w:val="single" w:sz="4" w:space="0" w:color="010000"/>
            </w:tcBorders>
            <w:vAlign w:val="center"/>
          </w:tcPr>
          <w:p>
            <w:pPr>
              <w:jc w:val="left"/>
            </w:pPr>
            <w:r/>
            <w:r>
              <w:rPr>
                <w:rFonts w:hint="eastAsia"/>
                <w:color w:val="000000"/>
                <w:sz w:val="21"/>
              </w:rPr>
              <w:t>加速进化</w:t>
            </w:r>
          </w:p>
        </w:tc>
        <w:tc>
          <w:tcPr>
            <w:tcW w:w="1377" w:type="pct"/>
            <w:tcBorders>
              <w:top w:val="single" w:sz="4" w:space="0" w:color="010000"/>
            </w:tcBorders>
            <w:vAlign w:val="center"/>
          </w:tcPr>
          <w:p>
            <w:pPr>
              <w:jc w:val="left"/>
            </w:pPr>
            <w:r/>
            <w:r>
              <w:rPr>
                <w:rFonts w:hint="eastAsia"/>
                <w:color w:val="000000"/>
                <w:sz w:val="21"/>
              </w:rPr>
              <w:t>面向教育科研和开发者的中小尺寸人形机器人。</w:t>
            </w:r>
          </w:p>
        </w:tc>
        <w:tc>
          <w:tcPr>
            <w:tcW w:w="1232" w:type="pct"/>
            <w:tcBorders>
              <w:top w:val="single" w:sz="4" w:space="0" w:color="010000"/>
            </w:tcBorders>
            <w:vAlign w:val="center"/>
          </w:tcPr>
          <w:p>
            <w:pPr>
              <w:jc w:val="left"/>
            </w:pPr>
            <w:r/>
            <w:r>
              <w:rPr>
                <w:rFonts w:hint="eastAsia"/>
                <w:color w:val="000000"/>
                <w:sz w:val="21"/>
              </w:rPr>
              <w:t>2025年出货约1,000台（第三方统计）。</w:t>
            </w:r>
          </w:p>
        </w:tc>
        <w:tc>
          <w:tcPr>
            <w:tcW w:w="1884" w:type="pct"/>
            <w:tcBorders>
              <w:top w:val="single" w:sz="4" w:space="0" w:color="010000"/>
            </w:tcBorders>
            <w:vAlign w:val="center"/>
          </w:tcPr>
          <w:p>
            <w:pPr>
              <w:jc w:val="left"/>
            </w:pPr>
            <w:r/>
            <w:r>
              <w:rPr>
                <w:rFonts w:hint="eastAsia"/>
                <w:color w:val="000000"/>
                <w:sz w:val="21"/>
              </w:rPr>
              <w:t>以开发者生态和赛事场景切入，属于出货量领先但单价较低的类型。</w:t>
            </w:r>
          </w:p>
        </w:tc>
      </w:tr>
      <w:tr>
        <w:trPr>
          <w:cantSplit/>
          <w:jc w:val="center"/>
        </w:trPr>
        <w:tc>
          <w:tcPr>
            <w:tcW w:w="507" w:type="pct"/>
            <w:tcBorders>
              <w:top w:val="single" w:sz="4" w:space="0" w:color="010000"/>
            </w:tcBorders>
            <w:vAlign w:val="center"/>
          </w:tcPr>
          <w:p>
            <w:pPr>
              <w:jc w:val="left"/>
            </w:pPr>
            <w:r/>
            <w:r>
              <w:rPr>
                <w:rFonts w:hint="eastAsia"/>
                <w:color w:val="000000"/>
                <w:sz w:val="21"/>
              </w:rPr>
              <w:t>星动纪元</w:t>
            </w:r>
          </w:p>
        </w:tc>
        <w:tc>
          <w:tcPr>
            <w:tcW w:w="1377" w:type="pct"/>
            <w:tcBorders>
              <w:top w:val="single" w:sz="4" w:space="0" w:color="010000"/>
            </w:tcBorders>
            <w:vAlign w:val="center"/>
          </w:tcPr>
          <w:p>
            <w:pPr>
              <w:jc w:val="left"/>
            </w:pPr>
            <w:r/>
            <w:r>
              <w:rPr>
                <w:rFonts w:hint="eastAsia"/>
                <w:color w:val="000000"/>
                <w:sz w:val="21"/>
              </w:rPr>
              <w:t>整机之外同时销售灵巧手、半身模组等部件，采取"沿途下蛋"的商业化策略。</w:t>
            </w:r>
          </w:p>
        </w:tc>
        <w:tc>
          <w:tcPr>
            <w:tcW w:w="1232" w:type="pct"/>
            <w:tcBorders>
              <w:top w:val="single" w:sz="4" w:space="0" w:color="010000"/>
            </w:tcBorders>
            <w:vAlign w:val="center"/>
          </w:tcPr>
          <w:p>
            <w:pPr>
              <w:jc w:val="left"/>
            </w:pPr>
            <w:r/>
            <w:r>
              <w:rPr>
                <w:rFonts w:hint="eastAsia"/>
                <w:color w:val="000000"/>
                <w:sz w:val="21"/>
              </w:rPr>
              <w:t>总订单已突破5亿元。</w:t>
            </w:r>
          </w:p>
        </w:tc>
        <w:tc>
          <w:tcPr>
            <w:tcW w:w="1884" w:type="pct"/>
            <w:tcBorders>
              <w:top w:val="single" w:sz="4" w:space="0" w:color="010000"/>
            </w:tcBorders>
            <w:vAlign w:val="center"/>
          </w:tcPr>
          <w:p>
            <w:pPr>
              <w:jc w:val="left"/>
            </w:pPr>
            <w:r/>
            <w:r>
              <w:rPr>
                <w:rFonts w:hint="eastAsia"/>
                <w:color w:val="000000"/>
                <w:sz w:val="21"/>
              </w:rPr>
              <w:t>完成近10亿元融资，进入百亿估值阵营。</w:t>
            </w:r>
          </w:p>
        </w:tc>
      </w:tr>
      <w:tr>
        <w:trPr>
          <w:cantSplit/>
          <w:jc w:val="center"/>
        </w:trPr>
        <w:tc>
          <w:tcPr>
            <w:tcW w:w="507" w:type="pct"/>
            <w:tcBorders>
              <w:top w:val="single" w:sz="4" w:space="0" w:color="010000"/>
            </w:tcBorders>
            <w:vAlign w:val="center"/>
          </w:tcPr>
          <w:p>
            <w:pPr>
              <w:jc w:val="left"/>
            </w:pPr>
            <w:r/>
            <w:r>
              <w:rPr>
                <w:rFonts w:hint="eastAsia"/>
                <w:color w:val="000000"/>
                <w:sz w:val="21"/>
              </w:rPr>
              <w:t>银河通用</w:t>
            </w:r>
          </w:p>
        </w:tc>
        <w:tc>
          <w:tcPr>
            <w:tcW w:w="1377" w:type="pct"/>
            <w:tcBorders>
              <w:top w:val="single" w:sz="4" w:space="0" w:color="010000"/>
            </w:tcBorders>
            <w:vAlign w:val="center"/>
          </w:tcPr>
          <w:p>
            <w:pPr>
              <w:jc w:val="left"/>
            </w:pPr>
            <w:r/>
            <w:r>
              <w:rPr>
                <w:rFonts w:hint="eastAsia"/>
                <w:color w:val="000000"/>
                <w:sz w:val="21"/>
              </w:rPr>
              <w:t>轮式双臂机型为主，主打工业柔性产线和零售场景，自研银河星脑AstraBrain及抓取、导航大模型。</w:t>
            </w:r>
          </w:p>
        </w:tc>
        <w:tc>
          <w:tcPr>
            <w:tcW w:w="1232" w:type="pct"/>
            <w:tcBorders>
              <w:top w:val="single" w:sz="4" w:space="0" w:color="010000"/>
            </w:tcBorders>
            <w:vAlign w:val="center"/>
          </w:tcPr>
          <w:p>
            <w:pPr>
              <w:jc w:val="left"/>
            </w:pPr>
            <w:r/>
            <w:r>
              <w:rPr>
                <w:rFonts w:hint="eastAsia"/>
                <w:color w:val="000000"/>
                <w:sz w:val="21"/>
              </w:rPr>
              <w:t>公开报道称累计生产规模领先，工业柔性产线落地较为成熟。</w:t>
            </w:r>
          </w:p>
        </w:tc>
        <w:tc>
          <w:tcPr>
            <w:tcW w:w="1884" w:type="pct"/>
            <w:tcBorders>
              <w:top w:val="single" w:sz="4" w:space="0" w:color="010000"/>
            </w:tcBorders>
            <w:vAlign w:val="center"/>
          </w:tcPr>
          <w:p>
            <w:pPr>
              <w:jc w:val="left"/>
            </w:pPr>
            <w:r/>
            <w:r>
              <w:rPr>
                <w:rFonts w:hint="eastAsia"/>
                <w:color w:val="000000"/>
                <w:sz w:val="21"/>
              </w:rPr>
              <w:t>2026年3月完成25亿元D轮融资，国家大基金首次出手具身智能，累计融资超70亿元，估值约260亿元；计划2026年下半年递交港股申请。</w:t>
            </w:r>
          </w:p>
        </w:tc>
      </w:tr>
      <w:tr>
        <w:trPr>
          <w:cantSplit/>
          <w:jc w:val="center"/>
        </w:trPr>
        <w:tc>
          <w:tcPr>
            <w:tcW w:w="507" w:type="pct"/>
            <w:tcBorders>
              <w:top w:val="single" w:sz="4" w:space="0" w:color="010000"/>
            </w:tcBorders>
            <w:vAlign w:val="center"/>
          </w:tcPr>
          <w:p>
            <w:pPr>
              <w:jc w:val="left"/>
            </w:pPr>
            <w:r/>
            <w:r>
              <w:rPr>
                <w:rFonts w:hint="eastAsia"/>
                <w:color w:val="000000"/>
                <w:sz w:val="21"/>
              </w:rPr>
              <w:t>傅利叶智能</w:t>
            </w:r>
          </w:p>
        </w:tc>
        <w:tc>
          <w:tcPr>
            <w:tcW w:w="1377" w:type="pct"/>
            <w:tcBorders>
              <w:top w:val="single" w:sz="4" w:space="0" w:color="010000"/>
            </w:tcBorders>
            <w:vAlign w:val="center"/>
          </w:tcPr>
          <w:p>
            <w:pPr>
              <w:jc w:val="left"/>
            </w:pPr>
            <w:r/>
            <w:r>
              <w:rPr>
                <w:rFonts w:hint="eastAsia"/>
                <w:color w:val="000000"/>
                <w:sz w:val="21"/>
              </w:rPr>
              <w:t>由康复机器人切入通用人形赛道，力控技术领先；GR-3为主打交互陪伴的Care-bot机型。</w:t>
            </w:r>
          </w:p>
        </w:tc>
        <w:tc>
          <w:tcPr>
            <w:tcW w:w="1232" w:type="pct"/>
            <w:tcBorders>
              <w:top w:val="single" w:sz="4" w:space="0" w:color="010000"/>
            </w:tcBorders>
            <w:vAlign w:val="center"/>
          </w:tcPr>
          <w:p>
            <w:pPr>
              <w:jc w:val="left"/>
            </w:pPr>
            <w:r/>
            <w:r>
              <w:rPr>
                <w:rFonts w:hint="eastAsia"/>
                <w:color w:val="000000"/>
                <w:sz w:val="21"/>
              </w:rPr>
              <w:t>已实现数百台商业交付。</w:t>
            </w:r>
          </w:p>
        </w:tc>
        <w:tc>
          <w:tcPr>
            <w:tcW w:w="1884" w:type="pct"/>
            <w:tcBorders>
              <w:top w:val="single" w:sz="4" w:space="0" w:color="010000"/>
            </w:tcBorders>
            <w:vAlign w:val="center"/>
          </w:tcPr>
          <w:p>
            <w:pPr>
              <w:jc w:val="left"/>
            </w:pPr>
            <w:r/>
            <w:r>
              <w:rPr>
                <w:rFonts w:hint="eastAsia"/>
                <w:color w:val="000000"/>
                <w:sz w:val="21"/>
              </w:rPr>
              <w:t>完成E轮融资并完成股改，已启动科创板上市辅导准备与申报。</w:t>
            </w:r>
          </w:p>
        </w:tc>
      </w:tr>
      <w:tr>
        <w:trPr>
          <w:cantSplit/>
          <w:jc w:val="center"/>
        </w:trPr>
        <w:tc>
          <w:tcPr>
            <w:tcW w:w="507" w:type="pct"/>
            <w:tcBorders>
              <w:top w:val="single" w:sz="4" w:space="0" w:color="010000"/>
            </w:tcBorders>
            <w:vAlign w:val="center"/>
          </w:tcPr>
          <w:p>
            <w:pPr>
              <w:jc w:val="left"/>
            </w:pPr>
            <w:r/>
            <w:r>
              <w:rPr>
                <w:rFonts w:hint="eastAsia"/>
                <w:color w:val="000000"/>
                <w:sz w:val="21"/>
              </w:rPr>
              <w:t>智平方</w:t>
            </w:r>
          </w:p>
        </w:tc>
        <w:tc>
          <w:tcPr>
            <w:tcW w:w="1377" w:type="pct"/>
            <w:tcBorders>
              <w:top w:val="single" w:sz="4" w:space="0" w:color="010000"/>
            </w:tcBorders>
            <w:vAlign w:val="center"/>
          </w:tcPr>
          <w:p>
            <w:pPr>
              <w:jc w:val="left"/>
            </w:pPr>
            <w:r/>
            <w:r>
              <w:rPr>
                <w:rFonts w:hint="eastAsia"/>
                <w:color w:val="000000"/>
                <w:sz w:val="21"/>
              </w:rPr>
              <w:t>AlphaBot系列生产力型通用机器人，坚持端到端大模型路线并自建产线。</w:t>
            </w:r>
          </w:p>
        </w:tc>
        <w:tc>
          <w:tcPr>
            <w:tcW w:w="1232" w:type="pct"/>
            <w:tcBorders>
              <w:top w:val="single" w:sz="4" w:space="0" w:color="010000"/>
            </w:tcBorders>
            <w:vAlign w:val="center"/>
          </w:tcPr>
          <w:p>
            <w:pPr>
              <w:jc w:val="left"/>
            </w:pPr>
            <w:r/>
            <w:r>
              <w:rPr>
                <w:rFonts w:hint="eastAsia"/>
                <w:color w:val="000000"/>
                <w:sz w:val="21"/>
              </w:rPr>
              <w:t>2025年12月单月交付达百台级，自建产线具备年产千台能力，2026年规划扩产至万台规模。</w:t>
            </w:r>
          </w:p>
        </w:tc>
        <w:tc>
          <w:tcPr>
            <w:tcW w:w="1884" w:type="pct"/>
            <w:tcBorders>
              <w:top w:val="single" w:sz="4" w:space="0" w:color="010000"/>
            </w:tcBorders>
            <w:vAlign w:val="center"/>
          </w:tcPr>
          <w:p>
            <w:pPr>
              <w:jc w:val="left"/>
            </w:pPr>
            <w:r/>
            <w:r>
              <w:rPr>
                <w:rFonts w:hint="eastAsia"/>
                <w:color w:val="000000"/>
                <w:sz w:val="21"/>
              </w:rPr>
              <w:t>2026年2月完成超10亿元B轮系列融资，估值突破100亿元，投资方包括百度战投、中国中车、沄柏资本、国泰海通等；2026年6月完成50亿元新融资，估值超200亿元。</w:t>
            </w:r>
          </w:p>
        </w:tc>
      </w:tr>
      <w:tr>
        <w:trPr>
          <w:cantSplit/>
          <w:jc w:val="center"/>
        </w:trPr>
        <w:tc>
          <w:tcPr>
            <w:tcW w:w="507" w:type="pct"/>
            <w:tcBorders>
              <w:top w:val="single" w:sz="4" w:space="0" w:color="010000"/>
            </w:tcBorders>
            <w:vAlign w:val="center"/>
          </w:tcPr>
          <w:p>
            <w:pPr>
              <w:jc w:val="left"/>
            </w:pPr>
            <w:r/>
            <w:r>
              <w:rPr>
                <w:rFonts w:hint="eastAsia"/>
                <w:color w:val="000000"/>
                <w:sz w:val="21"/>
              </w:rPr>
              <w:t>它石智航</w:t>
            </w:r>
          </w:p>
        </w:tc>
        <w:tc>
          <w:tcPr>
            <w:tcW w:w="1377" w:type="pct"/>
            <w:tcBorders>
              <w:top w:val="single" w:sz="4" w:space="0" w:color="010000"/>
            </w:tcBorders>
            <w:vAlign w:val="center"/>
          </w:tcPr>
          <w:p>
            <w:pPr>
              <w:jc w:val="left"/>
            </w:pPr>
            <w:r/>
            <w:r>
              <w:rPr>
                <w:rFonts w:hint="eastAsia"/>
                <w:color w:val="000000"/>
                <w:sz w:val="21"/>
              </w:rPr>
              <w:t>通用具身大模型AWE 3.0，工业机器人A系列、通用机器人T系列、灵巧手TARS DexHand。</w:t>
            </w:r>
          </w:p>
        </w:tc>
        <w:tc>
          <w:tcPr>
            <w:tcW w:w="1232" w:type="pct"/>
            <w:tcBorders>
              <w:top w:val="single" w:sz="4" w:space="0" w:color="010000"/>
            </w:tcBorders>
            <w:vAlign w:val="center"/>
          </w:tcPr>
          <w:p>
            <w:pPr>
              <w:jc w:val="left"/>
            </w:pPr>
            <w:r/>
            <w:r>
              <w:rPr>
                <w:rFonts w:hint="eastAsia"/>
                <w:color w:val="000000"/>
                <w:sz w:val="21"/>
              </w:rPr>
              <w:t>成立于2025年2月，处于产品导入期。</w:t>
            </w:r>
          </w:p>
        </w:tc>
        <w:tc>
          <w:tcPr>
            <w:tcW w:w="1884" w:type="pct"/>
            <w:tcBorders>
              <w:top w:val="single" w:sz="4" w:space="0" w:color="010000"/>
            </w:tcBorders>
            <w:vAlign w:val="center"/>
          </w:tcPr>
          <w:p>
            <w:pPr>
              <w:jc w:val="left"/>
            </w:pPr>
            <w:r/>
            <w:r>
              <w:rPr>
                <w:rFonts w:hint="eastAsia"/>
                <w:color w:val="000000"/>
                <w:sz w:val="21"/>
              </w:rPr>
              <w:t>2026年4月完成4.55亿美元（约31亿元）Pre-A轮融资，估值约130亿元。</w:t>
            </w:r>
          </w:p>
        </w:tc>
      </w:tr>
    </w:tbl>
    <w:p>
      <w:pPr>
        <w:pStyle w:val="a6"/>
      </w:pPr>
      <w:r>
        <w:rPr>
          <w:rFonts w:hint="eastAsia"/>
        </w:rPr>
        <w:t>数据来源：各公司公开披露、交易所受理及问询公告、第三方统计（IDC、高工机器人）及公开新闻报道，本报告整理。各企业出货量口径不完全一致，与第4.1节的份额图存在差异。</w:t>
      </w:r>
    </w:p>
    <w:p>
      <w:pPr>
        <w:pStyle w:val="3"/>
        <w:numPr>
          <w:ilvl w:val="0"/>
          <w:numId w:val="0"/>
        </w:numPr>
        <w:spacing w:before="156" w:after="156"/>
      </w:pPr>
      <w:bookmarkStart w:id="1029" w:name="_Toc900029"/>
      <w:r>
        <w:rPr>
          <w:rFonts w:hint="eastAsia"/>
        </w:rPr>
        <w:t>5.5 海外对照：特斯拉Optimus</w:t>
      </w:r>
      <w:bookmarkEnd w:id="1029"/>
    </w:p>
    <w:p>
      <w:pPr>
        <w:pStyle w:val="a0"/>
      </w:pPr>
      <w:r>
        <w:rPr>
          <w:rFonts w:hint="eastAsia"/>
        </w:rPr>
        <w:t>特斯拉Optimus是全球人形机器人产业的重要参照系，其量产节奏直接影响国内供应链的预期和估值。据公开信息，Optimus第三代（V3）于2026年7—8月启动量产，2026年第一季度发布量产原型机，上半年完成供应商定点与小批量打样并向特定工业客户交付测试机；弗里蒙特工厂原Model S/X产线已改造为Optimus专用产线，规划年产能100万台，2026年7月1日马斯克确认产线准备完毕；第二座工厂正在得克萨斯州建设，预计2027年夏季开始生产。产能规划上，2026年底目标产能5万台，2027年提升至50万台，长期规划年产百万台以上；当达到年产100万台时，生产成本目标降至2万—2.5万美元/台。技术方面，V3全身关节数增至37个，身高约1.72米，行走速度提升至1.2米/秒，重点展示22自由度灵巧手、FSD感知系统和自主学习能力。</w:t>
      </w:r>
    </w:p>
    <w:p>
      <w:pPr>
        <w:pStyle w:val="a0"/>
      </w:pPr>
      <w:r>
        <w:rPr>
          <w:rFonts w:hint="eastAsia"/>
        </w:rPr>
        <w:t>对国内产业链而言，Optimus的意义有两点：一是其技术方案（旋转执行器＋线性执行器的混合架构、14个行星滚柱丝杠、约54个编码器的单机用量）已成为行业事实上的参照设计，直接影响国内整机的关节配置；二是其供应链定点为国内零部件企业提供了重要的验证机会，绿的谐波是目前国内唯一进入Optimus供应链的谐波减速器企业。需要注意的是，特斯拉的产能规划历史上多次延期，上述目标应作为方向性参考而非确定性预测。</w:t>
      </w:r>
    </w:p>
    <w:p/>
    <w:p/>
    <w:p>
      <w:pPr>
        <w:pStyle w:val="2"/>
        <w:spacing w:before="156" w:after="156"/>
      </w:pPr>
      <w:bookmarkStart w:id="1030" w:name="_Toc900030"/>
      <w:r>
        <w:rPr>
          <w:rFonts w:hint="eastAsia"/>
          <w:b/>
        </w:rPr>
        <w:t>人形机器人产业链企业资本化进度</w:t>
      </w:r>
      <w:bookmarkEnd w:id="1030"/>
    </w:p>
    <w:p>
      <w:pPr>
        <w:pStyle w:val="a0"/>
      </w:pPr>
      <w:r>
        <w:rPr>
          <w:rFonts w:hint="eastAsia"/>
        </w:rPr>
        <w:t>本章资本化进度统一核验至2026年8月上旬公开信息。未上市企业的估值均来自公开报道的融资后估值或按拟募集资金倒算的参考值，不代表实际发行定价或市场估值。据公开统计，截至2026年7月，国内已有超过20家人形机器人核心企业进入IPO辅导、申报、聆讯或发行阶段；另有统计口径显示，机器人相关企业在A股与港股合计排队数量达38家以上，港股排队机器人相关企业接近50家，形成2026—2027年集中的IPO窗口。</w:t>
      </w:r>
    </w:p>
    <w:p>
      <w:pPr>
        <w:pStyle w:val="3"/>
        <w:numPr>
          <w:ilvl w:val="0"/>
          <w:numId w:val="0"/>
        </w:numPr>
        <w:spacing w:before="156" w:after="156"/>
      </w:pPr>
      <w:bookmarkStart w:id="1031" w:name="_Toc900031"/>
      <w:r>
        <w:rPr>
          <w:rFonts w:hint="eastAsia"/>
        </w:rPr>
        <w:t>6.1 已上市或已完成发行的企业</w:t>
      </w:r>
      <w:bookmarkEnd w:id="1031"/>
    </w:p>
    <w:p>
      <w:pPr>
        <w:keepNext/>
        <w:jc w:val="center"/>
      </w:pPr>
      <w:r>
        <w:rPr>
          <w:rFonts w:hint="eastAsia"/>
          <w:b/>
          <w:sz w:val="21"/>
        </w:rPr>
        <w:t>表8  已上市或已完成发行的人形机器人产业链企业</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479"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1712" w:type="pct"/>
            <w:tcBorders>
              <w:top w:val="single" w:sz="12" w:space="0" w:color="010000"/>
              <w:bottom w:val="single" w:sz="4" w:space="0" w:color="010000"/>
            </w:tcBorders>
            <w:vAlign w:val="center"/>
          </w:tcPr>
          <w:p>
            <w:pPr>
              <w:keepNext/>
              <w:jc w:val="center"/>
            </w:pPr>
            <w:r/>
            <w:r>
              <w:rPr>
                <w:rFonts w:hint="eastAsia"/>
                <w:b/>
                <w:color w:val="000000"/>
                <w:sz w:val="21"/>
              </w:rPr>
              <w:t>上市进度</w:t>
            </w:r>
          </w:p>
        </w:tc>
        <w:tc>
          <w:tcPr>
            <w:tcW w:w="1096" w:type="pct"/>
            <w:tcBorders>
              <w:top w:val="single" w:sz="12" w:space="0" w:color="010000"/>
              <w:bottom w:val="single" w:sz="4" w:space="0" w:color="010000"/>
            </w:tcBorders>
            <w:vAlign w:val="center"/>
          </w:tcPr>
          <w:p>
            <w:pPr>
              <w:keepNext/>
              <w:jc w:val="center"/>
            </w:pPr>
            <w:r/>
            <w:r>
              <w:rPr>
                <w:rFonts w:hint="eastAsia"/>
                <w:b/>
                <w:color w:val="000000"/>
                <w:sz w:val="21"/>
              </w:rPr>
              <w:t>核心业务</w:t>
            </w:r>
          </w:p>
        </w:tc>
        <w:tc>
          <w:tcPr>
            <w:tcW w:w="1712" w:type="pct"/>
            <w:tcBorders>
              <w:top w:val="single" w:sz="12" w:space="0" w:color="010000"/>
              <w:bottom w:val="single" w:sz="4" w:space="0" w:color="010000"/>
            </w:tcBorders>
            <w:vAlign w:val="center"/>
          </w:tcPr>
          <w:p>
            <w:pPr>
              <w:keepNext/>
              <w:jc w:val="center"/>
            </w:pPr>
            <w:r/>
            <w:r>
              <w:rPr>
                <w:rFonts w:hint="eastAsia"/>
                <w:b/>
                <w:color w:val="000000"/>
                <w:sz w:val="21"/>
              </w:rPr>
              <w:t>公开财务及估值信息</w:t>
            </w:r>
          </w:p>
        </w:tc>
      </w:tr>
      <w:tr>
        <w:trPr>
          <w:cantSplit/>
          <w:jc w:val="center"/>
        </w:trPr>
        <w:tc>
          <w:tcPr>
            <w:tcW w:w="479" w:type="pct"/>
            <w:tcBorders>
              <w:top w:val="single" w:sz="4" w:space="0" w:color="010000"/>
            </w:tcBorders>
            <w:vAlign w:val="center"/>
          </w:tcPr>
          <w:p>
            <w:pPr>
              <w:jc w:val="left"/>
            </w:pPr>
            <w:r/>
            <w:r>
              <w:rPr>
                <w:rFonts w:hint="eastAsia"/>
                <w:color w:val="000000"/>
                <w:sz w:val="21"/>
              </w:rPr>
              <w:t>优必选</w:t>
            </w:r>
          </w:p>
        </w:tc>
        <w:tc>
          <w:tcPr>
            <w:tcW w:w="1712" w:type="pct"/>
            <w:tcBorders>
              <w:top w:val="single" w:sz="4" w:space="0" w:color="010000"/>
            </w:tcBorders>
            <w:vAlign w:val="center"/>
          </w:tcPr>
          <w:p>
            <w:pPr>
              <w:jc w:val="left"/>
            </w:pPr>
            <w:r/>
            <w:r>
              <w:rPr>
                <w:rFonts w:hint="eastAsia"/>
                <w:color w:val="000000"/>
                <w:sz w:val="21"/>
              </w:rPr>
              <w:t>已于港交所上市，股份代号09880，为首家上市的人形机器人企业。</w:t>
            </w:r>
          </w:p>
        </w:tc>
        <w:tc>
          <w:tcPr>
            <w:tcW w:w="1096" w:type="pct"/>
            <w:tcBorders>
              <w:top w:val="single" w:sz="4" w:space="0" w:color="010000"/>
            </w:tcBorders>
            <w:vAlign w:val="center"/>
          </w:tcPr>
          <w:p>
            <w:pPr>
              <w:jc w:val="left"/>
            </w:pPr>
            <w:r/>
            <w:r>
              <w:rPr>
                <w:rFonts w:hint="eastAsia"/>
                <w:color w:val="000000"/>
                <w:sz w:val="21"/>
              </w:rPr>
              <w:t>以Walker系列全尺寸工业人形机器人为核心，同时经营教育、物流、康养机器人业务。</w:t>
            </w:r>
          </w:p>
        </w:tc>
        <w:tc>
          <w:tcPr>
            <w:tcW w:w="1712" w:type="pct"/>
            <w:tcBorders>
              <w:top w:val="single" w:sz="4" w:space="0" w:color="010000"/>
            </w:tcBorders>
            <w:vAlign w:val="center"/>
          </w:tcPr>
          <w:p>
            <w:pPr>
              <w:jc w:val="left"/>
            </w:pPr>
            <w:r/>
            <w:r>
              <w:rPr>
                <w:rFonts w:hint="eastAsia"/>
                <w:color w:val="000000"/>
                <w:sz w:val="21"/>
              </w:rPr>
              <w:t>2025年总营收20.01亿元，同比增长53.3%；全尺寸具身智能人形机器人收入8.2亿元、销量1,079台；2025年订单合计接近14亿元。</w:t>
            </w:r>
          </w:p>
        </w:tc>
      </w:tr>
      <w:tr>
        <w:trPr>
          <w:cantSplit/>
          <w:jc w:val="center"/>
        </w:trPr>
        <w:tc>
          <w:tcPr>
            <w:tcW w:w="479" w:type="pct"/>
            <w:tcBorders>
              <w:top w:val="single" w:sz="4" w:space="0" w:color="010000"/>
            </w:tcBorders>
            <w:vAlign w:val="center"/>
          </w:tcPr>
          <w:p>
            <w:pPr>
              <w:jc w:val="left"/>
            </w:pPr>
            <w:r/>
            <w:r>
              <w:rPr>
                <w:rFonts w:hint="eastAsia"/>
                <w:color w:val="000000"/>
                <w:sz w:val="21"/>
              </w:rPr>
              <w:t>宇树科技</w:t>
            </w:r>
          </w:p>
        </w:tc>
        <w:tc>
          <w:tcPr>
            <w:tcW w:w="1712" w:type="pct"/>
            <w:tcBorders>
              <w:top w:val="single" w:sz="4" w:space="0" w:color="010000"/>
            </w:tcBorders>
            <w:vAlign w:val="center"/>
          </w:tcPr>
          <w:p>
            <w:pPr>
              <w:jc w:val="left"/>
            </w:pPr>
            <w:r/>
            <w:r>
              <w:rPr>
                <w:rFonts w:hint="eastAsia"/>
                <w:color w:val="000000"/>
                <w:sz w:val="21"/>
              </w:rPr>
              <w:t>科创板IPO于2026年3月20日受理，7月初获证监会同意注册（全流程104天）；2026年8月6日公告发行价，8月10日网上、网下申购。证券代码688836，保荐人（主承销商）为中信证券。</w:t>
            </w:r>
          </w:p>
        </w:tc>
        <w:tc>
          <w:tcPr>
            <w:tcW w:w="1096" w:type="pct"/>
            <w:tcBorders>
              <w:top w:val="single" w:sz="4" w:space="0" w:color="010000"/>
            </w:tcBorders>
            <w:vAlign w:val="center"/>
          </w:tcPr>
          <w:p>
            <w:pPr>
              <w:jc w:val="left"/>
            </w:pPr>
            <w:r/>
            <w:r>
              <w:rPr>
                <w:rFonts w:hint="eastAsia"/>
                <w:color w:val="000000"/>
                <w:sz w:val="21"/>
              </w:rPr>
              <w:t>四足机器人与人形机器人研发、生产及销售。</w:t>
            </w:r>
          </w:p>
        </w:tc>
        <w:tc>
          <w:tcPr>
            <w:tcW w:w="1712" w:type="pct"/>
            <w:tcBorders>
              <w:top w:val="single" w:sz="4" w:space="0" w:color="010000"/>
            </w:tcBorders>
            <w:vAlign w:val="center"/>
          </w:tcPr>
          <w:p>
            <w:pPr>
              <w:jc w:val="left"/>
            </w:pPr>
            <w:r/>
            <w:r>
              <w:rPr>
                <w:rFonts w:hint="eastAsia"/>
                <w:color w:val="000000"/>
                <w:sz w:val="21"/>
              </w:rPr>
              <w:t>2025年营业收入17.08亿元，扣非归母净利润6.001亿元，毛利率60.27%；发行新股4,044.6434万股（占发行后总股本10%），发行价150.80元/股，发行后市值约609亿元，预计募资总额约60.99亿元，发行市盈率219.23倍（行业平均38.56倍）；战略配售808.9286万股，投资者含社保基金、深度求索、中国石油集团、南方电网等。</w:t>
            </w:r>
          </w:p>
        </w:tc>
      </w:tr>
      <w:tr>
        <w:trPr>
          <w:cantSplit/>
          <w:jc w:val="center"/>
        </w:trPr>
        <w:tc>
          <w:tcPr>
            <w:tcW w:w="479" w:type="pct"/>
            <w:tcBorders>
              <w:top w:val="single" w:sz="4" w:space="0" w:color="010000"/>
            </w:tcBorders>
            <w:vAlign w:val="center"/>
          </w:tcPr>
          <w:p>
            <w:pPr>
              <w:jc w:val="left"/>
            </w:pPr>
            <w:r/>
            <w:r>
              <w:rPr>
                <w:rFonts w:hint="eastAsia"/>
                <w:color w:val="000000"/>
                <w:sz w:val="21"/>
              </w:rPr>
              <w:t>来福谐波</w:t>
            </w:r>
          </w:p>
        </w:tc>
        <w:tc>
          <w:tcPr>
            <w:tcW w:w="1712" w:type="pct"/>
            <w:tcBorders>
              <w:top w:val="single" w:sz="4" w:space="0" w:color="010000"/>
            </w:tcBorders>
            <w:vAlign w:val="center"/>
          </w:tcPr>
          <w:p>
            <w:pPr>
              <w:jc w:val="left"/>
            </w:pPr>
            <w:r/>
            <w:r>
              <w:rPr>
                <w:rFonts w:hint="eastAsia"/>
                <w:color w:val="000000"/>
                <w:sz w:val="21"/>
              </w:rPr>
              <w:t>2026年1月2日递表港交所，5月29日获中国证监会备案，6月14日通过聆讯，6月22—25日招股，6月30日在港交所主板挂牌，股份代号03952，为港股"谐波减速器第一股"。</w:t>
            </w:r>
          </w:p>
        </w:tc>
        <w:tc>
          <w:tcPr>
            <w:tcW w:w="1096" w:type="pct"/>
            <w:tcBorders>
              <w:top w:val="single" w:sz="4" w:space="0" w:color="010000"/>
            </w:tcBorders>
            <w:vAlign w:val="center"/>
          </w:tcPr>
          <w:p>
            <w:pPr>
              <w:jc w:val="left"/>
            </w:pPr>
            <w:r/>
            <w:r>
              <w:rPr>
                <w:rFonts w:hint="eastAsia"/>
                <w:color w:val="000000"/>
                <w:sz w:val="21"/>
              </w:rPr>
              <w:t>谐波减速器、关节模组、机械臂及自动化工作站四大品类。</w:t>
            </w:r>
          </w:p>
        </w:tc>
        <w:tc>
          <w:tcPr>
            <w:tcW w:w="1712" w:type="pct"/>
            <w:tcBorders>
              <w:top w:val="single" w:sz="4" w:space="0" w:color="010000"/>
            </w:tcBorders>
            <w:vAlign w:val="center"/>
          </w:tcPr>
          <w:p>
            <w:pPr>
              <w:jc w:val="left"/>
            </w:pPr>
            <w:r/>
            <w:r>
              <w:rPr>
                <w:rFonts w:hint="eastAsia"/>
                <w:color w:val="000000"/>
                <w:sz w:val="21"/>
              </w:rPr>
              <w:t>2023—2025年营业收入分别为9,455万元、1.08亿元、2.61亿元；2025年谐波减速器销量29.15万台、平均售价571元/台；三年连续亏损，2025年亏损1.71亿元；发行前估值约15亿元，股东包括联想、国开基金、紫金矿业等。</w:t>
            </w:r>
          </w:p>
        </w:tc>
      </w:tr>
      <w:tr>
        <w:trPr>
          <w:cantSplit/>
          <w:jc w:val="center"/>
        </w:trPr>
        <w:tc>
          <w:tcPr>
            <w:tcW w:w="479" w:type="pct"/>
            <w:tcBorders>
              <w:top w:val="single" w:sz="4" w:space="0" w:color="010000"/>
            </w:tcBorders>
            <w:vAlign w:val="center"/>
          </w:tcPr>
          <w:p>
            <w:pPr>
              <w:jc w:val="left"/>
            </w:pPr>
            <w:r/>
            <w:r>
              <w:rPr>
                <w:rFonts w:hint="eastAsia"/>
                <w:color w:val="000000"/>
                <w:sz w:val="21"/>
              </w:rPr>
              <w:t>乐动机器人</w:t>
            </w:r>
          </w:p>
        </w:tc>
        <w:tc>
          <w:tcPr>
            <w:tcW w:w="1712" w:type="pct"/>
            <w:tcBorders>
              <w:top w:val="single" w:sz="4" w:space="0" w:color="010000"/>
            </w:tcBorders>
            <w:vAlign w:val="center"/>
          </w:tcPr>
          <w:p>
            <w:pPr>
              <w:jc w:val="left"/>
            </w:pPr>
            <w:r/>
            <w:r>
              <w:rPr>
                <w:rFonts w:hint="eastAsia"/>
                <w:color w:val="000000"/>
                <w:sz w:val="21"/>
              </w:rPr>
              <w:t>2026年5月在港交所主板上市，国泰海通集团旗下国泰君安国际担任联席保荐人、保荐人兼整体协调人，携手海通国际共同完成发行。</w:t>
            </w:r>
          </w:p>
        </w:tc>
        <w:tc>
          <w:tcPr>
            <w:tcW w:w="1096" w:type="pct"/>
            <w:tcBorders>
              <w:top w:val="single" w:sz="4" w:space="0" w:color="010000"/>
            </w:tcBorders>
            <w:vAlign w:val="center"/>
          </w:tcPr>
          <w:p>
            <w:pPr>
              <w:jc w:val="left"/>
            </w:pPr>
            <w:r/>
            <w:r>
              <w:rPr>
                <w:rFonts w:hint="eastAsia"/>
                <w:color w:val="000000"/>
                <w:sz w:val="21"/>
              </w:rPr>
              <w:t>激光雷达及机器人核心传感与解决方案。</w:t>
            </w:r>
          </w:p>
        </w:tc>
        <w:tc>
          <w:tcPr>
            <w:tcW w:w="1712" w:type="pct"/>
            <w:tcBorders>
              <w:top w:val="single" w:sz="4" w:space="0" w:color="010000"/>
            </w:tcBorders>
            <w:vAlign w:val="center"/>
          </w:tcPr>
          <w:p>
            <w:pPr>
              <w:jc w:val="left"/>
            </w:pPr>
            <w:r/>
            <w:r>
              <w:rPr>
                <w:rFonts w:hint="eastAsia"/>
                <w:color w:val="000000"/>
                <w:sz w:val="21"/>
              </w:rPr>
              <w:t>本次发行总集资额约8.8亿港元。</w:t>
            </w:r>
          </w:p>
        </w:tc>
      </w:tr>
      <w:tr>
        <w:trPr>
          <w:cantSplit/>
          <w:jc w:val="center"/>
        </w:trPr>
        <w:tc>
          <w:tcPr>
            <w:tcW w:w="479" w:type="pct"/>
            <w:tcBorders>
              <w:top w:val="single" w:sz="4" w:space="0" w:color="010000"/>
            </w:tcBorders>
            <w:vAlign w:val="center"/>
          </w:tcPr>
          <w:p>
            <w:pPr>
              <w:jc w:val="left"/>
            </w:pPr>
            <w:r/>
            <w:r>
              <w:rPr>
                <w:rFonts w:hint="eastAsia"/>
                <w:color w:val="000000"/>
                <w:sz w:val="21"/>
              </w:rPr>
              <w:t>绿的谐波</w:t>
            </w:r>
          </w:p>
        </w:tc>
        <w:tc>
          <w:tcPr>
            <w:tcW w:w="1712" w:type="pct"/>
            <w:tcBorders>
              <w:top w:val="single" w:sz="4" w:space="0" w:color="010000"/>
            </w:tcBorders>
            <w:vAlign w:val="center"/>
          </w:tcPr>
          <w:p>
            <w:pPr>
              <w:jc w:val="left"/>
            </w:pPr>
            <w:r/>
            <w:r>
              <w:rPr>
                <w:rFonts w:hint="eastAsia"/>
                <w:color w:val="000000"/>
                <w:sz w:val="21"/>
              </w:rPr>
              <w:t>已在科创板上市，证券代码688017。</w:t>
            </w:r>
          </w:p>
        </w:tc>
        <w:tc>
          <w:tcPr>
            <w:tcW w:w="1096" w:type="pct"/>
            <w:tcBorders>
              <w:top w:val="single" w:sz="4" w:space="0" w:color="010000"/>
            </w:tcBorders>
            <w:vAlign w:val="center"/>
          </w:tcPr>
          <w:p>
            <w:pPr>
              <w:jc w:val="left"/>
            </w:pPr>
            <w:r/>
            <w:r>
              <w:rPr>
                <w:rFonts w:hint="eastAsia"/>
                <w:color w:val="000000"/>
                <w:sz w:val="21"/>
              </w:rPr>
              <w:t>谐波减速器、机电一体化产品及关节模组，国内谐波减速器龙头。</w:t>
            </w:r>
          </w:p>
        </w:tc>
        <w:tc>
          <w:tcPr>
            <w:tcW w:w="1712" w:type="pct"/>
            <w:tcBorders>
              <w:top w:val="single" w:sz="4" w:space="0" w:color="010000"/>
            </w:tcBorders>
            <w:vAlign w:val="center"/>
          </w:tcPr>
          <w:p>
            <w:pPr>
              <w:jc w:val="left"/>
            </w:pPr>
            <w:r/>
            <w:r>
              <w:rPr>
                <w:rFonts w:hint="eastAsia"/>
                <w:color w:val="000000"/>
                <w:sz w:val="21"/>
              </w:rPr>
              <w:t>2025年营业总收入5.71亿元，同比增长47.31%；归母净利润1.24亿元，同比增长121.42%；谐波减速器及金属部件销量42.52万台，同比增长72.48%；机电一体化业务收入0.74亿元。</w:t>
            </w:r>
          </w:p>
        </w:tc>
      </w:tr>
    </w:tbl>
    <w:p>
      <w:pPr>
        <w:pStyle w:val="a6"/>
      </w:pPr>
      <w:r>
        <w:rPr>
          <w:rFonts w:hint="eastAsia"/>
        </w:rPr>
        <w:t>数据来源：上海证券交易所、香港交易所公开披露文件，各公司年报及公告，公开新闻报道，本报告整理。</w:t>
      </w:r>
    </w:p>
    <w:p>
      <w:pPr>
        <w:pStyle w:val="3"/>
        <w:numPr>
          <w:ilvl w:val="0"/>
          <w:numId w:val="0"/>
        </w:numPr>
        <w:spacing w:before="156" w:after="156"/>
      </w:pPr>
      <w:bookmarkStart w:id="1032" w:name="_Toc900032"/>
      <w:r>
        <w:rPr>
          <w:rFonts w:hint="eastAsia"/>
        </w:rPr>
        <w:t>6.2 在审、已问询或已递表的企业</w:t>
      </w:r>
      <w:bookmarkEnd w:id="1032"/>
    </w:p>
    <w:p>
      <w:pPr>
        <w:keepNext/>
        <w:jc w:val="center"/>
      </w:pPr>
      <w:r>
        <w:rPr>
          <w:rFonts w:hint="eastAsia"/>
          <w:b/>
          <w:sz w:val="21"/>
        </w:rPr>
        <w:t>表9  在审、已问询或已递表的人形机器人产业链企业</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479"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1712" w:type="pct"/>
            <w:tcBorders>
              <w:top w:val="single" w:sz="12" w:space="0" w:color="010000"/>
              <w:bottom w:val="single" w:sz="4" w:space="0" w:color="010000"/>
            </w:tcBorders>
            <w:vAlign w:val="center"/>
          </w:tcPr>
          <w:p>
            <w:pPr>
              <w:keepNext/>
              <w:jc w:val="center"/>
            </w:pPr>
            <w:r/>
            <w:r>
              <w:rPr>
                <w:rFonts w:hint="eastAsia"/>
                <w:b/>
                <w:color w:val="000000"/>
                <w:sz w:val="21"/>
              </w:rPr>
              <w:t>上市进度</w:t>
            </w:r>
          </w:p>
        </w:tc>
        <w:tc>
          <w:tcPr>
            <w:tcW w:w="1233" w:type="pct"/>
            <w:tcBorders>
              <w:top w:val="single" w:sz="12" w:space="0" w:color="010000"/>
              <w:bottom w:val="single" w:sz="4" w:space="0" w:color="010000"/>
            </w:tcBorders>
            <w:vAlign w:val="center"/>
          </w:tcPr>
          <w:p>
            <w:pPr>
              <w:keepNext/>
              <w:jc w:val="center"/>
            </w:pPr>
            <w:r/>
            <w:r>
              <w:rPr>
                <w:rFonts w:hint="eastAsia"/>
                <w:b/>
                <w:color w:val="000000"/>
                <w:sz w:val="21"/>
              </w:rPr>
              <w:t>核心业务</w:t>
            </w:r>
          </w:p>
        </w:tc>
        <w:tc>
          <w:tcPr>
            <w:tcW w:w="1575" w:type="pct"/>
            <w:tcBorders>
              <w:top w:val="single" w:sz="12" w:space="0" w:color="010000"/>
              <w:bottom w:val="single" w:sz="4" w:space="0" w:color="010000"/>
            </w:tcBorders>
            <w:vAlign w:val="center"/>
          </w:tcPr>
          <w:p>
            <w:pPr>
              <w:keepNext/>
              <w:jc w:val="center"/>
            </w:pPr>
            <w:r/>
            <w:r>
              <w:rPr>
                <w:rFonts w:hint="eastAsia"/>
                <w:b/>
                <w:color w:val="000000"/>
                <w:sz w:val="21"/>
              </w:rPr>
              <w:t>公开财务及估值信息</w:t>
            </w:r>
          </w:p>
        </w:tc>
      </w:tr>
      <w:tr>
        <w:trPr>
          <w:cantSplit/>
          <w:jc w:val="center"/>
        </w:trPr>
        <w:tc>
          <w:tcPr>
            <w:tcW w:w="479" w:type="pct"/>
            <w:tcBorders>
              <w:top w:val="single" w:sz="4" w:space="0" w:color="010000"/>
            </w:tcBorders>
            <w:vAlign w:val="center"/>
          </w:tcPr>
          <w:p>
            <w:pPr>
              <w:jc w:val="left"/>
            </w:pPr>
            <w:r/>
            <w:r>
              <w:rPr>
                <w:rFonts w:hint="eastAsia"/>
                <w:color w:val="000000"/>
                <w:sz w:val="21"/>
              </w:rPr>
              <w:t>乐聚智能</w:t>
            </w:r>
          </w:p>
        </w:tc>
        <w:tc>
          <w:tcPr>
            <w:tcW w:w="1712" w:type="pct"/>
            <w:tcBorders>
              <w:top w:val="single" w:sz="4" w:space="0" w:color="010000"/>
            </w:tcBorders>
            <w:vAlign w:val="center"/>
          </w:tcPr>
          <w:p>
            <w:pPr>
              <w:jc w:val="left"/>
            </w:pPr>
            <w:r/>
            <w:r>
              <w:rPr>
                <w:rFonts w:hint="eastAsia"/>
                <w:color w:val="000000"/>
                <w:sz w:val="21"/>
              </w:rPr>
              <w:t>创业板IPO于2026年5月19日获深交所受理，5月26日进入已问询状态；为首家适用创业板第四套上市标准获受理的企业，保荐人为东方证券。</w:t>
            </w:r>
          </w:p>
        </w:tc>
        <w:tc>
          <w:tcPr>
            <w:tcW w:w="1233" w:type="pct"/>
            <w:tcBorders>
              <w:top w:val="single" w:sz="4" w:space="0" w:color="010000"/>
            </w:tcBorders>
            <w:vAlign w:val="center"/>
          </w:tcPr>
          <w:p>
            <w:pPr>
              <w:jc w:val="left"/>
            </w:pPr>
            <w:r/>
            <w:r>
              <w:rPr>
                <w:rFonts w:hint="eastAsia"/>
                <w:color w:val="000000"/>
                <w:sz w:val="21"/>
              </w:rPr>
              <w:t>轻量化人形机器人整机及具身智能解决方案，已掌握全身运动控制算法等核心技术。</w:t>
            </w:r>
          </w:p>
        </w:tc>
        <w:tc>
          <w:tcPr>
            <w:tcW w:w="1575" w:type="pct"/>
            <w:tcBorders>
              <w:top w:val="single" w:sz="4" w:space="0" w:color="010000"/>
            </w:tcBorders>
            <w:vAlign w:val="center"/>
          </w:tcPr>
          <w:p>
            <w:pPr>
              <w:jc w:val="left"/>
            </w:pPr>
            <w:r/>
            <w:r>
              <w:rPr>
                <w:rFonts w:hint="eastAsia"/>
                <w:color w:val="000000"/>
                <w:sz w:val="21"/>
              </w:rPr>
              <w:t>拟募资26亿元，投向人形机器人产业化基地、具身智能研发中心及大规模数据集建设；2025年出货约1,000台；招股信息显示预计最早2028年盈利；股东包括腾讯、深创投。</w:t>
            </w:r>
          </w:p>
        </w:tc>
      </w:tr>
      <w:tr>
        <w:trPr>
          <w:cantSplit/>
          <w:jc w:val="center"/>
        </w:trPr>
        <w:tc>
          <w:tcPr>
            <w:tcW w:w="479" w:type="pct"/>
            <w:tcBorders>
              <w:top w:val="single" w:sz="4" w:space="0" w:color="010000"/>
            </w:tcBorders>
            <w:vAlign w:val="center"/>
          </w:tcPr>
          <w:p>
            <w:pPr>
              <w:jc w:val="left"/>
            </w:pPr>
            <w:r/>
            <w:r>
              <w:rPr>
                <w:rFonts w:hint="eastAsia"/>
                <w:color w:val="000000"/>
                <w:sz w:val="21"/>
              </w:rPr>
              <w:t>云深处科技</w:t>
            </w:r>
          </w:p>
        </w:tc>
        <w:tc>
          <w:tcPr>
            <w:tcW w:w="1712" w:type="pct"/>
            <w:tcBorders>
              <w:top w:val="single" w:sz="4" w:space="0" w:color="010000"/>
            </w:tcBorders>
            <w:vAlign w:val="center"/>
          </w:tcPr>
          <w:p>
            <w:pPr>
              <w:jc w:val="left"/>
            </w:pPr>
            <w:r/>
            <w:r>
              <w:rPr>
                <w:rFonts w:hint="eastAsia"/>
                <w:color w:val="000000"/>
                <w:sz w:val="21"/>
              </w:rPr>
              <w:t>2025年12月23日提交辅导备案，2026年5月18日科创板IPO审核状态变更为已受理，保荐机构为中信建投证券。</w:t>
            </w:r>
          </w:p>
        </w:tc>
        <w:tc>
          <w:tcPr>
            <w:tcW w:w="1233" w:type="pct"/>
            <w:tcBorders>
              <w:top w:val="single" w:sz="4" w:space="0" w:color="010000"/>
            </w:tcBorders>
            <w:vAlign w:val="center"/>
          </w:tcPr>
          <w:p>
            <w:pPr>
              <w:jc w:val="left"/>
            </w:pPr>
            <w:r/>
            <w:r>
              <w:rPr>
                <w:rFonts w:hint="eastAsia"/>
                <w:color w:val="000000"/>
                <w:sz w:val="21"/>
              </w:rPr>
              <w:t>高负载四足机器人及人形机器人，聚焦电力与矿山巡检。</w:t>
            </w:r>
          </w:p>
        </w:tc>
        <w:tc>
          <w:tcPr>
            <w:tcW w:w="1575" w:type="pct"/>
            <w:tcBorders>
              <w:top w:val="single" w:sz="4" w:space="0" w:color="010000"/>
            </w:tcBorders>
            <w:vAlign w:val="center"/>
          </w:tcPr>
          <w:p>
            <w:pPr>
              <w:jc w:val="left"/>
            </w:pPr>
            <w:r/>
            <w:r>
              <w:rPr>
                <w:rFonts w:hint="eastAsia"/>
                <w:color w:val="000000"/>
                <w:sz w:val="21"/>
              </w:rPr>
              <w:t>拟募资25.03亿元；四足机器人领域收入超过波士顿动力，已扭亏为盈；市场估值参考约139亿元。</w:t>
            </w:r>
          </w:p>
        </w:tc>
      </w:tr>
    </w:tbl>
    <w:p>
      <w:pPr>
        <w:pStyle w:val="a6"/>
      </w:pPr>
      <w:r>
        <w:rPr>
          <w:rFonts w:hint="eastAsia"/>
        </w:rPr>
        <w:t>数据来源：深圳证券交易所、上海证券交易所公开披露，公开新闻报道，本报告整理。</w:t>
      </w:r>
    </w:p>
    <w:p>
      <w:pPr>
        <w:pStyle w:val="3"/>
        <w:numPr>
          <w:ilvl w:val="0"/>
          <w:numId w:val="0"/>
        </w:numPr>
        <w:spacing w:before="156" w:after="156"/>
      </w:pPr>
      <w:bookmarkStart w:id="1033" w:name="_Toc900033"/>
      <w:r>
        <w:rPr>
          <w:rFonts w:hint="eastAsia"/>
        </w:rPr>
        <w:t>6.3 正在辅导备案或已完成股改的企业</w:t>
      </w:r>
      <w:bookmarkEnd w:id="1033"/>
    </w:p>
    <w:p>
      <w:pPr>
        <w:keepNext/>
        <w:jc w:val="center"/>
      </w:pPr>
      <w:r>
        <w:rPr>
          <w:rFonts w:hint="eastAsia"/>
          <w:b/>
          <w:sz w:val="21"/>
        </w:rPr>
        <w:t>表10  正在辅导备案或已完成股改的人形机器人产业链企业</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616"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1575" w:type="pct"/>
            <w:tcBorders>
              <w:top w:val="single" w:sz="12" w:space="0" w:color="010000"/>
              <w:bottom w:val="single" w:sz="4" w:space="0" w:color="010000"/>
            </w:tcBorders>
            <w:vAlign w:val="center"/>
          </w:tcPr>
          <w:p>
            <w:pPr>
              <w:keepNext/>
              <w:jc w:val="center"/>
            </w:pPr>
            <w:r/>
            <w:r>
              <w:rPr>
                <w:rFonts w:hint="eastAsia"/>
                <w:b/>
                <w:color w:val="000000"/>
                <w:sz w:val="21"/>
              </w:rPr>
              <w:t>资本化进度</w:t>
            </w:r>
          </w:p>
        </w:tc>
        <w:tc>
          <w:tcPr>
            <w:tcW w:w="1301" w:type="pct"/>
            <w:tcBorders>
              <w:top w:val="single" w:sz="12" w:space="0" w:color="010000"/>
              <w:bottom w:val="single" w:sz="4" w:space="0" w:color="010000"/>
            </w:tcBorders>
            <w:vAlign w:val="center"/>
          </w:tcPr>
          <w:p>
            <w:pPr>
              <w:keepNext/>
              <w:jc w:val="center"/>
            </w:pPr>
            <w:r/>
            <w:r>
              <w:rPr>
                <w:rFonts w:hint="eastAsia"/>
                <w:b/>
                <w:color w:val="000000"/>
                <w:sz w:val="21"/>
              </w:rPr>
              <w:t>核心业务</w:t>
            </w:r>
          </w:p>
        </w:tc>
        <w:tc>
          <w:tcPr>
            <w:tcW w:w="1507" w:type="pct"/>
            <w:tcBorders>
              <w:top w:val="single" w:sz="12" w:space="0" w:color="010000"/>
              <w:bottom w:val="single" w:sz="4" w:space="0" w:color="010000"/>
            </w:tcBorders>
            <w:vAlign w:val="center"/>
          </w:tcPr>
          <w:p>
            <w:pPr>
              <w:keepNext/>
              <w:jc w:val="center"/>
            </w:pPr>
            <w:r/>
            <w:r>
              <w:rPr>
                <w:rFonts w:hint="eastAsia"/>
                <w:b/>
                <w:color w:val="000000"/>
                <w:sz w:val="21"/>
              </w:rPr>
              <w:t>公开财务及估值信息</w:t>
            </w:r>
          </w:p>
        </w:tc>
      </w:tr>
      <w:tr>
        <w:trPr>
          <w:cantSplit/>
          <w:jc w:val="center"/>
        </w:trPr>
        <w:tc>
          <w:tcPr>
            <w:tcW w:w="616" w:type="pct"/>
            <w:tcBorders>
              <w:top w:val="single" w:sz="4" w:space="0" w:color="010000"/>
            </w:tcBorders>
            <w:vAlign w:val="center"/>
          </w:tcPr>
          <w:p>
            <w:pPr>
              <w:jc w:val="left"/>
            </w:pPr>
            <w:r/>
            <w:r>
              <w:rPr>
                <w:rFonts w:hint="eastAsia"/>
                <w:color w:val="000000"/>
                <w:sz w:val="21"/>
              </w:rPr>
              <w:t>傅利叶智能</w:t>
            </w:r>
          </w:p>
        </w:tc>
        <w:tc>
          <w:tcPr>
            <w:tcW w:w="1575" w:type="pct"/>
            <w:tcBorders>
              <w:top w:val="single" w:sz="4" w:space="0" w:color="010000"/>
            </w:tcBorders>
            <w:vAlign w:val="center"/>
          </w:tcPr>
          <w:p>
            <w:pPr>
              <w:jc w:val="left"/>
            </w:pPr>
            <w:r/>
            <w:r>
              <w:rPr>
                <w:rFonts w:hint="eastAsia"/>
                <w:color w:val="000000"/>
                <w:sz w:val="21"/>
              </w:rPr>
              <w:t>完成E轮融资并完成股改，已启动科创板上市辅导准备与申报。</w:t>
            </w:r>
          </w:p>
        </w:tc>
        <w:tc>
          <w:tcPr>
            <w:tcW w:w="1301" w:type="pct"/>
            <w:tcBorders>
              <w:top w:val="single" w:sz="4" w:space="0" w:color="010000"/>
            </w:tcBorders>
            <w:vAlign w:val="center"/>
          </w:tcPr>
          <w:p>
            <w:pPr>
              <w:jc w:val="left"/>
            </w:pPr>
            <w:r/>
            <w:r>
              <w:rPr>
                <w:rFonts w:hint="eastAsia"/>
                <w:color w:val="000000"/>
                <w:sz w:val="21"/>
              </w:rPr>
              <w:t>由康复机器人切入通用人形赛道，GR系列全尺寸人形机器人，柔性力控技术领先。</w:t>
            </w:r>
          </w:p>
        </w:tc>
        <w:tc>
          <w:tcPr>
            <w:tcW w:w="1507" w:type="pct"/>
            <w:tcBorders>
              <w:top w:val="single" w:sz="4" w:space="0" w:color="010000"/>
            </w:tcBorders>
            <w:vAlign w:val="center"/>
          </w:tcPr>
          <w:p>
            <w:pPr>
              <w:jc w:val="left"/>
            </w:pPr>
            <w:r/>
            <w:r>
              <w:rPr>
                <w:rFonts w:hint="eastAsia"/>
                <w:color w:val="000000"/>
                <w:sz w:val="21"/>
              </w:rPr>
              <w:t>已实现数百台商业交付；尚处辅导阶段，未形成公开招股书。</w:t>
            </w:r>
          </w:p>
        </w:tc>
      </w:tr>
      <w:tr>
        <w:trPr>
          <w:cantSplit/>
          <w:jc w:val="center"/>
        </w:trPr>
        <w:tc>
          <w:tcPr>
            <w:tcW w:w="616" w:type="pct"/>
            <w:tcBorders>
              <w:top w:val="single" w:sz="4" w:space="0" w:color="010000"/>
            </w:tcBorders>
            <w:vAlign w:val="center"/>
          </w:tcPr>
          <w:p>
            <w:pPr>
              <w:jc w:val="left"/>
            </w:pPr>
            <w:r/>
            <w:r>
              <w:rPr>
                <w:rFonts w:hint="eastAsia"/>
                <w:color w:val="000000"/>
                <w:sz w:val="21"/>
              </w:rPr>
              <w:t>银河通用</w:t>
            </w:r>
          </w:p>
        </w:tc>
        <w:tc>
          <w:tcPr>
            <w:tcW w:w="1575" w:type="pct"/>
            <w:tcBorders>
              <w:top w:val="single" w:sz="4" w:space="0" w:color="010000"/>
            </w:tcBorders>
            <w:vAlign w:val="center"/>
          </w:tcPr>
          <w:p>
            <w:pPr>
              <w:jc w:val="left"/>
            </w:pPr>
            <w:r/>
            <w:r>
              <w:rPr>
                <w:rFonts w:hint="eastAsia"/>
                <w:color w:val="000000"/>
                <w:sz w:val="21"/>
              </w:rPr>
              <w:t>已完成股改，最新一轮融资被业内视为Pre-IPO轮，计划2026年下半年递交港股申请。</w:t>
            </w:r>
          </w:p>
        </w:tc>
        <w:tc>
          <w:tcPr>
            <w:tcW w:w="1301" w:type="pct"/>
            <w:tcBorders>
              <w:top w:val="single" w:sz="4" w:space="0" w:color="010000"/>
            </w:tcBorders>
            <w:vAlign w:val="center"/>
          </w:tcPr>
          <w:p>
            <w:pPr>
              <w:jc w:val="left"/>
            </w:pPr>
            <w:r/>
            <w:r>
              <w:rPr>
                <w:rFonts w:hint="eastAsia"/>
                <w:color w:val="000000"/>
                <w:sz w:val="21"/>
              </w:rPr>
              <w:t>轮式双臂人形机器人及具身智能大模型（银河星脑AstraBrain）。</w:t>
            </w:r>
          </w:p>
        </w:tc>
        <w:tc>
          <w:tcPr>
            <w:tcW w:w="1507" w:type="pct"/>
            <w:tcBorders>
              <w:top w:val="single" w:sz="4" w:space="0" w:color="010000"/>
            </w:tcBorders>
            <w:vAlign w:val="center"/>
          </w:tcPr>
          <w:p>
            <w:pPr>
              <w:jc w:val="left"/>
            </w:pPr>
            <w:r/>
            <w:r>
              <w:rPr>
                <w:rFonts w:hint="eastAsia"/>
                <w:color w:val="000000"/>
                <w:sz w:val="21"/>
              </w:rPr>
              <w:t>2026年3月完成25亿元D轮融资（国家大基金参与），累计融资超70亿元，估值约260亿元。</w:t>
            </w:r>
          </w:p>
        </w:tc>
      </w:tr>
      <w:tr>
        <w:trPr>
          <w:cantSplit/>
          <w:jc w:val="center"/>
        </w:trPr>
        <w:tc>
          <w:tcPr>
            <w:tcW w:w="616" w:type="pct"/>
            <w:tcBorders>
              <w:top w:val="single" w:sz="4" w:space="0" w:color="010000"/>
            </w:tcBorders>
            <w:vAlign w:val="center"/>
          </w:tcPr>
          <w:p>
            <w:pPr>
              <w:jc w:val="left"/>
            </w:pPr>
            <w:r/>
            <w:r>
              <w:rPr>
                <w:rFonts w:hint="eastAsia"/>
                <w:color w:val="000000"/>
                <w:sz w:val="21"/>
              </w:rPr>
              <w:t>众擎机器人</w:t>
            </w:r>
          </w:p>
        </w:tc>
        <w:tc>
          <w:tcPr>
            <w:tcW w:w="1575" w:type="pct"/>
            <w:tcBorders>
              <w:top w:val="single" w:sz="4" w:space="0" w:color="010000"/>
            </w:tcBorders>
            <w:vAlign w:val="center"/>
          </w:tcPr>
          <w:p>
            <w:pPr>
              <w:jc w:val="left"/>
            </w:pPr>
            <w:r/>
            <w:r>
              <w:rPr>
                <w:rFonts w:hint="eastAsia"/>
                <w:color w:val="000000"/>
                <w:sz w:val="21"/>
              </w:rPr>
              <w:t>已完成股改，明确上市计划。</w:t>
            </w:r>
          </w:p>
        </w:tc>
        <w:tc>
          <w:tcPr>
            <w:tcW w:w="1301" w:type="pct"/>
            <w:tcBorders>
              <w:top w:val="single" w:sz="4" w:space="0" w:color="010000"/>
            </w:tcBorders>
            <w:vAlign w:val="center"/>
          </w:tcPr>
          <w:p>
            <w:pPr>
              <w:jc w:val="left"/>
            </w:pPr>
            <w:r/>
            <w:r>
              <w:rPr>
                <w:rFonts w:hint="eastAsia"/>
                <w:color w:val="000000"/>
                <w:sz w:val="21"/>
              </w:rPr>
              <w:t>PM01等中小尺寸双足人形机器人。</w:t>
            </w:r>
          </w:p>
        </w:tc>
        <w:tc>
          <w:tcPr>
            <w:tcW w:w="1507" w:type="pct"/>
            <w:tcBorders>
              <w:top w:val="single" w:sz="4" w:space="0" w:color="010000"/>
            </w:tcBorders>
            <w:vAlign w:val="center"/>
          </w:tcPr>
          <w:p>
            <w:pPr>
              <w:jc w:val="left"/>
            </w:pPr>
            <w:r/>
            <w:r>
              <w:rPr>
                <w:rFonts w:hint="eastAsia"/>
                <w:color w:val="000000"/>
                <w:sz w:val="21"/>
              </w:rPr>
              <w:t>估值进入百亿元阵营；与多伦科技签署2,000台三年期框架采购协议。</w:t>
            </w:r>
          </w:p>
        </w:tc>
      </w:tr>
      <w:tr>
        <w:trPr>
          <w:cantSplit/>
          <w:jc w:val="center"/>
        </w:trPr>
        <w:tc>
          <w:tcPr>
            <w:tcW w:w="616" w:type="pct"/>
            <w:tcBorders>
              <w:top w:val="single" w:sz="4" w:space="0" w:color="010000"/>
            </w:tcBorders>
            <w:vAlign w:val="center"/>
          </w:tcPr>
          <w:p>
            <w:pPr>
              <w:jc w:val="left"/>
            </w:pPr>
            <w:r/>
            <w:r>
              <w:rPr>
                <w:rFonts w:hint="eastAsia"/>
                <w:color w:val="000000"/>
                <w:sz w:val="21"/>
              </w:rPr>
              <w:t>松延动力</w:t>
            </w:r>
          </w:p>
        </w:tc>
        <w:tc>
          <w:tcPr>
            <w:tcW w:w="1575" w:type="pct"/>
            <w:tcBorders>
              <w:top w:val="single" w:sz="4" w:space="0" w:color="010000"/>
            </w:tcBorders>
            <w:vAlign w:val="center"/>
          </w:tcPr>
          <w:p>
            <w:pPr>
              <w:jc w:val="left"/>
            </w:pPr>
            <w:r/>
            <w:r>
              <w:rPr>
                <w:rFonts w:hint="eastAsia"/>
                <w:color w:val="000000"/>
                <w:sz w:val="21"/>
              </w:rPr>
              <w:t>已完成股改。</w:t>
            </w:r>
          </w:p>
        </w:tc>
        <w:tc>
          <w:tcPr>
            <w:tcW w:w="1301" w:type="pct"/>
            <w:tcBorders>
              <w:top w:val="single" w:sz="4" w:space="0" w:color="010000"/>
            </w:tcBorders>
            <w:vAlign w:val="center"/>
          </w:tcPr>
          <w:p>
            <w:pPr>
              <w:jc w:val="left"/>
            </w:pPr>
            <w:r/>
            <w:r>
              <w:rPr>
                <w:rFonts w:hint="eastAsia"/>
                <w:color w:val="000000"/>
                <w:sz w:val="21"/>
              </w:rPr>
              <w:t>N2等中小尺寸双足人形机器人。</w:t>
            </w:r>
          </w:p>
        </w:tc>
        <w:tc>
          <w:tcPr>
            <w:tcW w:w="1507" w:type="pct"/>
            <w:tcBorders>
              <w:top w:val="single" w:sz="4" w:space="0" w:color="010000"/>
            </w:tcBorders>
            <w:vAlign w:val="center"/>
          </w:tcPr>
          <w:p>
            <w:pPr>
              <w:jc w:val="left"/>
            </w:pPr>
            <w:r/>
            <w:r>
              <w:rPr>
                <w:rFonts w:hint="eastAsia"/>
                <w:color w:val="000000"/>
                <w:sz w:val="21"/>
              </w:rPr>
              <w:t>2025年总订单超2,500台，合同总额超1亿元。</w:t>
            </w:r>
          </w:p>
        </w:tc>
      </w:tr>
      <w:tr>
        <w:trPr>
          <w:cantSplit/>
          <w:jc w:val="center"/>
        </w:trPr>
        <w:tc>
          <w:tcPr>
            <w:tcW w:w="616" w:type="pct"/>
            <w:tcBorders>
              <w:top w:val="single" w:sz="4" w:space="0" w:color="010000"/>
            </w:tcBorders>
            <w:vAlign w:val="center"/>
          </w:tcPr>
          <w:p>
            <w:pPr>
              <w:jc w:val="left"/>
            </w:pPr>
            <w:r/>
            <w:r>
              <w:rPr>
                <w:rFonts w:hint="eastAsia"/>
                <w:color w:val="000000"/>
                <w:sz w:val="21"/>
              </w:rPr>
              <w:t>星海图</w:t>
            </w:r>
          </w:p>
        </w:tc>
        <w:tc>
          <w:tcPr>
            <w:tcW w:w="1575" w:type="pct"/>
            <w:tcBorders>
              <w:top w:val="single" w:sz="4" w:space="0" w:color="010000"/>
            </w:tcBorders>
            <w:vAlign w:val="center"/>
          </w:tcPr>
          <w:p>
            <w:pPr>
              <w:jc w:val="left"/>
            </w:pPr>
            <w:r/>
            <w:r>
              <w:rPr>
                <w:rFonts w:hint="eastAsia"/>
                <w:color w:val="000000"/>
                <w:sz w:val="21"/>
              </w:rPr>
              <w:t>已完成股改，最新一轮融资被业内视为Pre-IPO轮。</w:t>
            </w:r>
          </w:p>
        </w:tc>
        <w:tc>
          <w:tcPr>
            <w:tcW w:w="1301" w:type="pct"/>
            <w:tcBorders>
              <w:top w:val="single" w:sz="4" w:space="0" w:color="010000"/>
            </w:tcBorders>
            <w:vAlign w:val="center"/>
          </w:tcPr>
          <w:p>
            <w:pPr>
              <w:jc w:val="left"/>
            </w:pPr>
            <w:r/>
            <w:r>
              <w:rPr>
                <w:rFonts w:hint="eastAsia"/>
                <w:color w:val="000000"/>
                <w:sz w:val="21"/>
              </w:rPr>
              <w:t>具身智能整机及模型。</w:t>
            </w:r>
          </w:p>
        </w:tc>
        <w:tc>
          <w:tcPr>
            <w:tcW w:w="1507" w:type="pct"/>
            <w:tcBorders>
              <w:top w:val="single" w:sz="4" w:space="0" w:color="010000"/>
            </w:tcBorders>
            <w:vAlign w:val="center"/>
          </w:tcPr>
          <w:p>
            <w:pPr>
              <w:jc w:val="left"/>
            </w:pPr>
            <w:r/>
            <w:r>
              <w:rPr>
                <w:rFonts w:hint="eastAsia"/>
                <w:color w:val="000000"/>
                <w:sz w:val="21"/>
              </w:rPr>
              <w:t>已进入百亿估值阵营。</w:t>
            </w:r>
          </w:p>
        </w:tc>
      </w:tr>
      <w:tr>
        <w:trPr>
          <w:cantSplit/>
          <w:jc w:val="center"/>
        </w:trPr>
        <w:tc>
          <w:tcPr>
            <w:tcW w:w="616" w:type="pct"/>
            <w:tcBorders>
              <w:top w:val="single" w:sz="4" w:space="0" w:color="010000"/>
            </w:tcBorders>
            <w:vAlign w:val="center"/>
          </w:tcPr>
          <w:p>
            <w:pPr>
              <w:jc w:val="left"/>
            </w:pPr>
            <w:r/>
            <w:r>
              <w:rPr>
                <w:rFonts w:hint="eastAsia"/>
                <w:color w:val="000000"/>
                <w:sz w:val="21"/>
              </w:rPr>
              <w:t>魔法原子</w:t>
            </w:r>
          </w:p>
        </w:tc>
        <w:tc>
          <w:tcPr>
            <w:tcW w:w="1575" w:type="pct"/>
            <w:tcBorders>
              <w:top w:val="single" w:sz="4" w:space="0" w:color="010000"/>
            </w:tcBorders>
            <w:vAlign w:val="center"/>
          </w:tcPr>
          <w:p>
            <w:pPr>
              <w:jc w:val="left"/>
            </w:pPr>
            <w:r/>
            <w:r>
              <w:rPr>
                <w:rFonts w:hint="eastAsia"/>
                <w:color w:val="000000"/>
                <w:sz w:val="21"/>
              </w:rPr>
              <w:t>正在推进上市准备，联合创始人表示最快可能在2026年登陆二级市场。</w:t>
            </w:r>
          </w:p>
        </w:tc>
        <w:tc>
          <w:tcPr>
            <w:tcW w:w="1301" w:type="pct"/>
            <w:tcBorders>
              <w:top w:val="single" w:sz="4" w:space="0" w:color="010000"/>
            </w:tcBorders>
            <w:vAlign w:val="center"/>
          </w:tcPr>
          <w:p>
            <w:pPr>
              <w:jc w:val="left"/>
            </w:pPr>
            <w:r/>
            <w:r>
              <w:rPr>
                <w:rFonts w:hint="eastAsia"/>
                <w:color w:val="000000"/>
                <w:sz w:val="21"/>
              </w:rPr>
              <w:t>人形机器人整机。</w:t>
            </w:r>
          </w:p>
        </w:tc>
        <w:tc>
          <w:tcPr>
            <w:tcW w:w="1507" w:type="pct"/>
            <w:tcBorders>
              <w:top w:val="single" w:sz="4" w:space="0" w:color="010000"/>
            </w:tcBorders>
            <w:vAlign w:val="center"/>
          </w:tcPr>
          <w:p>
            <w:pPr>
              <w:jc w:val="left"/>
            </w:pPr>
            <w:r/>
            <w:r>
              <w:rPr>
                <w:rFonts w:hint="eastAsia"/>
                <w:color w:val="000000"/>
                <w:sz w:val="21"/>
              </w:rPr>
              <w:t>未公开披露拟募金额和发行比例。</w:t>
            </w:r>
          </w:p>
        </w:tc>
      </w:tr>
      <w:tr>
        <w:trPr>
          <w:cantSplit/>
          <w:jc w:val="center"/>
        </w:trPr>
        <w:tc>
          <w:tcPr>
            <w:tcW w:w="616" w:type="pct"/>
            <w:tcBorders>
              <w:top w:val="single" w:sz="4" w:space="0" w:color="010000"/>
            </w:tcBorders>
            <w:vAlign w:val="center"/>
          </w:tcPr>
          <w:p>
            <w:pPr>
              <w:jc w:val="left"/>
            </w:pPr>
            <w:r/>
            <w:r>
              <w:rPr>
                <w:rFonts w:hint="eastAsia"/>
                <w:color w:val="000000"/>
                <w:sz w:val="21"/>
              </w:rPr>
              <w:t>精密传动/减速器类企业</w:t>
            </w:r>
          </w:p>
        </w:tc>
        <w:tc>
          <w:tcPr>
            <w:tcW w:w="1575" w:type="pct"/>
            <w:tcBorders>
              <w:top w:val="single" w:sz="4" w:space="0" w:color="010000"/>
            </w:tcBorders>
            <w:vAlign w:val="center"/>
          </w:tcPr>
          <w:p>
            <w:pPr>
              <w:jc w:val="left"/>
            </w:pPr>
            <w:r/>
            <w:r>
              <w:rPr>
                <w:rFonts w:hint="eastAsia"/>
                <w:color w:val="000000"/>
                <w:sz w:val="21"/>
              </w:rPr>
              <w:t>新剑传动、智同科技、纽氏达特、金力传动等已签署辅导协议并报送材料，集中于精密传动/RV减速器领域。</w:t>
            </w:r>
          </w:p>
        </w:tc>
        <w:tc>
          <w:tcPr>
            <w:tcW w:w="1301" w:type="pct"/>
            <w:tcBorders>
              <w:top w:val="single" w:sz="4" w:space="0" w:color="010000"/>
            </w:tcBorders>
            <w:vAlign w:val="center"/>
          </w:tcPr>
          <w:p>
            <w:pPr>
              <w:jc w:val="left"/>
            </w:pPr>
            <w:r/>
            <w:r>
              <w:rPr>
                <w:rFonts w:hint="eastAsia"/>
                <w:color w:val="000000"/>
                <w:sz w:val="21"/>
              </w:rPr>
              <w:t>RV减速器、精密传动部件。</w:t>
            </w:r>
          </w:p>
        </w:tc>
        <w:tc>
          <w:tcPr>
            <w:tcW w:w="1507" w:type="pct"/>
            <w:tcBorders>
              <w:top w:val="single" w:sz="4" w:space="0" w:color="010000"/>
            </w:tcBorders>
            <w:vAlign w:val="center"/>
          </w:tcPr>
          <w:p>
            <w:pPr>
              <w:jc w:val="left"/>
            </w:pPr>
            <w:r/>
            <w:r>
              <w:rPr>
                <w:rFonts w:hint="eastAsia"/>
                <w:color w:val="000000"/>
                <w:sz w:val="21"/>
              </w:rPr>
              <w:t>均处辅导阶段，未形成公开招股书。</w:t>
            </w:r>
          </w:p>
        </w:tc>
      </w:tr>
    </w:tbl>
    <w:p>
      <w:pPr>
        <w:pStyle w:val="a6"/>
      </w:pPr>
      <w:r>
        <w:rPr>
          <w:rFonts w:hint="eastAsia"/>
        </w:rPr>
        <w:t>数据来源：中国证监会及各地证监局辅导备案公示，公开新闻报道，本报告整理。辅导阶段企业尚未形成公开招股书，财务数据以公开报道为准。</w:t>
      </w:r>
    </w:p>
    <w:p>
      <w:pPr>
        <w:pStyle w:val="3"/>
        <w:numPr>
          <w:ilvl w:val="0"/>
          <w:numId w:val="0"/>
        </w:numPr>
        <w:spacing w:before="156" w:after="156"/>
      </w:pPr>
      <w:bookmarkStart w:id="1034" w:name="_Toc900034"/>
      <w:r>
        <w:rPr>
          <w:rFonts w:hint="eastAsia"/>
        </w:rPr>
        <w:t>6.4 通过上市公司平台实现资本化的企业</w:t>
      </w:r>
      <w:bookmarkEnd w:id="1034"/>
    </w:p>
    <w:p>
      <w:pPr>
        <w:keepNext/>
        <w:jc w:val="center"/>
      </w:pPr>
      <w:r>
        <w:rPr>
          <w:rFonts w:hint="eastAsia"/>
          <w:b/>
          <w:sz w:val="21"/>
        </w:rPr>
        <w:t>表11  通过上市公司平台实现资本化的企业</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479" w:type="pct"/>
            <w:tcBorders>
              <w:top w:val="single" w:sz="12" w:space="0" w:color="010000"/>
              <w:bottom w:val="single" w:sz="4" w:space="0" w:color="010000"/>
            </w:tcBorders>
            <w:vAlign w:val="center"/>
          </w:tcPr>
          <w:p>
            <w:pPr>
              <w:keepNext/>
              <w:jc w:val="center"/>
            </w:pPr>
            <w:r/>
            <w:r>
              <w:rPr>
                <w:rFonts w:hint="eastAsia"/>
                <w:b/>
                <w:color w:val="000000"/>
                <w:sz w:val="21"/>
              </w:rPr>
              <w:t>企业</w:t>
            </w:r>
          </w:p>
        </w:tc>
        <w:tc>
          <w:tcPr>
            <w:tcW w:w="1233" w:type="pct"/>
            <w:tcBorders>
              <w:top w:val="single" w:sz="12" w:space="0" w:color="010000"/>
              <w:bottom w:val="single" w:sz="4" w:space="0" w:color="010000"/>
            </w:tcBorders>
            <w:vAlign w:val="center"/>
          </w:tcPr>
          <w:p>
            <w:pPr>
              <w:keepNext/>
              <w:jc w:val="center"/>
            </w:pPr>
            <w:r/>
            <w:r>
              <w:rPr>
                <w:rFonts w:hint="eastAsia"/>
                <w:b/>
                <w:color w:val="000000"/>
                <w:sz w:val="21"/>
              </w:rPr>
              <w:t>资本化方式</w:t>
            </w:r>
          </w:p>
        </w:tc>
        <w:tc>
          <w:tcPr>
            <w:tcW w:w="1712" w:type="pct"/>
            <w:tcBorders>
              <w:top w:val="single" w:sz="12" w:space="0" w:color="010000"/>
              <w:bottom w:val="single" w:sz="4" w:space="0" w:color="010000"/>
            </w:tcBorders>
            <w:vAlign w:val="center"/>
          </w:tcPr>
          <w:p>
            <w:pPr>
              <w:keepNext/>
              <w:jc w:val="center"/>
            </w:pPr>
            <w:r/>
            <w:r>
              <w:rPr>
                <w:rFonts w:hint="eastAsia"/>
                <w:b/>
                <w:color w:val="000000"/>
                <w:sz w:val="21"/>
              </w:rPr>
              <w:t>交易要点</w:t>
            </w:r>
          </w:p>
        </w:tc>
        <w:tc>
          <w:tcPr>
            <w:tcW w:w="1575" w:type="pct"/>
            <w:tcBorders>
              <w:top w:val="single" w:sz="12" w:space="0" w:color="010000"/>
              <w:bottom w:val="single" w:sz="4" w:space="0" w:color="010000"/>
            </w:tcBorders>
            <w:vAlign w:val="center"/>
          </w:tcPr>
          <w:p>
            <w:pPr>
              <w:keepNext/>
              <w:jc w:val="center"/>
            </w:pPr>
            <w:r/>
            <w:r>
              <w:rPr>
                <w:rFonts w:hint="eastAsia"/>
                <w:b/>
                <w:color w:val="000000"/>
                <w:sz w:val="21"/>
              </w:rPr>
              <w:t>公开财务及估值信息</w:t>
            </w:r>
          </w:p>
        </w:tc>
      </w:tr>
      <w:tr>
        <w:trPr>
          <w:cantSplit/>
          <w:jc w:val="center"/>
        </w:trPr>
        <w:tc>
          <w:tcPr>
            <w:tcW w:w="479" w:type="pct"/>
            <w:tcBorders>
              <w:top w:val="single" w:sz="4" w:space="0" w:color="010000"/>
            </w:tcBorders>
            <w:vAlign w:val="center"/>
          </w:tcPr>
          <w:p>
            <w:pPr>
              <w:jc w:val="left"/>
            </w:pPr>
            <w:r/>
            <w:r>
              <w:rPr>
                <w:rFonts w:hint="eastAsia"/>
                <w:color w:val="000000"/>
                <w:sz w:val="21"/>
              </w:rPr>
              <w:t>智元机器人</w:t>
            </w:r>
          </w:p>
        </w:tc>
        <w:tc>
          <w:tcPr>
            <w:tcW w:w="1233" w:type="pct"/>
            <w:tcBorders>
              <w:top w:val="single" w:sz="4" w:space="0" w:color="010000"/>
            </w:tcBorders>
            <w:vAlign w:val="center"/>
          </w:tcPr>
          <w:p>
            <w:pPr>
              <w:jc w:val="left"/>
            </w:pPr>
            <w:r/>
            <w:r>
              <w:rPr>
                <w:rFonts w:hint="eastAsia"/>
                <w:color w:val="000000"/>
                <w:sz w:val="21"/>
              </w:rPr>
              <w:t>通过"协议转让＋部分要约收购"取得A股上市公司上纬新材（688585.SH）控股权。</w:t>
            </w:r>
          </w:p>
        </w:tc>
        <w:tc>
          <w:tcPr>
            <w:tcW w:w="1712" w:type="pct"/>
            <w:tcBorders>
              <w:top w:val="single" w:sz="4" w:space="0" w:color="010000"/>
            </w:tcBorders>
            <w:vAlign w:val="center"/>
          </w:tcPr>
          <w:p>
            <w:pPr>
              <w:jc w:val="left"/>
            </w:pPr>
            <w:r/>
            <w:r>
              <w:rPr>
                <w:rFonts w:hint="eastAsia"/>
                <w:color w:val="000000"/>
                <w:sz w:val="21"/>
              </w:rPr>
              <w:t>2025年7月8日先行受让29.99%股份；9月23日完成过户登记，合计21亿元对价取得66.99%控股权，公司董事长、CEO邓泰华成为上市公司实际控制人。公司回应称不构成重组上市，不属于借壳上市。</w:t>
            </w:r>
          </w:p>
        </w:tc>
        <w:tc>
          <w:tcPr>
            <w:tcW w:w="1575" w:type="pct"/>
            <w:tcBorders>
              <w:top w:val="single" w:sz="4" w:space="0" w:color="010000"/>
            </w:tcBorders>
            <w:vAlign w:val="center"/>
          </w:tcPr>
          <w:p>
            <w:pPr>
              <w:jc w:val="left"/>
            </w:pPr>
            <w:r/>
            <w:r>
              <w:rPr>
                <w:rFonts w:hint="eastAsia"/>
                <w:color w:val="000000"/>
                <w:sz w:val="21"/>
              </w:rPr>
              <w:t>上纬新材2024年营业收入14.94亿元，交易对应约1.4倍市销率；要约收购价格7.78元/股，截至2025年9月24日收盘上纬新材股价已达112.7元/股。该安排为高瓴、红杉、腾讯等投资人提供了未来通过上市公司定增退出的路径。</w:t>
            </w:r>
          </w:p>
        </w:tc>
      </w:tr>
    </w:tbl>
    <w:p>
      <w:pPr>
        <w:pStyle w:val="a6"/>
      </w:pPr>
      <w:r>
        <w:rPr>
          <w:rFonts w:hint="eastAsia"/>
        </w:rPr>
        <w:t>数据来源：上纬新材（688585.SH）公告，公开新闻报道，本报告整理。</w:t>
      </w:r>
    </w:p>
    <w:p>
      <w:pPr>
        <w:pStyle w:val="3"/>
        <w:numPr>
          <w:ilvl w:val="0"/>
          <w:numId w:val="0"/>
        </w:numPr>
        <w:spacing w:before="156" w:after="156"/>
      </w:pPr>
      <w:bookmarkStart w:id="1035" w:name="_Toc900035"/>
      <w:r>
        <w:rPr>
          <w:rFonts w:hint="eastAsia"/>
        </w:rPr>
        <w:t>6.5 资本化特征小结</w:t>
      </w:r>
      <w:bookmarkEnd w:id="1035"/>
    </w:p>
    <w:p>
      <w:pPr>
        <w:pStyle w:val="a0"/>
      </w:pPr>
      <w:r>
        <w:rPr>
          <w:rFonts w:hint="eastAsia"/>
        </w:rPr>
        <w:t>综合来看，本轮人形机器人产业链的资本化呈现四个特征。第一，通道多元：A股科创板第五套标准与创业板第四套标准同时向未盈利的具身智能企业开放，港股18C特专科技通道承接高研发投入企业，形成"A股＋港股"双通道格局。第二，审核提速：宇树科技从受理到证监会同意注册仅104天，创下科创板最快全流程审核纪录，反映监管对该赛道的支持态度。第三，估值分层明显：整机头部企业估值在百亿至数百亿元量级（宇树发行后市值约609亿元、银河通用约260亿元、智平方超200亿元），而零部件企业估值显著低于整机（来福谐波发行前估值约15亿元），说明当前资本市场对"整机＋模型"给予的溢价远高于纯零部件。第四，盈利尚未普及：乐聚智能招股信息预计最早2028年盈利，来福谐波三年连续亏损，说明多数产业链企业仍处于以规模换份额的阶段。</w:t>
      </w:r>
    </w:p>
    <w:p>
      <w:pPr>
        <w:pStyle w:val="a0"/>
      </w:pPr>
      <w:r>
        <w:rPr>
          <w:rFonts w:hint="eastAsia"/>
        </w:rPr>
        <w:t>对无锡巨蟹而言，上述特征的直接含义是：作为核心零部件企业，其估值锚更接近来福谐波、绿的谐波等可比公司而非整机企业；在盈利尚未确立的阶段，资本市场更关注的是量产交付规模、头部客户导入情况和毛利率趋势，而非短期利润。若要在未来两三年内推进资本化，需要在这三项指标上形成可验证的进展。</w:t>
      </w:r>
    </w:p>
    <w:p/>
    <w:p/>
    <w:p>
      <w:pPr>
        <w:pStyle w:val="2"/>
        <w:spacing w:before="156" w:after="156"/>
      </w:pPr>
      <w:bookmarkStart w:id="1036" w:name="_Toc900036"/>
      <w:r>
        <w:rPr>
          <w:rFonts w:hint="eastAsia"/>
          <w:b/>
        </w:rPr>
        <w:t>与国泰海通相关的产业链公司</w:t>
      </w:r>
      <w:bookmarkEnd w:id="1036"/>
    </w:p>
    <w:p>
      <w:pPr>
        <w:pStyle w:val="a0"/>
      </w:pPr>
      <w:r>
        <w:rPr>
          <w:rFonts w:hint="eastAsia"/>
        </w:rPr>
        <w:t>本章梳理国泰海通证券股份有限公司（以下简称"国泰海通"，由国泰君安证券与海通证券于2025年3月14日合并而成）及其下属机构在人形机器人及相关产业链中的保荐承销、上市辅导和股权投资情况。以下信息均来自交易所公开披露文件、监管机构辅导备案公示及公开报道。需要说明的是，证券公司的在审项目、辅导项目和股权投资组合并非全部对外披露，本章仅覆盖可公开检索到的部分，不构成完整清单。</w:t>
      </w:r>
    </w:p>
    <w:p>
      <w:pPr>
        <w:pStyle w:val="3"/>
        <w:numPr>
          <w:ilvl w:val="0"/>
          <w:numId w:val="0"/>
        </w:numPr>
        <w:spacing w:before="156" w:after="156"/>
      </w:pPr>
      <w:bookmarkStart w:id="1037" w:name="_Toc900037"/>
      <w:r>
        <w:rPr>
          <w:rFonts w:hint="eastAsia"/>
        </w:rPr>
        <w:t>7.1 国泰海通的整体投行业务位置</w:t>
      </w:r>
      <w:bookmarkEnd w:id="1037"/>
    </w:p>
    <w:p>
      <w:pPr>
        <w:pStyle w:val="a0"/>
      </w:pPr>
      <w:r>
        <w:rPr>
          <w:rFonts w:hint="eastAsia"/>
        </w:rPr>
        <w:t>国泰海通合并后在A股股权承销业务中处于领先位置。据公开统计，2026年上半年国泰海通以13单A股IPO保荐上市数量位居行业第一，市占率约18.3%，较第二名领先4单；承销金额646亿元位列行业第三；在IPO受理家数及在审家数上与华泰联合并列前二。这一业务体量意味着，在2026—2027年人形机器人产业链集中IPO的窗口期，国泰海通具备较强的项目承接能力。</w:t>
      </w:r>
    </w:p>
    <w:p>
      <w:pPr>
        <w:pStyle w:val="3"/>
        <w:numPr>
          <w:ilvl w:val="0"/>
          <w:numId w:val="0"/>
        </w:numPr>
        <w:spacing w:before="156" w:after="156"/>
      </w:pPr>
      <w:bookmarkStart w:id="1038" w:name="_Toc900038"/>
      <w:r>
        <w:rPr>
          <w:rFonts w:hint="eastAsia"/>
        </w:rPr>
        <w:t>7.2 保荐与承销业务</w:t>
      </w:r>
      <w:bookmarkEnd w:id="1038"/>
    </w:p>
    <w:p>
      <w:pPr>
        <w:keepNext/>
        <w:jc w:val="center"/>
      </w:pPr>
      <w:r>
        <w:rPr>
          <w:rFonts w:hint="eastAsia"/>
          <w:b/>
          <w:sz w:val="21"/>
        </w:rPr>
        <w:t>表12  国泰海通保荐或承销的机器人产业链相关公司</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738" w:type="pct"/>
            <w:tcBorders>
              <w:top w:val="single" w:sz="12" w:space="0" w:color="010000"/>
              <w:bottom w:val="single" w:sz="4" w:space="0" w:color="010000"/>
            </w:tcBorders>
            <w:vAlign w:val="center"/>
          </w:tcPr>
          <w:p>
            <w:pPr>
              <w:keepNext/>
              <w:jc w:val="center"/>
            </w:pPr>
            <w:r/>
            <w:r>
              <w:rPr>
                <w:rFonts w:hint="eastAsia"/>
                <w:b/>
                <w:color w:val="000000"/>
                <w:sz w:val="21"/>
              </w:rPr>
              <w:t>公司</w:t>
            </w:r>
          </w:p>
        </w:tc>
        <w:tc>
          <w:tcPr>
            <w:tcW w:w="2705" w:type="pct"/>
            <w:tcBorders>
              <w:top w:val="single" w:sz="12" w:space="0" w:color="010000"/>
              <w:bottom w:val="single" w:sz="4" w:space="0" w:color="010000"/>
            </w:tcBorders>
            <w:vAlign w:val="center"/>
          </w:tcPr>
          <w:p>
            <w:pPr>
              <w:keepNext/>
              <w:jc w:val="center"/>
            </w:pPr>
            <w:r/>
            <w:r>
              <w:rPr>
                <w:rFonts w:hint="eastAsia"/>
                <w:b/>
                <w:color w:val="000000"/>
                <w:sz w:val="21"/>
              </w:rPr>
              <w:t>与国泰海通的关系</w:t>
            </w:r>
          </w:p>
        </w:tc>
        <w:tc>
          <w:tcPr>
            <w:tcW w:w="1557" w:type="pct"/>
            <w:tcBorders>
              <w:top w:val="single" w:sz="12" w:space="0" w:color="010000"/>
              <w:bottom w:val="single" w:sz="4" w:space="0" w:color="010000"/>
            </w:tcBorders>
            <w:vAlign w:val="center"/>
          </w:tcPr>
          <w:p>
            <w:pPr>
              <w:keepNext/>
              <w:jc w:val="center"/>
            </w:pPr>
            <w:r/>
            <w:r>
              <w:rPr>
                <w:rFonts w:hint="eastAsia"/>
                <w:b/>
                <w:color w:val="000000"/>
                <w:sz w:val="21"/>
              </w:rPr>
              <w:t>业务与产业链定位</w:t>
            </w:r>
          </w:p>
        </w:tc>
      </w:tr>
      <w:tr>
        <w:trPr>
          <w:cantSplit/>
          <w:jc w:val="center"/>
        </w:trPr>
        <w:tc>
          <w:tcPr>
            <w:tcW w:w="738" w:type="pct"/>
            <w:tcBorders>
              <w:top w:val="single" w:sz="4" w:space="0" w:color="010000"/>
            </w:tcBorders>
            <w:vAlign w:val="center"/>
          </w:tcPr>
          <w:p>
            <w:pPr>
              <w:jc w:val="left"/>
            </w:pPr>
            <w:r/>
            <w:r>
              <w:rPr>
                <w:rFonts w:hint="eastAsia"/>
                <w:color w:val="000000"/>
                <w:sz w:val="21"/>
              </w:rPr>
              <w:t>乐动机器人</w:t>
            </w:r>
          </w:p>
        </w:tc>
        <w:tc>
          <w:tcPr>
            <w:tcW w:w="2705" w:type="pct"/>
            <w:tcBorders>
              <w:top w:val="single" w:sz="4" w:space="0" w:color="010000"/>
            </w:tcBorders>
            <w:vAlign w:val="center"/>
          </w:tcPr>
          <w:p>
            <w:pPr>
              <w:jc w:val="left"/>
            </w:pPr>
            <w:r/>
            <w:r>
              <w:rPr>
                <w:rFonts w:hint="eastAsia"/>
                <w:color w:val="000000"/>
                <w:sz w:val="21"/>
              </w:rPr>
              <w:t>2026年5月在港交所主板上市，国泰海通集团下属国泰君安国际控股有限公司担任联席保荐人、保荐人兼整体协调人，携手集团旗下海通国际共同完成发行，总集资额约8.8亿港元。</w:t>
            </w:r>
          </w:p>
        </w:tc>
        <w:tc>
          <w:tcPr>
            <w:tcW w:w="1557" w:type="pct"/>
            <w:tcBorders>
              <w:top w:val="single" w:sz="4" w:space="0" w:color="010000"/>
            </w:tcBorders>
            <w:vAlign w:val="center"/>
          </w:tcPr>
          <w:p>
            <w:pPr>
              <w:jc w:val="left"/>
            </w:pPr>
            <w:r/>
            <w:r>
              <w:rPr>
                <w:rFonts w:hint="eastAsia"/>
                <w:color w:val="000000"/>
                <w:sz w:val="21"/>
              </w:rPr>
              <w:t>激光雷达及机器人核心传感与解决方案，属于机器人感知环节。</w:t>
            </w:r>
          </w:p>
        </w:tc>
      </w:tr>
      <w:tr>
        <w:trPr>
          <w:cantSplit/>
          <w:jc w:val="center"/>
        </w:trPr>
        <w:tc>
          <w:tcPr>
            <w:tcW w:w="738" w:type="pct"/>
            <w:tcBorders>
              <w:top w:val="single" w:sz="4" w:space="0" w:color="010000"/>
            </w:tcBorders>
            <w:vAlign w:val="center"/>
          </w:tcPr>
          <w:p>
            <w:pPr>
              <w:jc w:val="left"/>
            </w:pPr>
            <w:r/>
            <w:r>
              <w:rPr>
                <w:rFonts w:hint="eastAsia"/>
                <w:color w:val="000000"/>
                <w:sz w:val="21"/>
              </w:rPr>
              <w:t>晋拓股份（603211.SH）</w:t>
            </w:r>
          </w:p>
        </w:tc>
        <w:tc>
          <w:tcPr>
            <w:tcW w:w="2705" w:type="pct"/>
            <w:tcBorders>
              <w:top w:val="single" w:sz="4" w:space="0" w:color="010000"/>
            </w:tcBorders>
            <w:vAlign w:val="center"/>
          </w:tcPr>
          <w:p>
            <w:pPr>
              <w:jc w:val="left"/>
            </w:pPr>
            <w:r/>
            <w:r>
              <w:rPr>
                <w:rFonts w:hint="eastAsia"/>
                <w:color w:val="000000"/>
                <w:sz w:val="21"/>
              </w:rPr>
              <w:t>国泰海通证券担任公司2026年度向特定对象发行股票的保荐人（主承销商）。该定增于2026年7月获上交所受理，拟发行不超过8,154.24万股、募集资金不超过5亿元，用于精密零部件产业化项目及补充流动资金。</w:t>
            </w:r>
          </w:p>
        </w:tc>
        <w:tc>
          <w:tcPr>
            <w:tcW w:w="1557" w:type="pct"/>
            <w:tcBorders>
              <w:top w:val="single" w:sz="4" w:space="0" w:color="010000"/>
            </w:tcBorders>
            <w:vAlign w:val="center"/>
          </w:tcPr>
          <w:p>
            <w:pPr>
              <w:jc w:val="left"/>
            </w:pPr>
            <w:r/>
            <w:r>
              <w:rPr>
                <w:rFonts w:hint="eastAsia"/>
                <w:color w:val="000000"/>
                <w:sz w:val="21"/>
              </w:rPr>
              <w:t>铝合金精密压铸件企业，产品覆盖汽车零部件、智能家居零部件、工业自动化及机器人零部件、信息传输设备零部件；已服务UR、云迹、节卡等协作机器人厂商，将机器人零部件作为重点发展方向并率先布局人形机器人零部件业务，与关节模组的轻量化结构件配套相关。</w:t>
            </w:r>
          </w:p>
        </w:tc>
      </w:tr>
      <w:tr>
        <w:trPr>
          <w:cantSplit/>
          <w:jc w:val="center"/>
        </w:trPr>
        <w:tc>
          <w:tcPr>
            <w:tcW w:w="738" w:type="pct"/>
            <w:tcBorders>
              <w:top w:val="single" w:sz="4" w:space="0" w:color="010000"/>
            </w:tcBorders>
            <w:vAlign w:val="center"/>
          </w:tcPr>
          <w:p>
            <w:pPr>
              <w:jc w:val="left"/>
            </w:pPr>
            <w:r/>
            <w:r>
              <w:rPr>
                <w:rFonts w:hint="eastAsia"/>
                <w:color w:val="000000"/>
                <w:sz w:val="21"/>
              </w:rPr>
              <w:t>新睿电子</w:t>
            </w:r>
          </w:p>
        </w:tc>
        <w:tc>
          <w:tcPr>
            <w:tcW w:w="2705" w:type="pct"/>
            <w:tcBorders>
              <w:top w:val="single" w:sz="4" w:space="0" w:color="010000"/>
            </w:tcBorders>
            <w:vAlign w:val="center"/>
          </w:tcPr>
          <w:p>
            <w:pPr>
              <w:jc w:val="left"/>
            </w:pPr>
            <w:r/>
            <w:r>
              <w:rPr>
                <w:rFonts w:hint="eastAsia"/>
                <w:color w:val="000000"/>
                <w:sz w:val="21"/>
              </w:rPr>
              <w:t>国泰海通证券担任临海市新睿电子科技股份有限公司向不特定合格投资者公开发行股票并在北京证券交易所上市的保荐人（主承销商）。</w:t>
            </w:r>
          </w:p>
        </w:tc>
        <w:tc>
          <w:tcPr>
            <w:tcW w:w="1557" w:type="pct"/>
            <w:tcBorders>
              <w:top w:val="single" w:sz="4" w:space="0" w:color="010000"/>
            </w:tcBorders>
            <w:vAlign w:val="center"/>
          </w:tcPr>
          <w:p>
            <w:pPr>
              <w:jc w:val="left"/>
            </w:pPr>
            <w:r/>
            <w:r>
              <w:rPr>
                <w:rFonts w:hint="eastAsia"/>
                <w:color w:val="000000"/>
                <w:sz w:val="21"/>
              </w:rPr>
              <w:t>国家级高新技术企业，专注工业机器人控制系统，属于机器人控制环节。</w:t>
            </w:r>
          </w:p>
        </w:tc>
      </w:tr>
      <w:tr>
        <w:trPr>
          <w:cantSplit/>
          <w:jc w:val="center"/>
        </w:trPr>
        <w:tc>
          <w:tcPr>
            <w:tcW w:w="738" w:type="pct"/>
            <w:tcBorders>
              <w:top w:val="single" w:sz="4" w:space="0" w:color="010000"/>
            </w:tcBorders>
            <w:vAlign w:val="center"/>
          </w:tcPr>
          <w:p>
            <w:pPr>
              <w:jc w:val="left"/>
            </w:pPr>
            <w:r/>
            <w:r>
              <w:rPr>
                <w:rFonts w:hint="eastAsia"/>
                <w:color w:val="000000"/>
                <w:sz w:val="21"/>
              </w:rPr>
              <w:t>三瑞智能（301696.SZ）</w:t>
            </w:r>
          </w:p>
        </w:tc>
        <w:tc>
          <w:tcPr>
            <w:tcW w:w="2705" w:type="pct"/>
            <w:tcBorders>
              <w:top w:val="single" w:sz="4" w:space="0" w:color="010000"/>
            </w:tcBorders>
            <w:vAlign w:val="center"/>
          </w:tcPr>
          <w:p>
            <w:pPr>
              <w:jc w:val="left"/>
            </w:pPr>
            <w:r/>
            <w:r>
              <w:rPr>
                <w:rFonts w:hint="eastAsia"/>
                <w:color w:val="000000"/>
                <w:sz w:val="21"/>
              </w:rPr>
              <w:t>国泰海通证券担任保荐人（主承销商）；公司创业板IPO经深交所上市委审议通过并获证监会同意注册，发行4,001万股，于2026年4月10日在深交所创业板上市。</w:t>
            </w:r>
          </w:p>
        </w:tc>
        <w:tc>
          <w:tcPr>
            <w:tcW w:w="1557" w:type="pct"/>
            <w:tcBorders>
              <w:top w:val="single" w:sz="4" w:space="0" w:color="010000"/>
            </w:tcBorders>
            <w:vAlign w:val="center"/>
          </w:tcPr>
          <w:p>
            <w:pPr>
              <w:jc w:val="left"/>
            </w:pPr>
            <w:r/>
            <w:r>
              <w:rPr>
                <w:rFonts w:hint="eastAsia"/>
                <w:color w:val="000000"/>
                <w:sz w:val="21"/>
              </w:rPr>
              <w:t>成立于2009年，专注民用无人机电动动力系统及机器人动力系统的研发、生产和销售，主要产品为无人机电动动力系统（电机、电子调速器、螺旋桨、一体化动力系统）和机器人动力系统（电机、模组）。按2024年销售额计，其全球民用无人机电动动力系统（不含动力电池）份额7.1%、排名第二。其机器人动力系统的电机与模组产品，与无锡巨蟹所处环节存在部分重合。</w:t>
            </w:r>
          </w:p>
        </w:tc>
      </w:tr>
    </w:tbl>
    <w:p>
      <w:pPr>
        <w:pStyle w:val="a6"/>
      </w:pPr>
      <w:r>
        <w:rPr>
          <w:rFonts w:hint="eastAsia"/>
        </w:rPr>
        <w:t>数据来源：上海证券交易所、深圳证券交易所、全国中小企业股份转让系统公开披露的发行保荐书及上市保荐书，公开新闻报道，本报告整理。</w:t>
      </w:r>
    </w:p>
    <w:p>
      <w:pPr>
        <w:pStyle w:val="3"/>
        <w:numPr>
          <w:ilvl w:val="0"/>
          <w:numId w:val="0"/>
        </w:numPr>
        <w:spacing w:before="156" w:after="156"/>
      </w:pPr>
      <w:bookmarkStart w:id="1039" w:name="_Toc900039"/>
      <w:r>
        <w:rPr>
          <w:rFonts w:hint="eastAsia"/>
        </w:rPr>
        <w:t>7.3 上市辅导业务</w:t>
      </w:r>
      <w:bookmarkEnd w:id="1039"/>
    </w:p>
    <w:p>
      <w:pPr>
        <w:keepNext/>
        <w:jc w:val="center"/>
      </w:pPr>
      <w:r>
        <w:rPr>
          <w:rFonts w:hint="eastAsia"/>
          <w:b/>
          <w:sz w:val="21"/>
        </w:rPr>
        <w:t>表13  国泰海通担任辅导机构的相关公司</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1066" w:type="pct"/>
            <w:tcBorders>
              <w:top w:val="single" w:sz="12" w:space="0" w:color="010000"/>
              <w:bottom w:val="single" w:sz="4" w:space="0" w:color="010000"/>
            </w:tcBorders>
            <w:vAlign w:val="center"/>
          </w:tcPr>
          <w:p>
            <w:pPr>
              <w:keepNext/>
              <w:jc w:val="center"/>
            </w:pPr>
            <w:r/>
            <w:r>
              <w:rPr>
                <w:rFonts w:hint="eastAsia"/>
                <w:b/>
                <w:color w:val="000000"/>
                <w:sz w:val="21"/>
              </w:rPr>
              <w:t>公司</w:t>
            </w:r>
          </w:p>
        </w:tc>
        <w:tc>
          <w:tcPr>
            <w:tcW w:w="1803" w:type="pct"/>
            <w:tcBorders>
              <w:top w:val="single" w:sz="12" w:space="0" w:color="010000"/>
              <w:bottom w:val="single" w:sz="4" w:space="0" w:color="010000"/>
            </w:tcBorders>
            <w:vAlign w:val="center"/>
          </w:tcPr>
          <w:p>
            <w:pPr>
              <w:keepNext/>
              <w:jc w:val="center"/>
            </w:pPr>
            <w:r/>
            <w:r>
              <w:rPr>
                <w:rFonts w:hint="eastAsia"/>
                <w:b/>
                <w:color w:val="000000"/>
                <w:sz w:val="21"/>
              </w:rPr>
              <w:t>辅导备案情况</w:t>
            </w:r>
          </w:p>
        </w:tc>
        <w:tc>
          <w:tcPr>
            <w:tcW w:w="2131" w:type="pct"/>
            <w:tcBorders>
              <w:top w:val="single" w:sz="12" w:space="0" w:color="010000"/>
              <w:bottom w:val="single" w:sz="4" w:space="0" w:color="010000"/>
            </w:tcBorders>
            <w:vAlign w:val="center"/>
          </w:tcPr>
          <w:p>
            <w:pPr>
              <w:keepNext/>
              <w:jc w:val="center"/>
            </w:pPr>
            <w:r/>
            <w:r>
              <w:rPr>
                <w:rFonts w:hint="eastAsia"/>
                <w:b/>
                <w:color w:val="000000"/>
                <w:sz w:val="21"/>
              </w:rPr>
              <w:t>业务定位与相关性</w:t>
            </w:r>
          </w:p>
        </w:tc>
      </w:tr>
      <w:tr>
        <w:trPr>
          <w:cantSplit/>
          <w:jc w:val="center"/>
        </w:trPr>
        <w:tc>
          <w:tcPr>
            <w:tcW w:w="1066" w:type="pct"/>
            <w:tcBorders>
              <w:top w:val="single" w:sz="4" w:space="0" w:color="010000"/>
            </w:tcBorders>
            <w:vAlign w:val="center"/>
          </w:tcPr>
          <w:p>
            <w:pPr>
              <w:jc w:val="left"/>
            </w:pPr>
            <w:r/>
            <w:r>
              <w:rPr>
                <w:rFonts w:hint="eastAsia"/>
                <w:color w:val="000000"/>
                <w:sz w:val="21"/>
              </w:rPr>
              <w:t>镭神技术（深圳）股份有限公司</w:t>
            </w:r>
          </w:p>
        </w:tc>
        <w:tc>
          <w:tcPr>
            <w:tcW w:w="1803" w:type="pct"/>
            <w:tcBorders>
              <w:top w:val="single" w:sz="4" w:space="0" w:color="010000"/>
            </w:tcBorders>
            <w:vAlign w:val="center"/>
          </w:tcPr>
          <w:p>
            <w:pPr>
              <w:jc w:val="left"/>
            </w:pPr>
            <w:r/>
            <w:r>
              <w:rPr>
                <w:rFonts w:hint="eastAsia"/>
                <w:color w:val="000000"/>
                <w:sz w:val="21"/>
              </w:rPr>
              <w:t>2026年4月15日启动上市辅导，辅导机构为国泰海通证券，已在深圳证监局办理辅导备案登记。</w:t>
            </w:r>
          </w:p>
        </w:tc>
        <w:tc>
          <w:tcPr>
            <w:tcW w:w="2131" w:type="pct"/>
            <w:tcBorders>
              <w:top w:val="single" w:sz="4" w:space="0" w:color="010000"/>
            </w:tcBorders>
            <w:vAlign w:val="center"/>
          </w:tcPr>
          <w:p>
            <w:pPr>
              <w:jc w:val="left"/>
            </w:pPr>
            <w:r/>
            <w:r>
              <w:rPr>
                <w:rFonts w:hint="eastAsia"/>
                <w:color w:val="000000"/>
                <w:sz w:val="21"/>
              </w:rPr>
              <w:t>成立于2017年10月，为光通信、半导体行业提供精密装备和系统化解决方案，精密耦合设备国内市场占有率超50%，累计交付高精密设备超600台。属于精密装备制造，与机器人产业链非直接相关，此处列出以说明国泰海通在精密制造领域的辅导布局。</w:t>
            </w:r>
          </w:p>
        </w:tc>
      </w:tr>
      <w:tr>
        <w:trPr>
          <w:cantSplit/>
          <w:jc w:val="center"/>
        </w:trPr>
        <w:tc>
          <w:tcPr>
            <w:tcW w:w="1066" w:type="pct"/>
            <w:tcBorders>
              <w:top w:val="single" w:sz="4" w:space="0" w:color="010000"/>
            </w:tcBorders>
            <w:vAlign w:val="center"/>
          </w:tcPr>
          <w:p>
            <w:pPr>
              <w:jc w:val="left"/>
            </w:pPr>
            <w:r/>
            <w:r>
              <w:rPr>
                <w:rFonts w:hint="eastAsia"/>
                <w:color w:val="000000"/>
                <w:sz w:val="21"/>
              </w:rPr>
              <w:t>智谱</w:t>
            </w:r>
          </w:p>
        </w:tc>
        <w:tc>
          <w:tcPr>
            <w:tcW w:w="1803" w:type="pct"/>
            <w:tcBorders>
              <w:top w:val="single" w:sz="4" w:space="0" w:color="010000"/>
            </w:tcBorders>
            <w:vAlign w:val="center"/>
          </w:tcPr>
          <w:p>
            <w:pPr>
              <w:jc w:val="left"/>
            </w:pPr>
            <w:r/>
            <w:r>
              <w:rPr>
                <w:rFonts w:hint="eastAsia"/>
                <w:color w:val="000000"/>
                <w:sz w:val="21"/>
              </w:rPr>
              <w:t>2026年2月公开信息显示，公司撤回2025年4月提交的辅导备案并重新办理备案登记，IPO辅导机构变更为国泰海通证券和中金公司两家。</w:t>
            </w:r>
          </w:p>
        </w:tc>
        <w:tc>
          <w:tcPr>
            <w:tcW w:w="2131" w:type="pct"/>
            <w:tcBorders>
              <w:top w:val="single" w:sz="4" w:space="0" w:color="010000"/>
            </w:tcBorders>
            <w:vAlign w:val="center"/>
          </w:tcPr>
          <w:p>
            <w:pPr>
              <w:jc w:val="left"/>
            </w:pPr>
            <w:r/>
            <w:r>
              <w:rPr>
                <w:rFonts w:hint="eastAsia"/>
                <w:color w:val="000000"/>
                <w:sz w:val="21"/>
              </w:rPr>
              <w:t>人工智能大模型企业。具身智能的"大脑"层依赖多模态大模型能力，与人形机器人产业链在算法层存在关联。</w:t>
            </w:r>
          </w:p>
        </w:tc>
      </w:tr>
      <w:tr>
        <w:trPr>
          <w:cantSplit/>
          <w:jc w:val="center"/>
        </w:trPr>
        <w:tc>
          <w:tcPr>
            <w:tcW w:w="1066" w:type="pct"/>
            <w:tcBorders>
              <w:top w:val="single" w:sz="4" w:space="0" w:color="010000"/>
            </w:tcBorders>
            <w:vAlign w:val="center"/>
          </w:tcPr>
          <w:p>
            <w:pPr>
              <w:jc w:val="left"/>
            </w:pPr>
            <w:r/>
            <w:r>
              <w:rPr>
                <w:rFonts w:hint="eastAsia"/>
                <w:color w:val="000000"/>
                <w:sz w:val="21"/>
              </w:rPr>
              <w:t>上海图灵智算量子科技股份有限公司</w:t>
            </w:r>
          </w:p>
        </w:tc>
        <w:tc>
          <w:tcPr>
            <w:tcW w:w="1803" w:type="pct"/>
            <w:tcBorders>
              <w:top w:val="single" w:sz="4" w:space="0" w:color="010000"/>
            </w:tcBorders>
            <w:vAlign w:val="center"/>
          </w:tcPr>
          <w:p>
            <w:pPr>
              <w:jc w:val="left"/>
            </w:pPr>
            <w:r/>
            <w:r>
              <w:rPr>
                <w:rFonts w:hint="eastAsia"/>
                <w:color w:val="000000"/>
                <w:sz w:val="21"/>
              </w:rPr>
              <w:t>2026年7月24日与国泰海通证券签署IPO辅导协议，8月5日在上海证监局完成备案。</w:t>
            </w:r>
          </w:p>
        </w:tc>
        <w:tc>
          <w:tcPr>
            <w:tcW w:w="2131" w:type="pct"/>
            <w:tcBorders>
              <w:top w:val="single" w:sz="4" w:space="0" w:color="010000"/>
            </w:tcBorders>
            <w:vAlign w:val="center"/>
          </w:tcPr>
          <w:p>
            <w:pPr>
              <w:jc w:val="left"/>
            </w:pPr>
            <w:r/>
            <w:r>
              <w:rPr>
                <w:rFonts w:hint="eastAsia"/>
                <w:color w:val="000000"/>
                <w:sz w:val="21"/>
              </w:rPr>
              <w:t>量子计算与智能算力相关企业，属于国泰海通在硬科技领域的辅导储备。</w:t>
            </w:r>
          </w:p>
        </w:tc>
      </w:tr>
    </w:tbl>
    <w:p>
      <w:pPr>
        <w:pStyle w:val="a6"/>
      </w:pPr>
      <w:r>
        <w:rPr>
          <w:rFonts w:hint="eastAsia"/>
        </w:rPr>
        <w:t>数据来源：中国证监会及各地证监局辅导备案公示，公开新闻报道，本报告整理。截至本报告统计日，未检索到国泰海通担任人形机器人整机或关节模组企业辅导机构的公开信息。</w:t>
      </w:r>
    </w:p>
    <w:p>
      <w:pPr>
        <w:pStyle w:val="3"/>
        <w:numPr>
          <w:ilvl w:val="0"/>
          <w:numId w:val="0"/>
        </w:numPr>
        <w:spacing w:before="156" w:after="156"/>
      </w:pPr>
      <w:bookmarkStart w:id="1040" w:name="_Toc900040"/>
      <w:r>
        <w:rPr>
          <w:rFonts w:hint="eastAsia"/>
        </w:rPr>
        <w:t>7.4 股权投资业务</w:t>
      </w:r>
      <w:bookmarkEnd w:id="1040"/>
    </w:p>
    <w:p>
      <w:pPr>
        <w:keepNext/>
        <w:jc w:val="center"/>
      </w:pPr>
      <w:r>
        <w:rPr>
          <w:rFonts w:hint="eastAsia"/>
          <w:b/>
          <w:sz w:val="21"/>
        </w:rPr>
        <w:t>表14  国泰海通体系已投资的机器人产业链公司</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797" w:type="pct"/>
            <w:tcBorders>
              <w:top w:val="single" w:sz="12" w:space="0" w:color="010000"/>
              <w:bottom w:val="single" w:sz="4" w:space="0" w:color="010000"/>
            </w:tcBorders>
            <w:vAlign w:val="center"/>
          </w:tcPr>
          <w:p>
            <w:pPr>
              <w:keepNext/>
              <w:jc w:val="center"/>
            </w:pPr>
            <w:r/>
            <w:r>
              <w:rPr>
                <w:rFonts w:hint="eastAsia"/>
                <w:b/>
                <w:color w:val="000000"/>
                <w:sz w:val="21"/>
              </w:rPr>
              <w:t>被投企业</w:t>
            </w:r>
          </w:p>
        </w:tc>
        <w:tc>
          <w:tcPr>
            <w:tcW w:w="1739" w:type="pct"/>
            <w:tcBorders>
              <w:top w:val="single" w:sz="12" w:space="0" w:color="010000"/>
              <w:bottom w:val="single" w:sz="4" w:space="0" w:color="010000"/>
            </w:tcBorders>
            <w:vAlign w:val="center"/>
          </w:tcPr>
          <w:p>
            <w:pPr>
              <w:keepNext/>
              <w:jc w:val="center"/>
            </w:pPr>
            <w:r/>
            <w:r>
              <w:rPr>
                <w:rFonts w:hint="eastAsia"/>
                <w:b/>
                <w:color w:val="000000"/>
                <w:sz w:val="21"/>
              </w:rPr>
              <w:t>投资情况</w:t>
            </w:r>
          </w:p>
        </w:tc>
        <w:tc>
          <w:tcPr>
            <w:tcW w:w="2464" w:type="pct"/>
            <w:tcBorders>
              <w:top w:val="single" w:sz="12" w:space="0" w:color="010000"/>
              <w:bottom w:val="single" w:sz="4" w:space="0" w:color="010000"/>
            </w:tcBorders>
            <w:vAlign w:val="center"/>
          </w:tcPr>
          <w:p>
            <w:pPr>
              <w:keepNext/>
              <w:jc w:val="center"/>
            </w:pPr>
            <w:r/>
            <w:r>
              <w:rPr>
                <w:rFonts w:hint="eastAsia"/>
                <w:b/>
                <w:color w:val="000000"/>
                <w:sz w:val="21"/>
              </w:rPr>
              <w:t>企业基本情况与产业链定位</w:t>
            </w:r>
          </w:p>
        </w:tc>
      </w:tr>
      <w:tr>
        <w:trPr>
          <w:cantSplit/>
          <w:jc w:val="center"/>
        </w:trPr>
        <w:tc>
          <w:tcPr>
            <w:tcW w:w="797" w:type="pct"/>
            <w:tcBorders>
              <w:top w:val="single" w:sz="4" w:space="0" w:color="010000"/>
            </w:tcBorders>
            <w:vAlign w:val="center"/>
          </w:tcPr>
          <w:p>
            <w:pPr>
              <w:jc w:val="left"/>
            </w:pPr>
            <w:r/>
            <w:r>
              <w:rPr>
                <w:rFonts w:hint="eastAsia"/>
                <w:color w:val="000000"/>
                <w:sz w:val="21"/>
              </w:rPr>
              <w:t>智平方（深圳智平方科技有限公司）</w:t>
            </w:r>
          </w:p>
        </w:tc>
        <w:tc>
          <w:tcPr>
            <w:tcW w:w="1739" w:type="pct"/>
            <w:tcBorders>
              <w:top w:val="single" w:sz="4" w:space="0" w:color="010000"/>
            </w:tcBorders>
            <w:vAlign w:val="center"/>
          </w:tcPr>
          <w:p>
            <w:pPr>
              <w:jc w:val="left"/>
            </w:pPr>
            <w:r/>
            <w:r>
              <w:rPr>
                <w:rFonts w:hint="eastAsia"/>
                <w:color w:val="000000"/>
                <w:sz w:val="21"/>
              </w:rPr>
              <w:t>2026年2月23日完成B轮系列融资，融资规模超10亿元，投资方包括百度战投、中国中车、沄柏资本、国泰海通等，老股东持续加注。</w:t>
            </w:r>
          </w:p>
        </w:tc>
        <w:tc>
          <w:tcPr>
            <w:tcW w:w="2464" w:type="pct"/>
            <w:tcBorders>
              <w:top w:val="single" w:sz="4" w:space="0" w:color="010000"/>
            </w:tcBorders>
            <w:vAlign w:val="center"/>
          </w:tcPr>
          <w:p>
            <w:pPr>
              <w:jc w:val="left"/>
            </w:pPr>
            <w:r/>
            <w:r>
              <w:rPr>
                <w:rFonts w:hint="eastAsia"/>
                <w:color w:val="000000"/>
                <w:sz w:val="21"/>
              </w:rPr>
              <w:t>AGI原生的通用智能机器人企业，成立于2023年4月，聚焦生产力型通用机器人、坚持端到端大模型路线并自建产线。B轮后估值突破100亿元，成为深圳首家估值超百亿元的具身智能独角兽；2026年6月完成50亿元新融资，估值超200亿元。AlphaBot系列2025年12月单月交付百台级，自建产线具备年产千台能力，2026年规划扩产至万台规模。属于人形机器人整机（轮式双臂）环节。</w:t>
            </w:r>
          </w:p>
        </w:tc>
      </w:tr>
      <w:tr>
        <w:trPr>
          <w:cantSplit/>
          <w:jc w:val="center"/>
        </w:trPr>
        <w:tc>
          <w:tcPr>
            <w:tcW w:w="797" w:type="pct"/>
            <w:tcBorders>
              <w:top w:val="single" w:sz="4" w:space="0" w:color="010000"/>
            </w:tcBorders>
            <w:vAlign w:val="center"/>
          </w:tcPr>
          <w:p>
            <w:pPr>
              <w:jc w:val="left"/>
            </w:pPr>
            <w:r/>
            <w:r>
              <w:rPr>
                <w:rFonts w:hint="eastAsia"/>
                <w:color w:val="000000"/>
                <w:sz w:val="21"/>
              </w:rPr>
              <w:t>飒智智能（上海飒智智能科技有限公司）</w:t>
            </w:r>
          </w:p>
        </w:tc>
        <w:tc>
          <w:tcPr>
            <w:tcW w:w="1739" w:type="pct"/>
            <w:tcBorders>
              <w:top w:val="single" w:sz="4" w:space="0" w:color="010000"/>
            </w:tcBorders>
            <w:vAlign w:val="center"/>
          </w:tcPr>
          <w:p>
            <w:pPr>
              <w:jc w:val="left"/>
            </w:pPr>
            <w:r/>
            <w:r>
              <w:rPr>
                <w:rFonts w:hint="eastAsia"/>
                <w:color w:val="000000"/>
                <w:sz w:val="21"/>
              </w:rPr>
              <w:t>完成数亿元A++及A+++轮融资，由海通开元（现国泰海通体系内私募股权投资平台）与国元股权联合投资。</w:t>
            </w:r>
          </w:p>
        </w:tc>
        <w:tc>
          <w:tcPr>
            <w:tcW w:w="2464" w:type="pct"/>
            <w:tcBorders>
              <w:top w:val="single" w:sz="4" w:space="0" w:color="010000"/>
            </w:tcBorders>
            <w:vAlign w:val="center"/>
          </w:tcPr>
          <w:p>
            <w:pPr>
              <w:jc w:val="left"/>
            </w:pPr>
            <w:r/>
            <w:r>
              <w:rPr>
                <w:rFonts w:hint="eastAsia"/>
                <w:color w:val="000000"/>
                <w:sz w:val="21"/>
              </w:rPr>
              <w:t>智能移动共融机器人技术及产品的研发、集成与应用企业，产品包括多模态协同作业机器人、高精度上下料移动作业复合机器人、高柔性类人作业移动双臂机器人。属于工业/复合机器人整机环节，与人形机器人在双臂作业和移动操作技术上有交集。</w:t>
            </w:r>
          </w:p>
        </w:tc>
      </w:tr>
    </w:tbl>
    <w:p>
      <w:pPr>
        <w:pStyle w:val="a6"/>
      </w:pPr>
      <w:r>
        <w:rPr>
          <w:rFonts w:hint="eastAsia"/>
        </w:rPr>
        <w:t>数据来源：公开融资新闻报道，本报告整理。证券公司私募股权子公司的投资组合并非全部对外披露，本表仅覆盖可公开检索到的案例。</w:t>
      </w:r>
    </w:p>
    <w:p>
      <w:pPr>
        <w:pStyle w:val="a0"/>
      </w:pPr>
      <w:r>
        <w:rPr>
          <w:rFonts w:hint="eastAsia"/>
        </w:rPr>
        <w:t>此外，国泰海通研究所对人形机器人产业链持续覆盖，公开研究观点看好机器人感知系统、核心零部件与本体厂商，并建议关注丝杠、轻量化材料等核心零部件方向；2026年4月国泰海通将优必选目标价上调至184.77港元。研究覆盖虽不构成业务关系，但反映了机构对该赛道的持续关注。</w:t>
      </w:r>
    </w:p>
    <w:p>
      <w:pPr>
        <w:pStyle w:val="3"/>
        <w:numPr>
          <w:ilvl w:val="0"/>
          <w:numId w:val="0"/>
        </w:numPr>
        <w:spacing w:before="156" w:after="156"/>
      </w:pPr>
      <w:bookmarkStart w:id="1041" w:name="_Toc900041"/>
      <w:r>
        <w:rPr>
          <w:rFonts w:hint="eastAsia"/>
        </w:rPr>
        <w:t>7.5 小结</w:t>
      </w:r>
      <w:bookmarkEnd w:id="1041"/>
    </w:p>
    <w:p>
      <w:pPr>
        <w:pStyle w:val="a0"/>
      </w:pPr>
      <w:r>
        <w:rPr>
          <w:rFonts w:hint="eastAsia"/>
        </w:rPr>
        <w:t>从公开信息看，国泰海通在人形机器人产业链的参与呈现"投行侧偏结构件与传感、投资侧偏整机与具身智能"的特征：保荐承销项目集中在三瑞智能（无人机与机器人动力系统的电机、模组）、晋拓股份（铝合金精密压铸的机器人零部件）、新睿电子（工业机器人控制系统）和乐动机器人（激光雷达与感知）等零部件与感知环节；股权投资则参与了智平方（整机与具身智能，估值已超200亿元）和飒智智能（移动复合机器人）等本体环节。截至本报告统计日，尚未检索到国泰海通在谐波减速器、编码器或一体化关节模组等核心传动执行环节的保荐、辅导或投资案例；已上市的三瑞智能虽有机器人动力系统的电机与模组业务，但其主业仍为无人机动力系统。</w:t>
      </w:r>
    </w:p>
    <w:p>
      <w:pPr>
        <w:pStyle w:val="a0"/>
      </w:pPr>
      <w:r>
        <w:rPr>
          <w:rFonts w:hint="eastAsia"/>
        </w:rPr>
        <w:t>这一空白对本次拜访具有直接意义：无锡巨蟹所处的"谐波减速器＋驱动器＋编码器＋一体化关节模组"环节，恰好是国泰海通现有机器人项目储备中相对薄弱的部分；同时该环节已有来福谐波（港股）、绿的谐波（科创板）等可比上市公司作为估值参照，以及新剑传动、智同科技等同类企业进入辅导阶段，具备较为清晰的资本化路径参照。</w:t>
      </w:r>
    </w:p>
    <w:p/>
    <w:p/>
    <w:p>
      <w:pPr>
        <w:pStyle w:val="2"/>
        <w:spacing w:before="156" w:after="156"/>
      </w:pPr>
      <w:bookmarkStart w:id="1042" w:name="_Toc900042"/>
      <w:r>
        <w:rPr>
          <w:rFonts w:hint="eastAsia"/>
          <w:b/>
        </w:rPr>
        <w:t>无锡巨蟹的产业链定位与拜访关注要点</w:t>
      </w:r>
      <w:bookmarkEnd w:id="1042"/>
    </w:p>
    <w:p>
      <w:pPr>
        <w:pStyle w:val="3"/>
        <w:numPr>
          <w:ilvl w:val="0"/>
          <w:numId w:val="0"/>
        </w:numPr>
        <w:spacing w:before="156" w:after="156"/>
      </w:pPr>
      <w:bookmarkStart w:id="1043" w:name="_Toc900043"/>
      <w:r>
        <w:rPr>
          <w:rFonts w:hint="eastAsia"/>
        </w:rPr>
        <w:t>8.1 公司概况与产品体系</w:t>
      </w:r>
      <w:bookmarkEnd w:id="1043"/>
    </w:p>
    <w:p>
      <w:pPr>
        <w:pStyle w:val="a0"/>
      </w:pPr>
      <w:r>
        <w:rPr>
          <w:rFonts w:hint="eastAsia"/>
        </w:rPr>
        <w:t>无锡巨蟹智能驱动科技有限公司成立于2019年4月26日，位于无锡，系江苏省重点智能制造企业，拥有约8,000平方米研制基地，创始人赵伟为东南大学仪器科学与工程学院2016级博士。公司以谐波减速器为核心，自主研发微型低压驱动器、编码器与力传感器，并将上述部件高度集成为可直接装配的人形关节模组，产品线还包括通用型上肢硬件平台和人形机械臂。</w:t>
      </w:r>
    </w:p>
    <w:p>
      <w:pPr>
        <w:pStyle w:val="a0"/>
      </w:pPr>
      <w:r>
        <w:rPr>
          <w:rFonts w:hint="eastAsia"/>
        </w:rPr>
        <w:t>关节模组产品体系包含R48、R58、R68、R83、R102、R120六大系列，全系标配双编码器：R48、R58系列适用于头部和腕关节，R83系列适用于肩、肘、膝关节及腰部，R120系列适用于髋关节和腰部。以R48-Lite集成式谐波减速关节模组为例，体积Ø48×45.5毫米、重量0.26公斤、额定扭矩5N·m、峰值扭矩11±0.5N·m、减速比101:1、额定转速3,000转/分，较前代产品长度缩短8毫米，主要面向机器人颈部、手腕等对空间和精度要求较高的部位。公司公开宣称已打破国外品牌在机器人谐波减速器领域的长期垄断，并具备非金属谐波减速器的制造能力。</w:t>
      </w:r>
    </w:p>
    <w:p>
      <w:pPr>
        <w:pStyle w:val="a0"/>
      </w:pPr>
      <w:r>
        <w:rPr>
          <w:rFonts w:hint="eastAsia"/>
        </w:rPr>
        <w:t>经营与融资方面，公司已完成人形机器人专用模组1,320套的交付，为全球首款防爆人形机器人"天魁1号"提供了除手部以外的上肢，中标哈尔滨电机厂发电机组智能检查机器人项目，2025年4月获得"LeadeRobot 2025年度人形机器人核心供应商"称号；2025年10月宣布完成近亿元人民币A轮融资，由科沃斯战投领投，上海宁玮仁、上海湖银等产业资源方跟投，资金用于动力模组研发与产能扩建；在此之前，公司曾获南京市创新投资集团领投的融资。此外，公司于2024年11月发布双臂载荷50公斤的纯电驱人形机械臂。</w:t>
      </w:r>
    </w:p>
    <w:p>
      <w:pPr>
        <w:pStyle w:val="3"/>
        <w:numPr>
          <w:ilvl w:val="0"/>
          <w:numId w:val="0"/>
        </w:numPr>
        <w:spacing w:before="156" w:after="156"/>
      </w:pPr>
      <w:bookmarkStart w:id="1044" w:name="_Toc900044"/>
      <w:r>
        <w:rPr>
          <w:rFonts w:hint="eastAsia"/>
        </w:rPr>
        <w:t>8.2 产业链定位与可比公司</w:t>
      </w:r>
      <w:bookmarkEnd w:id="1044"/>
    </w:p>
    <w:p>
      <w:pPr>
        <w:pStyle w:val="a0"/>
      </w:pPr>
      <w:r>
        <w:rPr>
          <w:rFonts w:hint="eastAsia"/>
        </w:rPr>
        <w:t>按照本报告第2.4节的分类，无锡巨蟹属于"减速器企业向上集成关节模组"这一类型，与绿的谐波、来福谐波、中大力德处于同一竞争象限。与这些企业相比，无锡巨蟹的特点是：核心部件自研覆盖面更宽（减速器、驱动器、编码器、力传感器四项自研，其中编码器自研在国内同类企业中相对少见）、产品直接以人形机器人关节模组系列化谱系呈现、并已延伸至上肢平台层面；但在收入体量、出货规模和客户结构上与可比公司差距明显——绿的谐波2025年营业收入5.71亿元、销量42.52万台，来福谐波营业收入2.61亿元、谐波减速器销量29.15万台，而无锡巨蟹目前公开的累计模组交付量为1,320套。</w:t>
      </w:r>
    </w:p>
    <w:p>
      <w:pPr>
        <w:pStyle w:val="a0"/>
      </w:pPr>
      <w:r>
        <w:rPr>
          <w:rFonts w:hint="eastAsia"/>
        </w:rPr>
        <w:t>从估值参照看，来福谐波发行前估值约15亿元，2025年营业收入2.61亿元、亏损1.71亿元；绿的谐波作为盈利龙头2025年营业收入5.71亿元、归母净利润1.24亿元。这两家公司为核心零部件环节提供了较为清晰的估值区间参照。无锡巨蟹A轮融资金额近亿元，对应的估值量级与上述可比公司仍有数量级差距，符合其当前所处的发展阶段。</w:t>
      </w:r>
    </w:p>
    <w:p>
      <w:pPr>
        <w:pStyle w:val="3"/>
        <w:numPr>
          <w:ilvl w:val="0"/>
          <w:numId w:val="0"/>
        </w:numPr>
        <w:spacing w:before="156" w:after="156"/>
      </w:pPr>
      <w:bookmarkStart w:id="1045" w:name="_Toc900045"/>
      <w:r>
        <w:rPr>
          <w:rFonts w:hint="eastAsia"/>
        </w:rPr>
        <w:t>8.3 拜访关注要点</w:t>
      </w:r>
      <w:bookmarkEnd w:id="1045"/>
    </w:p>
    <w:p>
      <w:pPr>
        <w:pStyle w:val="a0"/>
      </w:pPr>
      <w:r>
        <w:rPr>
          <w:rFonts w:hint="eastAsia"/>
        </w:rPr>
        <w:t>结合本报告的行业判断，建议在本次拜访中重点核实以下事项。这些问题围绕"能否在2026—2027年的关节模组行业集中度提升过程中卡住位置"这一核心命题展开。</w:t>
      </w:r>
    </w:p>
    <w:p>
      <w:pPr>
        <w:keepNext/>
        <w:jc w:val="center"/>
      </w:pPr>
      <w:r>
        <w:rPr>
          <w:rFonts w:hint="eastAsia"/>
          <w:b/>
          <w:sz w:val="21"/>
        </w:rPr>
        <w:t>表15  无锡巨蟹拜访关注要点</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797" w:type="pct"/>
            <w:tcBorders>
              <w:top w:val="single" w:sz="12" w:space="0" w:color="010000"/>
              <w:bottom w:val="single" w:sz="4" w:space="0" w:color="010000"/>
            </w:tcBorders>
            <w:vAlign w:val="center"/>
          </w:tcPr>
          <w:p>
            <w:pPr>
              <w:keepNext/>
              <w:jc w:val="center"/>
            </w:pPr>
            <w:r/>
            <w:r>
              <w:rPr>
                <w:rFonts w:hint="eastAsia"/>
                <w:b/>
                <w:color w:val="000000"/>
                <w:sz w:val="21"/>
              </w:rPr>
              <w:t>关注维度</w:t>
            </w:r>
          </w:p>
        </w:tc>
        <w:tc>
          <w:tcPr>
            <w:tcW w:w="2319" w:type="pct"/>
            <w:tcBorders>
              <w:top w:val="single" w:sz="12" w:space="0" w:color="010000"/>
              <w:bottom w:val="single" w:sz="4" w:space="0" w:color="010000"/>
            </w:tcBorders>
            <w:vAlign w:val="center"/>
          </w:tcPr>
          <w:p>
            <w:pPr>
              <w:keepNext/>
              <w:jc w:val="center"/>
            </w:pPr>
            <w:r/>
            <w:r>
              <w:rPr>
                <w:rFonts w:hint="eastAsia"/>
                <w:b/>
                <w:color w:val="000000"/>
                <w:sz w:val="21"/>
              </w:rPr>
              <w:t>具体问题</w:t>
            </w:r>
          </w:p>
        </w:tc>
        <w:tc>
          <w:tcPr>
            <w:tcW w:w="1884" w:type="pct"/>
            <w:tcBorders>
              <w:top w:val="single" w:sz="12" w:space="0" w:color="010000"/>
              <w:bottom w:val="single" w:sz="4" w:space="0" w:color="010000"/>
            </w:tcBorders>
            <w:vAlign w:val="center"/>
          </w:tcPr>
          <w:p>
            <w:pPr>
              <w:keepNext/>
              <w:jc w:val="center"/>
            </w:pPr>
            <w:r/>
            <w:r>
              <w:rPr>
                <w:rFonts w:hint="eastAsia"/>
                <w:b/>
                <w:color w:val="000000"/>
                <w:sz w:val="21"/>
              </w:rPr>
              <w:t>判断依据</w:t>
            </w:r>
          </w:p>
        </w:tc>
      </w:tr>
      <w:tr>
        <w:trPr>
          <w:cantSplit/>
          <w:jc w:val="center"/>
        </w:trPr>
        <w:tc>
          <w:tcPr>
            <w:tcW w:w="797" w:type="pct"/>
            <w:tcBorders>
              <w:top w:val="single" w:sz="4" w:space="0" w:color="010000"/>
            </w:tcBorders>
            <w:vAlign w:val="center"/>
          </w:tcPr>
          <w:p>
            <w:pPr>
              <w:jc w:val="left"/>
            </w:pPr>
            <w:r/>
            <w:r>
              <w:rPr>
                <w:rFonts w:hint="eastAsia"/>
                <w:color w:val="000000"/>
                <w:sz w:val="21"/>
              </w:rPr>
              <w:t>客户结构与量产导入</w:t>
            </w:r>
          </w:p>
        </w:tc>
        <w:tc>
          <w:tcPr>
            <w:tcW w:w="2319" w:type="pct"/>
            <w:tcBorders>
              <w:top w:val="single" w:sz="4" w:space="0" w:color="010000"/>
            </w:tcBorders>
            <w:vAlign w:val="center"/>
          </w:tcPr>
          <w:p>
            <w:pPr>
              <w:jc w:val="left"/>
            </w:pPr>
            <w:r/>
            <w:r>
              <w:rPr>
                <w:rFonts w:hint="eastAsia"/>
                <w:color w:val="000000"/>
                <w:sz w:val="21"/>
              </w:rPr>
              <w:t>1,320套模组交付分别对应哪些客户？是否已进入头部整机厂（宇树、智元、优必选等）的合格供应商名录？是处于送样验证、小批量还是量产阶段？单一客户占比多少？</w:t>
            </w:r>
          </w:p>
        </w:tc>
        <w:tc>
          <w:tcPr>
            <w:tcW w:w="1884" w:type="pct"/>
            <w:tcBorders>
              <w:top w:val="single" w:sz="4" w:space="0" w:color="010000"/>
            </w:tcBorders>
            <w:vAlign w:val="center"/>
          </w:tcPr>
          <w:p>
            <w:pPr>
              <w:jc w:val="left"/>
            </w:pPr>
            <w:r/>
            <w:r>
              <w:rPr>
                <w:rFonts w:hint="eastAsia"/>
                <w:color w:val="000000"/>
                <w:sz w:val="21"/>
              </w:rPr>
              <w:t>头部两三家客户基本决定供应商的出货量级；2025年全球出货前两名合计占约56%，长尾客户难以支撑规模化产能。</w:t>
            </w:r>
          </w:p>
        </w:tc>
      </w:tr>
      <w:tr>
        <w:trPr>
          <w:cantSplit/>
          <w:jc w:val="center"/>
        </w:trPr>
        <w:tc>
          <w:tcPr>
            <w:tcW w:w="797" w:type="pct"/>
            <w:tcBorders>
              <w:top w:val="single" w:sz="4" w:space="0" w:color="010000"/>
            </w:tcBorders>
            <w:vAlign w:val="center"/>
          </w:tcPr>
          <w:p>
            <w:pPr>
              <w:jc w:val="left"/>
            </w:pPr>
            <w:r/>
            <w:r>
              <w:rPr>
                <w:rFonts w:hint="eastAsia"/>
                <w:color w:val="000000"/>
                <w:sz w:val="21"/>
              </w:rPr>
              <w:t>产能与交付能力</w:t>
            </w:r>
          </w:p>
        </w:tc>
        <w:tc>
          <w:tcPr>
            <w:tcW w:w="2319" w:type="pct"/>
            <w:tcBorders>
              <w:top w:val="single" w:sz="4" w:space="0" w:color="010000"/>
            </w:tcBorders>
            <w:vAlign w:val="center"/>
          </w:tcPr>
          <w:p>
            <w:pPr>
              <w:jc w:val="left"/>
            </w:pPr>
            <w:r/>
            <w:r>
              <w:rPr>
                <w:rFonts w:hint="eastAsia"/>
                <w:color w:val="000000"/>
                <w:sz w:val="21"/>
              </w:rPr>
              <w:t>当前谐波减速器和关节模组的月产能与实际产出分别是多少？A轮融资的产能扩建计划对应的目标产能和达产时间？关键工序（柔轮成形、热处理、磨齿、装配标定）的自制比例？</w:t>
            </w:r>
          </w:p>
        </w:tc>
        <w:tc>
          <w:tcPr>
            <w:tcW w:w="1884" w:type="pct"/>
            <w:tcBorders>
              <w:top w:val="single" w:sz="4" w:space="0" w:color="010000"/>
            </w:tcBorders>
            <w:vAlign w:val="center"/>
          </w:tcPr>
          <w:p>
            <w:pPr>
              <w:jc w:val="left"/>
            </w:pPr>
            <w:r/>
            <w:r>
              <w:rPr>
                <w:rFonts w:hint="eastAsia"/>
                <w:color w:val="000000"/>
                <w:sz w:val="21"/>
              </w:rPr>
              <w:t>行业已进入以量产一致性、交付稳定性和良率为核心的竞争阶段；2026年全球关节模组需求随整机4万—6万台交付同步放大。</w:t>
            </w:r>
          </w:p>
        </w:tc>
      </w:tr>
      <w:tr>
        <w:trPr>
          <w:cantSplit/>
          <w:jc w:val="center"/>
        </w:trPr>
        <w:tc>
          <w:tcPr>
            <w:tcW w:w="797" w:type="pct"/>
            <w:tcBorders>
              <w:top w:val="single" w:sz="4" w:space="0" w:color="010000"/>
            </w:tcBorders>
            <w:vAlign w:val="center"/>
          </w:tcPr>
          <w:p>
            <w:pPr>
              <w:jc w:val="left"/>
            </w:pPr>
            <w:r/>
            <w:r>
              <w:rPr>
                <w:rFonts w:hint="eastAsia"/>
                <w:color w:val="000000"/>
                <w:sz w:val="21"/>
              </w:rPr>
              <w:t>良率与一致性</w:t>
            </w:r>
          </w:p>
        </w:tc>
        <w:tc>
          <w:tcPr>
            <w:tcW w:w="2319" w:type="pct"/>
            <w:tcBorders>
              <w:top w:val="single" w:sz="4" w:space="0" w:color="010000"/>
            </w:tcBorders>
            <w:vAlign w:val="center"/>
          </w:tcPr>
          <w:p>
            <w:pPr>
              <w:jc w:val="left"/>
            </w:pPr>
            <w:r/>
            <w:r>
              <w:rPr>
                <w:rFonts w:hint="eastAsia"/>
                <w:color w:val="000000"/>
                <w:sz w:val="21"/>
              </w:rPr>
              <w:t>柔轮疲劳寿命的实测数据与验证方法？批次间回差、传动精度的离散度？关节模组的一次装配合格率与返修率？是否具备批量抽检的检测能力？</w:t>
            </w:r>
          </w:p>
        </w:tc>
        <w:tc>
          <w:tcPr>
            <w:tcW w:w="1884" w:type="pct"/>
            <w:tcBorders>
              <w:top w:val="single" w:sz="4" w:space="0" w:color="010000"/>
            </w:tcBorders>
            <w:vAlign w:val="center"/>
          </w:tcPr>
          <w:p>
            <w:pPr>
              <w:jc w:val="left"/>
            </w:pPr>
            <w:r/>
            <w:r>
              <w:rPr>
                <w:rFonts w:hint="eastAsia"/>
                <w:color w:val="000000"/>
                <w:sz w:val="21"/>
              </w:rPr>
              <w:t>柔轮壁厚小于1毫米、累计疲劳循环量级达10的7次方，材料纯净度与热处理是国产化主要瓶颈；可复制的制造能力是新护城河。</w:t>
            </w:r>
          </w:p>
        </w:tc>
      </w:tr>
      <w:tr>
        <w:trPr>
          <w:cantSplit/>
          <w:jc w:val="center"/>
        </w:trPr>
        <w:tc>
          <w:tcPr>
            <w:tcW w:w="797" w:type="pct"/>
            <w:tcBorders>
              <w:top w:val="single" w:sz="4" w:space="0" w:color="010000"/>
            </w:tcBorders>
            <w:vAlign w:val="center"/>
          </w:tcPr>
          <w:p>
            <w:pPr>
              <w:jc w:val="left"/>
            </w:pPr>
            <w:r/>
            <w:r>
              <w:rPr>
                <w:rFonts w:hint="eastAsia"/>
                <w:color w:val="000000"/>
                <w:sz w:val="21"/>
              </w:rPr>
              <w:t>价格与毛利趋势</w:t>
            </w:r>
          </w:p>
        </w:tc>
        <w:tc>
          <w:tcPr>
            <w:tcW w:w="2319" w:type="pct"/>
            <w:tcBorders>
              <w:top w:val="single" w:sz="4" w:space="0" w:color="010000"/>
            </w:tcBorders>
            <w:vAlign w:val="center"/>
          </w:tcPr>
          <w:p>
            <w:pPr>
              <w:jc w:val="left"/>
            </w:pPr>
            <w:r/>
            <w:r>
              <w:rPr>
                <w:rFonts w:hint="eastAsia"/>
                <w:color w:val="000000"/>
                <w:sz w:val="21"/>
              </w:rPr>
              <w:t>各系列模组和减速器的当前单价与2024年相比的变化？毛利率水平及趋势？面对来福谐波均价三年下降28%的行业趋势，公司的成本改善路径是什么？</w:t>
            </w:r>
          </w:p>
        </w:tc>
        <w:tc>
          <w:tcPr>
            <w:tcW w:w="1884" w:type="pct"/>
            <w:tcBorders>
              <w:top w:val="single" w:sz="4" w:space="0" w:color="010000"/>
            </w:tcBorders>
            <w:vAlign w:val="center"/>
          </w:tcPr>
          <w:p>
            <w:pPr>
              <w:jc w:val="left"/>
            </w:pPr>
            <w:r/>
            <w:r>
              <w:rPr>
                <w:rFonts w:hint="eastAsia"/>
                <w:color w:val="000000"/>
                <w:sz w:val="21"/>
              </w:rPr>
              <w:t>谐波减速器环节已进入"量升价跌"阶段，来福谐波谐波减速器毛利率由29.9%降至24.6%且持续亏损。</w:t>
            </w:r>
          </w:p>
        </w:tc>
      </w:tr>
      <w:tr>
        <w:trPr>
          <w:cantSplit/>
          <w:jc w:val="center"/>
        </w:trPr>
        <w:tc>
          <w:tcPr>
            <w:tcW w:w="797" w:type="pct"/>
            <w:tcBorders>
              <w:top w:val="single" w:sz="4" w:space="0" w:color="010000"/>
            </w:tcBorders>
            <w:vAlign w:val="center"/>
          </w:tcPr>
          <w:p>
            <w:pPr>
              <w:jc w:val="left"/>
            </w:pPr>
            <w:r/>
            <w:r>
              <w:rPr>
                <w:rFonts w:hint="eastAsia"/>
                <w:color w:val="000000"/>
                <w:sz w:val="21"/>
              </w:rPr>
              <w:t>自研编码器与驱动器的实际水平</w:t>
            </w:r>
          </w:p>
        </w:tc>
        <w:tc>
          <w:tcPr>
            <w:tcW w:w="2319" w:type="pct"/>
            <w:tcBorders>
              <w:top w:val="single" w:sz="4" w:space="0" w:color="010000"/>
            </w:tcBorders>
            <w:vAlign w:val="center"/>
          </w:tcPr>
          <w:p>
            <w:pPr>
              <w:jc w:val="left"/>
            </w:pPr>
            <w:r/>
            <w:r>
              <w:rPr>
                <w:rFonts w:hint="eastAsia"/>
                <w:color w:val="000000"/>
                <w:sz w:val="21"/>
              </w:rPr>
              <w:t>自研编码器的类型（光电/磁电、绝对值/增量）、分辨率、精度与温漂指标？与多摩川、海德汉、禹衡光学同规格产品的对比数据？自研驱动器的功率密度、总线协议与实时性？是否全部自用还是也对外单独销售？</w:t>
            </w:r>
          </w:p>
        </w:tc>
        <w:tc>
          <w:tcPr>
            <w:tcW w:w="1884" w:type="pct"/>
            <w:tcBorders>
              <w:top w:val="single" w:sz="4" w:space="0" w:color="010000"/>
            </w:tcBorders>
            <w:vAlign w:val="center"/>
          </w:tcPr>
          <w:p>
            <w:pPr>
              <w:jc w:val="left"/>
            </w:pPr>
            <w:r/>
            <w:r>
              <w:rPr>
                <w:rFonts w:hint="eastAsia"/>
                <w:color w:val="000000"/>
                <w:sz w:val="21"/>
              </w:rPr>
              <w:t>编码器是核心零部件中国产化程度最低的环节（国内前五仅一家内资），自研编码器若确有竞争力，是区别于同类模组厂商的关键差异点。</w:t>
            </w:r>
          </w:p>
        </w:tc>
      </w:tr>
      <w:tr>
        <w:trPr>
          <w:cantSplit/>
          <w:jc w:val="center"/>
        </w:trPr>
        <w:tc>
          <w:tcPr>
            <w:tcW w:w="797" w:type="pct"/>
            <w:tcBorders>
              <w:top w:val="single" w:sz="4" w:space="0" w:color="010000"/>
            </w:tcBorders>
            <w:vAlign w:val="center"/>
          </w:tcPr>
          <w:p>
            <w:pPr>
              <w:jc w:val="left"/>
            </w:pPr>
            <w:r/>
            <w:r>
              <w:rPr>
                <w:rFonts w:hint="eastAsia"/>
                <w:color w:val="000000"/>
                <w:sz w:val="21"/>
              </w:rPr>
              <w:t>非金属谐波减速器的产业化状态</w:t>
            </w:r>
          </w:p>
        </w:tc>
        <w:tc>
          <w:tcPr>
            <w:tcW w:w="2319" w:type="pct"/>
            <w:tcBorders>
              <w:top w:val="single" w:sz="4" w:space="0" w:color="010000"/>
            </w:tcBorders>
            <w:vAlign w:val="center"/>
          </w:tcPr>
          <w:p>
            <w:pPr>
              <w:jc w:val="left"/>
            </w:pPr>
            <w:r/>
            <w:r>
              <w:rPr>
                <w:rFonts w:hint="eastAsia"/>
                <w:color w:val="000000"/>
                <w:sz w:val="21"/>
              </w:rPr>
              <w:t>非金属谐波减速器的材料体系、寿命与扭矩上限？目前处于研发、送样还是批量销售阶段？对应的目标应用场景和客户？</w:t>
            </w:r>
          </w:p>
        </w:tc>
        <w:tc>
          <w:tcPr>
            <w:tcW w:w="1884" w:type="pct"/>
            <w:tcBorders>
              <w:top w:val="single" w:sz="4" w:space="0" w:color="010000"/>
            </w:tcBorders>
            <w:vAlign w:val="center"/>
          </w:tcPr>
          <w:p>
            <w:pPr>
              <w:jc w:val="left"/>
            </w:pPr>
            <w:r/>
            <w:r>
              <w:rPr>
                <w:rFonts w:hint="eastAsia"/>
                <w:color w:val="000000"/>
                <w:sz w:val="21"/>
              </w:rPr>
              <w:t>这是公司宣称的差异化能力，需确认其是技术储备还是已形成收入。</w:t>
            </w:r>
          </w:p>
        </w:tc>
      </w:tr>
      <w:tr>
        <w:trPr>
          <w:cantSplit/>
          <w:jc w:val="center"/>
        </w:trPr>
        <w:tc>
          <w:tcPr>
            <w:tcW w:w="797" w:type="pct"/>
            <w:tcBorders>
              <w:top w:val="single" w:sz="4" w:space="0" w:color="010000"/>
            </w:tcBorders>
            <w:vAlign w:val="center"/>
          </w:tcPr>
          <w:p>
            <w:pPr>
              <w:jc w:val="left"/>
            </w:pPr>
            <w:r/>
            <w:r>
              <w:rPr>
                <w:rFonts w:hint="eastAsia"/>
                <w:color w:val="000000"/>
                <w:sz w:val="21"/>
              </w:rPr>
              <w:t>技术路线适配性</w:t>
            </w:r>
          </w:p>
        </w:tc>
        <w:tc>
          <w:tcPr>
            <w:tcW w:w="2319" w:type="pct"/>
            <w:tcBorders>
              <w:top w:val="single" w:sz="4" w:space="0" w:color="010000"/>
            </w:tcBorders>
            <w:vAlign w:val="center"/>
          </w:tcPr>
          <w:p>
            <w:pPr>
              <w:jc w:val="left"/>
            </w:pPr>
            <w:r/>
            <w:r>
              <w:rPr>
                <w:rFonts w:hint="eastAsia"/>
                <w:color w:val="000000"/>
                <w:sz w:val="21"/>
              </w:rPr>
              <w:t>面对"谐波（上半身）＋准直驱QDD（下肢）＋行星（成本敏感）"的混合架构收敛趋势，公司在下肢大扭矩关节上是否有产品布局？如果没有，是否意味着可服务市场被限定在上半身？</w:t>
            </w:r>
          </w:p>
        </w:tc>
        <w:tc>
          <w:tcPr>
            <w:tcW w:w="1884" w:type="pct"/>
            <w:tcBorders>
              <w:top w:val="single" w:sz="4" w:space="0" w:color="010000"/>
            </w:tcBorders>
            <w:vAlign w:val="center"/>
          </w:tcPr>
          <w:p>
            <w:pPr>
              <w:jc w:val="left"/>
            </w:pPr>
            <w:r/>
            <w:r>
              <w:rPr>
                <w:rFonts w:hint="eastAsia"/>
                <w:color w:val="000000"/>
                <w:sz w:val="21"/>
              </w:rPr>
              <w:t>混合架构被行业白皮书判断为中长期主流，准直驱已在宇树、智元主流机型上大规模落地。</w:t>
            </w:r>
          </w:p>
        </w:tc>
      </w:tr>
      <w:tr>
        <w:trPr>
          <w:cantSplit/>
          <w:jc w:val="center"/>
        </w:trPr>
        <w:tc>
          <w:tcPr>
            <w:tcW w:w="797" w:type="pct"/>
            <w:tcBorders>
              <w:top w:val="single" w:sz="4" w:space="0" w:color="010000"/>
            </w:tcBorders>
            <w:vAlign w:val="center"/>
          </w:tcPr>
          <w:p>
            <w:pPr>
              <w:jc w:val="left"/>
            </w:pPr>
            <w:r/>
            <w:r>
              <w:rPr>
                <w:rFonts w:hint="eastAsia"/>
                <w:color w:val="000000"/>
                <w:sz w:val="21"/>
              </w:rPr>
              <w:t>向系统延伸的进展</w:t>
            </w:r>
          </w:p>
        </w:tc>
        <w:tc>
          <w:tcPr>
            <w:tcW w:w="2319" w:type="pct"/>
            <w:tcBorders>
              <w:top w:val="single" w:sz="4" w:space="0" w:color="010000"/>
            </w:tcBorders>
            <w:vAlign w:val="center"/>
          </w:tcPr>
          <w:p>
            <w:pPr>
              <w:jc w:val="left"/>
            </w:pPr>
            <w:r/>
            <w:r>
              <w:rPr>
                <w:rFonts w:hint="eastAsia"/>
                <w:color w:val="000000"/>
                <w:sz w:val="21"/>
              </w:rPr>
              <w:t>通用型上肢硬件平台和人形机械臂的销售情况？相较单卖模组，系统级产品的单价、毛利和客户黏性差异？</w:t>
            </w:r>
          </w:p>
        </w:tc>
        <w:tc>
          <w:tcPr>
            <w:tcW w:w="1884" w:type="pct"/>
            <w:tcBorders>
              <w:top w:val="single" w:sz="4" w:space="0" w:color="010000"/>
            </w:tcBorders>
            <w:vAlign w:val="center"/>
          </w:tcPr>
          <w:p>
            <w:pPr>
              <w:jc w:val="left"/>
            </w:pPr>
            <w:r/>
            <w:r>
              <w:rPr>
                <w:rFonts w:hint="eastAsia"/>
                <w:color w:val="000000"/>
                <w:sz w:val="21"/>
              </w:rPr>
              <w:t>向上延伸可提高单客户价值量并更早介入产品定义，是零部件企业对冲价格竞争的主要路径。</w:t>
            </w:r>
          </w:p>
        </w:tc>
      </w:tr>
      <w:tr>
        <w:trPr>
          <w:cantSplit/>
          <w:jc w:val="center"/>
        </w:trPr>
        <w:tc>
          <w:tcPr>
            <w:tcW w:w="797" w:type="pct"/>
            <w:tcBorders>
              <w:top w:val="single" w:sz="4" w:space="0" w:color="010000"/>
            </w:tcBorders>
            <w:vAlign w:val="center"/>
          </w:tcPr>
          <w:p>
            <w:pPr>
              <w:jc w:val="left"/>
            </w:pPr>
            <w:r/>
            <w:r>
              <w:rPr>
                <w:rFonts w:hint="eastAsia"/>
                <w:color w:val="000000"/>
                <w:sz w:val="21"/>
              </w:rPr>
              <w:t>财务与资本化规划</w:t>
            </w:r>
          </w:p>
        </w:tc>
        <w:tc>
          <w:tcPr>
            <w:tcW w:w="2319" w:type="pct"/>
            <w:tcBorders>
              <w:top w:val="single" w:sz="4" w:space="0" w:color="010000"/>
            </w:tcBorders>
            <w:vAlign w:val="center"/>
          </w:tcPr>
          <w:p>
            <w:pPr>
              <w:jc w:val="left"/>
            </w:pPr>
            <w:r/>
            <w:r>
              <w:rPr>
                <w:rFonts w:hint="eastAsia"/>
                <w:color w:val="000000"/>
                <w:sz w:val="21"/>
              </w:rPr>
              <w:t>2024、2025年营业收入与毛利率？2026年预算？现金消耗与现有资金可支撑月数？是否有明确的股改与IPO时间表？对标的可比公司和期望估值区间？</w:t>
            </w:r>
          </w:p>
        </w:tc>
        <w:tc>
          <w:tcPr>
            <w:tcW w:w="1884" w:type="pct"/>
            <w:tcBorders>
              <w:top w:val="single" w:sz="4" w:space="0" w:color="010000"/>
            </w:tcBorders>
            <w:vAlign w:val="center"/>
          </w:tcPr>
          <w:p>
            <w:pPr>
              <w:jc w:val="left"/>
            </w:pPr>
            <w:r/>
            <w:r>
              <w:rPr>
                <w:rFonts w:hint="eastAsia"/>
                <w:color w:val="000000"/>
                <w:sz w:val="21"/>
              </w:rPr>
              <w:t>核心零部件企业的估值锚为来福谐波（发行前约15亿元）与绿的谐波；资本市场当前更关注量产交付规模、头部客户导入和毛利率趋势。</w:t>
            </w:r>
          </w:p>
        </w:tc>
      </w:tr>
      <w:tr>
        <w:trPr>
          <w:cantSplit/>
          <w:jc w:val="center"/>
        </w:trPr>
        <w:tc>
          <w:tcPr>
            <w:tcW w:w="797" w:type="pct"/>
            <w:tcBorders>
              <w:top w:val="single" w:sz="4" w:space="0" w:color="010000"/>
            </w:tcBorders>
            <w:vAlign w:val="center"/>
          </w:tcPr>
          <w:p>
            <w:pPr>
              <w:jc w:val="left"/>
            </w:pPr>
            <w:r/>
            <w:r>
              <w:rPr>
                <w:rFonts w:hint="eastAsia"/>
                <w:color w:val="000000"/>
                <w:sz w:val="21"/>
              </w:rPr>
              <w:t>区位与生态协同</w:t>
            </w:r>
          </w:p>
        </w:tc>
        <w:tc>
          <w:tcPr>
            <w:tcW w:w="2319" w:type="pct"/>
            <w:tcBorders>
              <w:top w:val="single" w:sz="4" w:space="0" w:color="010000"/>
            </w:tcBorders>
            <w:vAlign w:val="center"/>
          </w:tcPr>
          <w:p>
            <w:pPr>
              <w:jc w:val="left"/>
            </w:pPr>
            <w:r/>
            <w:r>
              <w:rPr>
                <w:rFonts w:hint="eastAsia"/>
                <w:color w:val="000000"/>
                <w:sz w:val="21"/>
              </w:rPr>
              <w:t>与无锡本地13家整机企业的合作情况？是否参与2026年无锡具身智能产业链伙伴大会的签约项目？科沃斯作为战略投资方在业务层面的协同（如扫地机器人及服务机器人业务的关节需求）？</w:t>
            </w:r>
          </w:p>
        </w:tc>
        <w:tc>
          <w:tcPr>
            <w:tcW w:w="1884" w:type="pct"/>
            <w:tcBorders>
              <w:top w:val="single" w:sz="4" w:space="0" w:color="010000"/>
            </w:tcBorders>
            <w:vAlign w:val="center"/>
          </w:tcPr>
          <w:p>
            <w:pPr>
              <w:jc w:val="left"/>
            </w:pPr>
            <w:r/>
            <w:r>
              <w:rPr>
                <w:rFonts w:hint="eastAsia"/>
                <w:color w:val="000000"/>
                <w:sz w:val="21"/>
              </w:rPr>
              <w:t>无锡已形成具身智能全产业链集群，本地配套的联合开发与快速联调具有实际价值；战略投资方的业务协同可提供非人形场景的稳定基本盘。</w:t>
            </w:r>
          </w:p>
        </w:tc>
      </w:tr>
    </w:tbl>
    <w:p>
      <w:pPr>
        <w:pStyle w:val="a6"/>
      </w:pPr>
      <w:r>
        <w:rPr>
          <w:rFonts w:hint="eastAsia"/>
        </w:rPr>
        <w:t>资料来源：本报告基于前述行业分析整理。</w:t>
      </w:r>
    </w:p>
    <w:p>
      <w:pPr>
        <w:pStyle w:val="3"/>
        <w:numPr>
          <w:ilvl w:val="0"/>
          <w:numId w:val="0"/>
        </w:numPr>
        <w:spacing w:before="156" w:after="156"/>
      </w:pPr>
      <w:bookmarkStart w:id="1046" w:name="_Toc900046"/>
      <w:r>
        <w:rPr>
          <w:rFonts w:hint="eastAsia"/>
        </w:rPr>
        <w:t>8.4 初步判断</w:t>
      </w:r>
      <w:bookmarkEnd w:id="1046"/>
    </w:p>
    <w:p>
      <w:pPr>
        <w:pStyle w:val="a0"/>
      </w:pPr>
      <w:r>
        <w:rPr>
          <w:rFonts w:hint="eastAsia"/>
        </w:rPr>
        <w:t>综合来看，无锡巨蟹处在人形机器人产业链中价值量最高、竞争也最激烈的环节，其"四项核心部件自研＋系列化一体化模组＋上肢平台"的产品结构在技术路径上是正确的，符合行业向一体化和系统承诺迁移的方向；自研编码器和非金属谐波减速器构成了区别于多数同类企业的潜在差异点；无锡本地的整机集群和科沃斯的战略投资为其提供了区位与生态支撑。</w:t>
      </w:r>
    </w:p>
    <w:p>
      <w:pPr>
        <w:pStyle w:val="a0"/>
      </w:pPr>
      <w:r>
        <w:rPr>
          <w:rFonts w:hint="eastAsia"/>
        </w:rPr>
        <w:t>主要不确定性同样清晰：一是量级问题，累计1,320套模组的交付规模与行业头部相差数量级，能否在2026—2027年的产能爬坡窗口中进入头部整机厂的量产供应链，是决定公司天花板的关键；二是价格问题，谐波减速器环节已进入毛利率持续下行的阶段，公司需要证明其一体化集成和差异化规格能够支撑高于行业平均的毛利率；三是路线问题，若产品谱系集中于上半身谐波方案，在混合架构下的可服务市场将受到限制。上述三点建议作为本次拜访的核心验证方向。</w:t>
      </w:r>
    </w:p>
    <w:p/>
    <w:p/>
    <w:p>
      <w:pPr>
        <w:pStyle w:val="2"/>
        <w:spacing w:before="156" w:after="156"/>
      </w:pPr>
      <w:bookmarkStart w:id="1047" w:name="_Toc900047"/>
      <w:r>
        <w:rPr>
          <w:rFonts w:hint="eastAsia"/>
          <w:b/>
        </w:rPr>
        <w:t>主要数据来源与口径说明</w:t>
      </w:r>
      <w:bookmarkEnd w:id="1047"/>
    </w:p>
    <w:p>
      <w:pPr>
        <w:pStyle w:val="a0"/>
      </w:pPr>
      <w:r>
        <w:rPr>
          <w:rFonts w:hint="eastAsia"/>
        </w:rPr>
        <w:t>本报告的数据来源以公开可检索资料为主，包括：（1）交易所与监管机构公开披露文件，如上海证券交易所、深圳证券交易所、香港交易所的受理公告、招股说明书、发行保荐书与上市保荐书，中国证监会及各地证监局的辅导备案公示；（2）上市公司定期报告与公告，如绿的谐波2025年年度报告、优必选2025年年度报告、上纬新材相关公告；（3）第三方行业研究机构统计，主要包括高工机器人（GGII）、IDC、MIR DATABANK、中商产业研究院、中国电子学会，以及境外机构摩根士丹利、高盛的公开预测；（4）政府部门与官方媒体信息，包括工业和信息化部相关政策文件、新华网及地方政府门户网站报道；（5）行业媒体与公司公开资料，包括公司官网、世界机器人大会展商资料及产品手册、公开新闻报道。</w:t>
      </w:r>
    </w:p>
    <w:p>
      <w:pPr>
        <w:pStyle w:val="a0"/>
      </w:pPr>
      <w:r>
        <w:rPr>
          <w:rFonts w:hint="eastAsia"/>
        </w:rPr>
        <w:t>本报告的全部数据已于2026年8月7日逐条复核，复核中修正了以下五处：一是2025年中国出货量、市场规模、五大应用场景及中标统计的来源，由原稿误标的"高工机器人（GGII）"更正为新战略咨询与人形机器人场景应用联盟《2025—2026年度人形机器人产业发展研究报告》，GGII的对应口径为2025年约1.8万台、2024年2,400台；二是全球出货量与企业份额的来源明确为北京赛迪出版传媒与中国电子报《2025年人形机器人市场研究报告》；三是谐波减速器的竞争格局数据更正为GGII《全球谐波减速器市场"沉浮录"》口径（2024年全球工业机器人用谐波减速器TOP4份额64.13%、国产厂商份额75.11%），原稿引用的"国产化率约30%"为口径不同的二手资料，已在正文中并列提示；四是宇树科技的发行数据由招股阶段的拟募资42.02亿元、估值约420亿元，更新为2026年8月6日公告的发行价150.80元/股、发行后市值约609亿元、募资约60.99亿元；五是国泰海通保荐的晋拓股份、三瑞智能两家公司的主营业务描述据其公开披露文件更正。</w:t>
      </w:r>
    </w:p>
    <w:p>
      <w:pPr>
        <w:pStyle w:val="a0"/>
      </w:pPr>
      <w:r>
        <w:rPr>
          <w:rFonts w:hint="eastAsia"/>
        </w:rPr>
        <w:t>关于口径，需要提示三点。第一，人形机器人出货量统计尚无统一标准，各机构在是否包含轮式双臂机型、是否包含半身/上肢平台等方面存在差异，本报告已对主要数据逐项标注来源与口径，同一指标的不同来源数值不宜直接比较。第二，第二梯队整机企业的出货量多来自第三方估算或企业自主披露，与企业年报口径可能存在出入，如优必选年报披露全尺寸人形机器人销量1,079台，而第三方统计将其归入400—1,000台区间。第三，未上市企业的估值均为公开报道的融资后估值，不代表实际发行定价或二级市场估值；辅导阶段企业尚未形成公开招股书，其财务数据以公开报道为准，未经审计核验。</w:t>
      </w:r>
    </w:p>
    <w:p>
      <w:pPr>
        <w:pStyle w:val="a0"/>
      </w:pPr>
      <w:r>
        <w:rPr>
          <w:rFonts w:hint="eastAsia"/>
        </w:rPr>
        <w:t>本报告的图表数据、制图数据及逐条来源（含可访问的原文链接）另见配套文件《中国人形机器人产业链研究_图表数据底稿.xlsx》与《中国人形机器人产业链研究_数据来源清单.xlsx》。受本次研究所用网络环境限制，招股说明书、年度报告、行业白皮书等原始文件无法下载留存，来源清单中已逐条给出可公开访问的链接，供后续自行下载归档。</w:t>
      </w:r>
    </w:p>
    <w:p>
      <w:pPr>
        <w:pStyle w:val="a0"/>
      </w:pPr>
      <w:r>
        <w:rPr>
          <w:rFonts w:hint="eastAsia"/>
        </w:rPr>
        <w:t>本报告完成于2026年8月，产业链信息与资本化进度核验至2026年8月7日。人形机器人行业变化较快，报告中的产能规划、上市进度和融资估值等信息可能随时间发生变化，使用时请以最新公开披露为准。</w:t>
      </w: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updateFields w:val="tru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