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的土地及厂房，权属登记在燕京啤酒（邢台）有限公司名下，详见本节4、土地收购。该节提出股权收购与资产收购两个方案，其中股权收购方案与本次收购中发邢台股权同以发行人自身股权支付。两项交易应统筹安排，并合并测算交易后的股权结构。</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同时改变两个层面的股权结构。中发邢台层面，燕京啤酒持有的67.00%股权转由发行人持有，与发行人原已持有的33.00%合并，中发邢台由发行人的参股公司变为全资子公司，纳入合并报表范围。发行人层面，由于对价系发行人向燕京啤酒定向增发自身股权，发行人的注册资本相应增加，燕京啤酒因取得新增股权而持股比例上升，燕京集团及食品发酵研究院未参与本次出资、持股比例被动稀释，但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厂区已整体转为纳豆生产、不再从事啤酒业务，目前与发行人不构成同业竞争；若本节4采用股权收购方案，该公司被收购后须同步变更经营范围并注销啤酒生产许可，避免发行人因持有啤酒制造企业而与控股股东形成新的同业竞争。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固定资产账面价值2,489.64万元、在建工程账面余额5,924.02万元，无形资产为零。即中发邢台在他人名下的土地上建造并持有房屋建筑物及在建工程，房、地权属分离。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w:t>
      </w:r>
      <w:commentRangeStart w:id="0"/>
      <w:r>
        <w:rPr>
          <w:rFonts w:hint="eastAsia" w:ascii="Times New Roman" w:hAnsi="Times New Roman" w:cs="Times New Roman"/>
        </w:rPr>
        <w:t xml:space="preserve">最终采用何种方案，需在会计师、律师、评估师进场完成尽职调查后，结合尽调结果与公司诉求确定。</w:t>
      </w:r>
      <w:commentRangeEnd w:id="0"/>
      <w:r>
        <w:rPr>
          <w:rStyle w:val="CommentReference"/>
        </w:rPr>
        <w:commentReference w:id="0"/>
      </w:r>
      <w:r>
        <w:rPr>
          <w:rFonts w:hint="eastAsia" w:ascii="Times New Roman" w:hAnsi="Times New Roman" w:cs="Times New Roman"/>
        </w:rPr>
        <w:t xml:space="preserve">两方案的具体安排如下：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以其持有的燕京啤酒（邢台）有限公司100%股权作价出资，对发行人进行非货币资产增资。交易实质为发行人以定向增发股权作为对价收购该公司全部股权，不涉及现金支付。交易完成后，该公司成为发行人的全资子公司，其名下四宗宗地及地上厂房随之进入上市主体，无需逐宗办理土地过户，宗地四亦一并纳入，房、地权属可一次性统一。发行人的注册资本相应增加，燕京啤酒因取得新增股权而持股比例上升，燕京集团及食品发酵研究院被动稀释，控股股东及实际控制人不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股权转让不属于转让房地产，不征土地增值税；不涉及土地、房屋权属转移，不征契税；转让非上市公司股权不属于增值税征税范围。本次收购比例及股权支付比例均为100%，分别高于财税〔2009〕59号规定的50%和85%门槛，加之具有解决资产完整性的合理商业目的，特殊性税务处理的五项条件预计均可满足，企业所得税可实现递延。综合测算，本方案预计仅产生印花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符合特殊性税务处理条件的可递延，预计为0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注：上述为定性比较，具体金额待标的公司审计、土地评估完成并确定交易作价后测算。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同步启动标的公司尽职调查并与国资、税务预沟通；9-10月完成专项审计与资产评估并报国资备案，据以确定最终方案；10-11月完成三方内部决策及国资审批；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4T07:52:3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列示股权收购与资产收购两个方案，最终选择需在中介机构进场完成尽职调查后，结合尽调结果与公司诉求确定。两方案共同的前提是该公司厂区已整体转为纳豆生产、不再从事啤酒业务，该前提目前仅据了解，尚需以书面资料确认，请优先落实。决定方案选择的待核事项：一、标的公司的或有负债、对外担保、未决诉讼、行政处罚、税务合规及环保遗留情况，若有重大问题则宜转向资产收购；二、其最近两年及一期财务报表，用于测算股权作价及交易后股权结构；三、土地评估增值幅度，直接决定资产收购方案下土地增值税的实际金额；四、113名员工的实际工作内容及劳动关系归属；五、宗地四的实际使用状况及建设、环保手续。此外还需取得：标的公司营业执照及公司章程；宗地二出让合同（核对起始日期及年限）；啤酒生产线停产时间及现有生产线的产权归属。另需提示：如采用股权收购方案，收购后须同步变更经营范围并注销啤酒生产许可，否则发行人将因持有啤酒制造企业而与控股股东燕京啤酒形成新的同业竞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4T07:52:3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