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widowControl/>
        <w:spacing w:before="156" w:after="156" w:line="360" w:lineRule="auto"/>
        <w:jc w:val="center"/>
      </w:pPr>
      <w:r>
        <w:rPr>
          <w:rFonts w:ascii="宋体" w:hAnsi="宋体" w:cs="宋体" w:eastAsia="宋体" w:hint="eastAsia"/>
          <w:b/>
          <w:sz w:val="36"/>
        </w:rPr>
        <w:t>半导体设备零部件与耗材行业研究</w:t>
      </w:r>
    </w:p>
    <w:sdt>
      <w:sdtPr>
        <w:id w:val="-1457872018"/>
        <w:docPartObj>
          <w:docPartGallery w:val="Table of Contents"/>
          <w:docPartUnique/>
        </w:docPartObj>
      </w:sdtPr>
      <w:sdtContent>
        <w:p>
          <w:pPr>
            <w:pStyle w:val="TOC"/>
            <w:spacing w:before="156" w:after="156" w:line="360" w:lineRule="auto"/>
            <w:rPr>
              <w:rFonts w:eastAsia="宋体"/>
              <w:b/>
              <w:color w:val="000000"/>
              <w:sz w:val="28"/>
              <w:szCs w:val="28"/>
            </w:rPr>
          </w:pPr>
          <w:r>
            <w:rPr>
              <w:rFonts w:eastAsia="宋体" w:hint="eastAsia"/>
              <w:b/>
              <w:color w:val="000000"/>
              <w:sz w:val="28"/>
              <w:szCs w:val="28"/>
            </w:rPr>
            <w:t>目录</w:t>
          </w:r>
        </w:p>
        <w:p>
          <w:pPr>
            <w:pStyle w:val="TOC1"/>
            <w:tabs>
              <w:tab w:val="right" w:leader="dot" w:pos="8299"/>
            </w:tabs>
            <w:spacing w:line="360" w:lineRule="auto"/>
            <w:rPr>
              <w:noProof/>
              <w:sz w:val="24"/>
              <w:szCs w:val="24"/>
            </w:rPr>
          </w:pPr>
          <w:r>
            <w:rPr>
              <w:sz w:val="24"/>
              <w:szCs w:val="24"/>
            </w:rPr>
            <w:fldChar w:fldCharType="begin"/>
          </w:r>
          <w:r>
            <w:rPr>
              <w:sz w:val="24"/>
              <w:szCs w:val="24"/>
            </w:rPr>
            <w:instrText xml:space="preserve"> TOC \o "1-3" \h \z \u </w:instrText>
          </w:r>
          <w:r>
            <w:rPr>
              <w:sz w:val="24"/>
              <w:szCs w:val="24"/>
            </w:rPr>
            <w:fldChar w:fldCharType="separate"/>
          </w:r>
          <w:hyperlink w:anchor="_Toc900000" w:history="1">
            <w:r>
              <w:rPr>
                <w:rStyle w:val="a5"/>
                <w:bCs w:val="0"/>
                <w:noProof/>
                <w:sz w:val="24"/>
                <w:szCs w:val="24"/>
              </w:rPr>
              <w:t xml:space="preserve">一、 半导体设备零部件与耗材行业概述</w:t>
            </w:r>
            <w:r>
              <w:rPr>
                <w:webHidden/>
                <w:noProof/>
                <w:sz w:val="24"/>
                <w:szCs w:val="24"/>
              </w:rPr>
              <w:tab/>
            </w:r>
            <w:r>
              <w:rPr>
                <w:webHidden/>
                <w:noProof/>
                <w:sz w:val="24"/>
                <w:szCs w:val="24"/>
              </w:rPr>
              <w:fldChar w:fldCharType="begin"/>
            </w:r>
            <w:r>
              <w:rPr>
                <w:webHidden/>
                <w:noProof/>
                <w:sz w:val="24"/>
                <w:szCs w:val="24"/>
              </w:rPr>
              <w:instrText xml:space="preserve"> PAGEREF _Toc900000 \h </w:instrText>
            </w:r>
            <w:r>
              <w:rPr>
                <w:webHidden/>
                <w:noProof/>
                <w:sz w:val="24"/>
                <w:szCs w:val="24"/>
              </w:rPr>
              <w:fldChar w:fldCharType="separate"/>
            </w:r>
            <w:r>
              <w:rPr>
                <w:webHidden/>
                <w:noProof/>
                <w:sz w:val="24"/>
                <w:szCs w:val="24"/>
              </w:rPr>
              <w:t>3</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1" w:history="1">
            <w:r>
              <w:rPr>
                <w:rStyle w:val="a5"/>
                <w:rFonts w:eastAsia="宋体" w:cs="宋体"/>
                <w:bCs/>
                <w:noProof/>
                <w:sz w:val="24"/>
                <w:szCs w:val="24"/>
              </w:rPr>
              <w:t xml:space="preserve">1.1 环节定位与分类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_Toc900001 \h </w:instrText>
            </w:r>
            <w:r>
              <w:rPr>
                <w:rFonts w:eastAsia="宋体"/>
                <w:webHidden/>
                <w:noProof/>
                <w:sz w:val="24"/>
                <w:szCs w:val="24"/>
              </w:rPr>
              <w:fldChar w:fldCharType="separate"/>
            </w:r>
            <w:r>
              <w:rPr>
                <w:rFonts w:eastAsia="宋体"/>
                <w:webHidden/>
                <w:noProof/>
                <w:sz w:val="24"/>
                <w:szCs w:val="24"/>
              </w:rPr>
              <w:t>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2" w:history="1">
            <w:r>
              <w:rPr>
                <w:rStyle w:val="a5"/>
                <w:rFonts w:eastAsia="宋体" w:cs="宋体"/>
                <w:bCs/>
                <w:noProof/>
                <w:sz w:val="24"/>
                <w:szCs w:val="24"/>
              </w:rPr>
              <w:t xml:space="preserve">1.2 耗材属性与更换周期</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_Toc900002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3" w:history="1">
            <w:r>
              <w:rPr>
                <w:rStyle w:val="a5"/>
                <w:rFonts w:eastAsia="宋体" w:cs="宋体"/>
                <w:bCs/>
                <w:noProof/>
                <w:sz w:val="24"/>
                <w:szCs w:val="24"/>
              </w:rPr>
              <w:t xml:space="preserve">1.3 衡量该行业的指标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_Toc900003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4" w:history="1">
            <w:r>
              <w:rPr>
                <w:rStyle w:val="a5"/>
                <w:bCs w:val="0"/>
                <w:noProof/>
                <w:sz w:val="24"/>
                <w:szCs w:val="24"/>
              </w:rPr>
              <w:t xml:space="preserve">二、 产业链结构及各环节比较</w:t>
            </w:r>
            <w:r>
              <w:rPr>
                <w:webHidden/>
                <w:noProof/>
                <w:sz w:val="24"/>
                <w:szCs w:val="24"/>
              </w:rPr>
              <w:tab/>
            </w:r>
            <w:r>
              <w:rPr>
                <w:webHidden/>
                <w:noProof/>
                <w:sz w:val="24"/>
                <w:szCs w:val="24"/>
              </w:rPr>
              <w:fldChar w:fldCharType="begin"/>
            </w:r>
            <w:r>
              <w:rPr>
                <w:webHidden/>
                <w:noProof/>
                <w:sz w:val="24"/>
                <w:szCs w:val="24"/>
              </w:rPr>
              <w:instrText xml:space="preserve"> PAGEREF _Toc900004 \h </w:instrText>
            </w:r>
            <w:r>
              <w:rPr>
                <w:webHidden/>
                <w:noProof/>
                <w:sz w:val="24"/>
                <w:szCs w:val="24"/>
              </w:rPr>
              <w:fldChar w:fldCharType="separate"/>
            </w:r>
            <w:r>
              <w:rPr>
                <w:webHidden/>
                <w:noProof/>
                <w:sz w:val="24"/>
                <w:szCs w:val="24"/>
              </w:rPr>
              <w:t>4</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5" w:history="1">
            <w:r>
              <w:rPr>
                <w:rStyle w:val="a5"/>
                <w:rFonts w:eastAsia="宋体" w:cs="宋体"/>
                <w:bCs/>
                <w:noProof/>
                <w:sz w:val="24"/>
                <w:szCs w:val="24"/>
              </w:rPr>
              <w:t xml:space="preserve">2.1 产业链整体结构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_Toc900005 \h </w:instrText>
            </w:r>
            <w:r>
              <w:rPr>
                <w:rFonts w:eastAsia="宋体"/>
                <w:webHidden/>
                <w:noProof/>
                <w:sz w:val="24"/>
                <w:szCs w:val="24"/>
              </w:rPr>
              <w:fldChar w:fldCharType="separate"/>
            </w:r>
            <w:r>
              <w:rPr>
                <w:rFonts w:eastAsia="宋体"/>
                <w:webHidden/>
                <w:noProof/>
                <w:sz w:val="24"/>
                <w:szCs w:val="24"/>
              </w:rPr>
              <w:t>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6" w:history="1">
            <w:r>
              <w:rPr>
                <w:rStyle w:val="a5"/>
                <w:rFonts w:eastAsia="宋体" w:cs="宋体"/>
                <w:bCs/>
                <w:noProof/>
                <w:sz w:val="24"/>
                <w:szCs w:val="24"/>
              </w:rPr>
              <w:t xml:space="preserve">2.2 上游：材料</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_Toc900006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7" w:history="1">
            <w:r>
              <w:rPr>
                <w:rStyle w:val="a5"/>
                <w:rFonts w:eastAsia="宋体" w:cs="宋体"/>
                <w:bCs/>
                <w:noProof/>
                <w:sz w:val="24"/>
                <w:szCs w:val="24"/>
              </w:rPr>
              <w:t xml:space="preserve">2.3 中游：零部件制造与表面处理</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_Toc900007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08" w:history="1">
            <w:r>
              <w:rPr>
                <w:rStyle w:val="a5"/>
                <w:rFonts w:eastAsia="宋体" w:cs="宋体"/>
                <w:bCs/>
                <w:noProof/>
                <w:sz w:val="24"/>
                <w:szCs w:val="24"/>
              </w:rPr>
              <w:t xml:space="preserve">2.4 下游：设备厂与晶圆厂</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_Toc900008 \h </w:instrText>
            </w:r>
            <w:r>
              <w:rPr>
                <w:rFonts w:eastAsia="宋体"/>
                <w:webHidden/>
                <w:noProof/>
                <w:sz w:val="24"/>
                <w:szCs w:val="24"/>
              </w:rPr>
              <w:fldChar w:fldCharType="separate"/>
            </w:r>
            <w:r>
              <w:rPr>
                <w:rFonts w:eastAsia="宋体"/>
                <w:webHidden/>
                <w:noProof/>
                <w:sz w:val="24"/>
                <w:szCs w:val="24"/>
              </w:rPr>
              <w:t>5</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09" w:history="1">
            <w:r>
              <w:rPr>
                <w:rStyle w:val="a5"/>
                <w:bCs w:val="0"/>
                <w:noProof/>
                <w:sz w:val="24"/>
                <w:szCs w:val="24"/>
              </w:rPr>
              <w:t xml:space="preserve">三、 市场规模与国产化进度</w:t>
            </w:r>
            <w:r>
              <w:rPr>
                <w:webHidden/>
                <w:noProof/>
                <w:sz w:val="24"/>
                <w:szCs w:val="24"/>
              </w:rPr>
              <w:tab/>
            </w:r>
            <w:r>
              <w:rPr>
                <w:webHidden/>
                <w:noProof/>
                <w:sz w:val="24"/>
                <w:szCs w:val="24"/>
              </w:rPr>
              <w:fldChar w:fldCharType="begin"/>
            </w:r>
            <w:r>
              <w:rPr>
                <w:webHidden/>
                <w:noProof/>
                <w:sz w:val="24"/>
                <w:szCs w:val="24"/>
              </w:rPr>
              <w:instrText xml:space="preserve"> PAGEREF _Toc900009 \h </w:instrText>
            </w:r>
            <w:r>
              <w:rPr>
                <w:webHidden/>
                <w:noProof/>
                <w:sz w:val="24"/>
                <w:szCs w:val="24"/>
              </w:rPr>
              <w:fldChar w:fldCharType="separate"/>
            </w:r>
            <w:r>
              <w:rPr>
                <w:webHidden/>
                <w:noProof/>
                <w:sz w:val="24"/>
                <w:szCs w:val="24"/>
              </w:rPr>
              <w:t>6</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0" w:history="1">
            <w:r>
              <w:rPr>
                <w:rStyle w:val="a5"/>
                <w:rFonts w:eastAsia="宋体" w:cs="宋体"/>
                <w:bCs/>
                <w:noProof/>
                <w:sz w:val="24"/>
                <w:szCs w:val="24"/>
              </w:rPr>
              <w:t xml:space="preserve">3.1 半导体设备市场</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_Toc900010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1" w:history="1">
            <w:r>
              <w:rPr>
                <w:rStyle w:val="a5"/>
                <w:rFonts w:eastAsia="宋体" w:cs="宋体"/>
                <w:bCs/>
                <w:noProof/>
                <w:sz w:val="24"/>
                <w:szCs w:val="24"/>
              </w:rPr>
              <w:t xml:space="preserve">3.2 零部件环节的规模与结构</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_Toc900011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2" w:history="1">
            <w:r>
              <w:rPr>
                <w:rStyle w:val="a5"/>
                <w:rFonts w:eastAsia="宋体" w:cs="宋体"/>
                <w:bCs/>
                <w:noProof/>
                <w:sz w:val="24"/>
                <w:szCs w:val="24"/>
              </w:rPr>
              <w:t xml:space="preserve">3.3 与无锡金源产品对应的细分品类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_Toc900012 \h </w:instrText>
            </w:r>
            <w:r>
              <w:rPr>
                <w:rFonts w:eastAsia="宋体"/>
                <w:webHidden/>
                <w:noProof/>
                <w:sz w:val="24"/>
                <w:szCs w:val="24"/>
              </w:rPr>
              <w:fldChar w:fldCharType="separate"/>
            </w:r>
            <w:r>
              <w:rPr>
                <w:rFonts w:eastAsia="宋体"/>
                <w:webHidden/>
                <w:noProof/>
                <w:sz w:val="24"/>
                <w:szCs w:val="24"/>
              </w:rPr>
              <w:t>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3" w:history="1">
            <w:r>
              <w:rPr>
                <w:rStyle w:val="a5"/>
                <w:rFonts w:eastAsia="宋体" w:cs="宋体"/>
                <w:bCs/>
                <w:noProof/>
                <w:sz w:val="24"/>
                <w:szCs w:val="24"/>
              </w:rPr>
              <w:t xml:space="preserve">3.4 供应商国别结构与国产化进度</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_Toc900013 \h </w:instrText>
            </w:r>
            <w:r>
              <w:rPr>
                <w:rFonts w:eastAsia="宋体"/>
                <w:webHidden/>
                <w:noProof/>
                <w:sz w:val="24"/>
                <w:szCs w:val="24"/>
              </w:rPr>
              <w:fldChar w:fldCharType="separate"/>
            </w:r>
            <w:r>
              <w:rPr>
                <w:rFonts w:eastAsia="宋体"/>
                <w:webHidden/>
                <w:noProof/>
                <w:sz w:val="24"/>
                <w:szCs w:val="24"/>
              </w:rPr>
              <w:t>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4" w:history="1">
            <w:r>
              <w:rPr>
                <w:rStyle w:val="a5"/>
                <w:rFonts w:eastAsia="宋体" w:cs="宋体"/>
                <w:bCs/>
                <w:noProof/>
                <w:sz w:val="24"/>
                <w:szCs w:val="24"/>
              </w:rPr>
              <w:t xml:space="preserve">3.5 行业景气与2025年的变化</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_Toc900014 \h </w:instrText>
            </w:r>
            <w:r>
              <w:rPr>
                <w:rFonts w:eastAsia="宋体"/>
                <w:webHidden/>
                <w:noProof/>
                <w:sz w:val="24"/>
                <w:szCs w:val="24"/>
              </w:rPr>
              <w:fldChar w:fldCharType="separate"/>
            </w:r>
            <w:r>
              <w:rPr>
                <w:rFonts w:eastAsia="宋体"/>
                <w:webHidden/>
                <w:noProof/>
                <w:sz w:val="24"/>
                <w:szCs w:val="24"/>
              </w:rPr>
              <w:t>8</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15" w:history="1">
            <w:r>
              <w:rPr>
                <w:rStyle w:val="a5"/>
                <w:bCs w:val="0"/>
                <w:noProof/>
                <w:sz w:val="24"/>
                <w:szCs w:val="24"/>
              </w:rPr>
              <w:t xml:space="preserve">四、 行业竞争格局</w:t>
            </w:r>
            <w:r>
              <w:rPr>
                <w:webHidden/>
                <w:noProof/>
                <w:sz w:val="24"/>
                <w:szCs w:val="24"/>
              </w:rPr>
              <w:tab/>
            </w:r>
            <w:r>
              <w:rPr>
                <w:webHidden/>
                <w:noProof/>
                <w:sz w:val="24"/>
                <w:szCs w:val="24"/>
              </w:rPr>
              <w:fldChar w:fldCharType="begin"/>
            </w:r>
            <w:r>
              <w:rPr>
                <w:webHidden/>
                <w:noProof/>
                <w:sz w:val="24"/>
                <w:szCs w:val="24"/>
              </w:rPr>
              <w:instrText xml:space="preserve"> PAGEREF _Toc900015 \h </w:instrText>
            </w:r>
            <w:r>
              <w:rPr>
                <w:webHidden/>
                <w:noProof/>
                <w:sz w:val="24"/>
                <w:szCs w:val="24"/>
              </w:rPr>
              <w:fldChar w:fldCharType="separate"/>
            </w:r>
            <w:r>
              <w:rPr>
                <w:webHidden/>
                <w:noProof/>
                <w:sz w:val="24"/>
                <w:szCs w:val="24"/>
              </w:rPr>
              <w:t>8</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6" w:history="1">
            <w:r>
              <w:rPr>
                <w:rStyle w:val="a5"/>
                <w:rFonts w:eastAsia="宋体" w:cs="宋体"/>
                <w:bCs/>
                <w:noProof/>
                <w:sz w:val="24"/>
                <w:szCs w:val="24"/>
              </w:rPr>
              <w:t xml:space="preserve">4.1 可比公司范围</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_Toc900016 \h </w:instrText>
            </w:r>
            <w:r>
              <w:rPr>
                <w:rFonts w:eastAsia="宋体"/>
                <w:webHidden/>
                <w:noProof/>
                <w:sz w:val="24"/>
                <w:szCs w:val="24"/>
              </w:rPr>
              <w:fldChar w:fldCharType="separate"/>
            </w:r>
            <w:r>
              <w:rPr>
                <w:rFonts w:eastAsia="宋体"/>
                <w:webHidden/>
                <w:noProof/>
                <w:sz w:val="24"/>
                <w:szCs w:val="24"/>
              </w:rPr>
              <w:t>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7" w:history="1">
            <w:r>
              <w:rPr>
                <w:rStyle w:val="a5"/>
                <w:rFonts w:eastAsia="宋体" w:cs="宋体"/>
                <w:bCs/>
                <w:noProof/>
                <w:sz w:val="24"/>
                <w:szCs w:val="24"/>
              </w:rPr>
              <w:t xml:space="preserve">4.2 毛利率的材料属性分野</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_Toc900017 \h </w:instrText>
            </w:r>
            <w:r>
              <w:rPr>
                <w:rFonts w:eastAsia="宋体"/>
                <w:webHidden/>
                <w:noProof/>
                <w:sz w:val="24"/>
                <w:szCs w:val="24"/>
              </w:rPr>
              <w:fldChar w:fldCharType="separate"/>
            </w:r>
            <w:r>
              <w:rPr>
                <w:rFonts w:eastAsia="宋体"/>
                <w:webHidden/>
                <w:noProof/>
                <w:sz w:val="24"/>
                <w:szCs w:val="24"/>
              </w:rPr>
              <w:t>10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8" w:history="1">
            <w:r>
              <w:rPr>
                <w:rStyle w:val="a5"/>
                <w:rFonts w:eastAsia="宋体" w:cs="宋体"/>
                <w:bCs/>
                <w:noProof/>
                <w:sz w:val="24"/>
                <w:szCs w:val="24"/>
              </w:rPr>
              <w:t xml:space="preserve">4.3 研发投入水平</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_Toc900018 \h </w:instrText>
            </w:r>
            <w:r>
              <w:rPr>
                <w:rFonts w:eastAsia="宋体"/>
                <w:webHidden/>
                <w:noProof/>
                <w:sz w:val="24"/>
                <w:szCs w:val="24"/>
              </w:rPr>
              <w:fldChar w:fldCharType="separate"/>
            </w:r>
            <w:r>
              <w:rPr>
                <w:rFonts w:eastAsia="宋体"/>
                <w:webHidden/>
                <w:noProof/>
                <w:sz w:val="24"/>
                <w:szCs w:val="24"/>
              </w:rPr>
              <w:t>11</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19" w:history="1">
            <w:r>
              <w:rPr>
                <w:rStyle w:val="a5"/>
                <w:rFonts w:eastAsia="宋体" w:cs="宋体"/>
                <w:bCs/>
                <w:noProof/>
                <w:sz w:val="24"/>
                <w:szCs w:val="24"/>
              </w:rPr>
              <w:t xml:space="preserve">4.4 单一产品的毛利率水平</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_Toc900019 \h </w:instrText>
            </w:r>
            <w:r>
              <w:rPr>
                <w:rFonts w:eastAsia="宋体"/>
                <w:webHidden/>
                <w:noProof/>
                <w:sz w:val="24"/>
                <w:szCs w:val="24"/>
              </w:rPr>
              <w:fldChar w:fldCharType="separate"/>
            </w:r>
            <w:r>
              <w:rPr>
                <w:rFonts w:eastAsia="宋体"/>
                <w:webHidden/>
                <w:noProof/>
                <w:sz w:val="24"/>
                <w:szCs w:val="24"/>
              </w:rPr>
              <w:t>12</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0" w:history="1">
            <w:r>
              <w:rPr>
                <w:rStyle w:val="a5"/>
                <w:bCs w:val="0"/>
                <w:noProof/>
                <w:sz w:val="24"/>
                <w:szCs w:val="24"/>
              </w:rPr>
              <w:t xml:space="preserve">五、 产业链代表性企业</w:t>
            </w:r>
            <w:r>
              <w:rPr>
                <w:webHidden/>
                <w:noProof/>
                <w:sz w:val="24"/>
                <w:szCs w:val="24"/>
              </w:rPr>
              <w:tab/>
            </w:r>
            <w:r>
              <w:rPr>
                <w:webHidden/>
                <w:noProof/>
                <w:sz w:val="24"/>
                <w:szCs w:val="24"/>
              </w:rPr>
              <w:fldChar w:fldCharType="begin"/>
            </w:r>
            <w:r>
              <w:rPr>
                <w:webHidden/>
                <w:noProof/>
                <w:sz w:val="24"/>
                <w:szCs w:val="24"/>
              </w:rPr>
              <w:instrText xml:space="preserve"> PAGEREF _Toc900020 \h </w:instrText>
            </w:r>
            <w:r>
              <w:rPr>
                <w:webHidden/>
                <w:noProof/>
                <w:sz w:val="24"/>
                <w:szCs w:val="24"/>
              </w:rPr>
              <w:fldChar w:fldCharType="separate"/>
            </w:r>
            <w:r>
              <w:rPr>
                <w:webHidden/>
                <w:noProof/>
                <w:sz w:val="24"/>
                <w:szCs w:val="24"/>
              </w:rPr>
              <w:t>12</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1" w:history="1">
            <w:r>
              <w:rPr>
                <w:rStyle w:val="a5"/>
                <w:rFonts w:eastAsia="宋体" w:cs="宋体"/>
                <w:bCs/>
                <w:noProof/>
                <w:sz w:val="24"/>
                <w:szCs w:val="24"/>
              </w:rPr>
              <w:t xml:space="preserve">5.1 珂玛科技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_Toc900021 \h </w:instrText>
            </w:r>
            <w:r>
              <w:rPr>
                <w:rFonts w:eastAsia="宋体"/>
                <w:webHidden/>
                <w:noProof/>
                <w:sz w:val="24"/>
                <w:szCs w:val="24"/>
              </w:rPr>
              <w:fldChar w:fldCharType="separate"/>
            </w:r>
            <w:r>
              <w:rPr>
                <w:rFonts w:eastAsia="宋体"/>
                <w:webHidden/>
                <w:noProof/>
                <w:sz w:val="24"/>
                <w:szCs w:val="24"/>
              </w:rPr>
              <w:t>12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2" w:history="1">
            <w:r>
              <w:rPr>
                <w:rStyle w:val="a5"/>
                <w:rFonts w:eastAsia="宋体" w:cs="宋体"/>
                <w:bCs/>
                <w:noProof/>
                <w:sz w:val="24"/>
                <w:szCs w:val="24"/>
              </w:rPr>
              <w:t xml:space="preserve">5.2 臻宝科技</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_Toc900022 \h </w:instrText>
            </w:r>
            <w:r>
              <w:rPr>
                <w:rFonts w:eastAsia="宋体"/>
                <w:webHidden/>
                <w:noProof/>
                <w:sz w:val="24"/>
                <w:szCs w:val="24"/>
              </w:rPr>
              <w:fldChar w:fldCharType="separate"/>
            </w:r>
            <w:r>
              <w:rPr>
                <w:rFonts w:eastAsia="宋体"/>
                <w:webHidden/>
                <w:noProof/>
                <w:sz w:val="24"/>
                <w:szCs w:val="24"/>
              </w:rPr>
              <w:t>12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3" w:history="1">
            <w:r>
              <w:rPr>
                <w:rStyle w:val="a5"/>
                <w:rFonts w:eastAsia="宋体" w:cs="宋体"/>
                <w:bCs/>
                <w:noProof/>
                <w:sz w:val="24"/>
                <w:szCs w:val="24"/>
              </w:rPr>
              <w:t xml:space="preserve">5.3 托伦斯</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_Toc900023 \h </w:instrText>
            </w:r>
            <w:r>
              <w:rPr>
                <w:rFonts w:eastAsia="宋体"/>
                <w:webHidden/>
                <w:noProof/>
                <w:sz w:val="24"/>
                <w:szCs w:val="24"/>
              </w:rPr>
              <w:fldChar w:fldCharType="separate"/>
            </w:r>
            <w:r>
              <w:rPr>
                <w:rFonts w:eastAsia="宋体"/>
                <w:webHidden/>
                <w:noProof/>
                <w:sz w:val="24"/>
                <w:szCs w:val="24"/>
              </w:rPr>
              <w:t>13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4" w:history="1">
            <w:r>
              <w:rPr>
                <w:rStyle w:val="a5"/>
                <w:rFonts w:eastAsia="宋体" w:cs="宋体"/>
                <w:bCs/>
                <w:noProof/>
                <w:sz w:val="24"/>
                <w:szCs w:val="24"/>
              </w:rPr>
              <w:t xml:space="preserve">5.4 富创精密与先锋精科</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_Toc900024 \h </w:instrText>
            </w:r>
            <w:r>
              <w:rPr>
                <w:rFonts w:eastAsia="宋体"/>
                <w:webHidden/>
                <w:noProof/>
                <w:sz w:val="24"/>
                <w:szCs w:val="24"/>
              </w:rPr>
              <w:fldChar w:fldCharType="separate"/>
            </w:r>
            <w:r>
              <w:rPr>
                <w:rFonts w:eastAsia="宋体"/>
                <w:webHidden/>
                <w:noProof/>
                <w:sz w:val="24"/>
                <w:szCs w:val="24"/>
              </w:rPr>
              <w:t>13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5" w:history="1">
            <w:r>
              <w:rPr>
                <w:rStyle w:val="a5"/>
                <w:rFonts w:eastAsia="宋体" w:cs="宋体"/>
                <w:bCs/>
                <w:noProof/>
                <w:sz w:val="24"/>
                <w:szCs w:val="24"/>
              </w:rPr>
              <w:t xml:space="preserve">5.5 境外对照企业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_Toc900025 \h </w:instrText>
            </w:r>
            <w:r>
              <w:rPr>
                <w:rFonts w:eastAsia="宋体"/>
                <w:webHidden/>
                <w:noProof/>
                <w:sz w:val="24"/>
                <w:szCs w:val="24"/>
              </w:rPr>
              <w:fldChar w:fldCharType="separate"/>
            </w:r>
            <w:r>
              <w:rPr>
                <w:rFonts w:eastAsia="宋体"/>
                <w:webHidden/>
                <w:noProof/>
                <w:sz w:val="24"/>
                <w:szCs w:val="24"/>
              </w:rPr>
              <w:t>13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6" w:history="1">
            <w:r>
              <w:rPr>
                <w:rStyle w:val="a5"/>
                <w:rFonts w:eastAsia="宋体" w:cs="宋体"/>
                <w:bCs/>
                <w:noProof/>
                <w:sz w:val="24"/>
                <w:szCs w:val="24"/>
              </w:rPr>
              <w:t xml:space="preserve">5.6 两类客户结构的对照</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_Toc900026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27" w:history="1">
            <w:r>
              <w:rPr>
                <w:rStyle w:val="a5"/>
                <w:bCs w:val="0"/>
                <w:noProof/>
                <w:sz w:val="24"/>
                <w:szCs w:val="24"/>
              </w:rPr>
              <w:t xml:space="preserve">六、 产业链企业资本化进度</w:t>
            </w:r>
            <w:r>
              <w:rPr>
                <w:webHidden/>
                <w:noProof/>
                <w:sz w:val="24"/>
                <w:szCs w:val="24"/>
              </w:rPr>
              <w:tab/>
            </w:r>
            <w:r>
              <w:rPr>
                <w:webHidden/>
                <w:noProof/>
                <w:sz w:val="24"/>
                <w:szCs w:val="24"/>
              </w:rPr>
              <w:fldChar w:fldCharType="begin"/>
            </w:r>
            <w:r>
              <w:rPr>
                <w:webHidden/>
                <w:noProof/>
                <w:sz w:val="24"/>
                <w:szCs w:val="24"/>
              </w:rPr>
              <w:instrText xml:space="preserve"> PAGEREF _Toc900027 \h </w:instrText>
            </w:r>
            <w:r>
              <w:rPr>
                <w:webHidden/>
                <w:noProof/>
                <w:sz w:val="24"/>
                <w:szCs w:val="24"/>
              </w:rPr>
              <w:fldChar w:fldCharType="separate"/>
            </w:r>
            <w:r>
              <w:rPr>
                <w:webHidden/>
                <w:noProof/>
                <w:sz w:val="24"/>
                <w:szCs w:val="24"/>
              </w:rPr>
              <w:t>14</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8" w:history="1">
            <w:r>
              <w:rPr>
                <w:rStyle w:val="a5"/>
                <w:rFonts w:eastAsia="宋体" w:cs="宋体"/>
                <w:bCs/>
                <w:noProof/>
                <w:sz w:val="24"/>
                <w:szCs w:val="24"/>
              </w:rPr>
              <w:t xml:space="preserve">6.1 零部件与耗材环节的境内上市与在审企业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_Toc900028 \h </w:instrText>
            </w:r>
            <w:r>
              <w:rPr>
                <w:rFonts w:eastAsia="宋体"/>
                <w:webHidden/>
                <w:noProof/>
                <w:sz w:val="24"/>
                <w:szCs w:val="24"/>
              </w:rPr>
              <w:fldChar w:fldCharType="separate"/>
            </w:r>
            <w:r>
              <w:rPr>
                <w:rFonts w:eastAsia="宋体"/>
                <w:webHidden/>
                <w:noProof/>
                <w:sz w:val="24"/>
                <w:szCs w:val="24"/>
              </w:rPr>
              <w:t>14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29" w:history="1">
            <w:r>
              <w:rPr>
                <w:rStyle w:val="a5"/>
                <w:rFonts w:eastAsia="宋体" w:cs="宋体"/>
                <w:bCs/>
                <w:noProof/>
                <w:sz w:val="24"/>
                <w:szCs w:val="24"/>
              </w:rPr>
              <w:t xml:space="preserve">6.2 已上市的产业链相关公司一览</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_Toc900029 \h </w:instrText>
            </w:r>
            <w:r>
              <w:rPr>
                <w:rFonts w:eastAsia="宋体"/>
                <w:webHidden/>
                <w:noProof/>
                <w:sz w:val="24"/>
                <w:szCs w:val="24"/>
              </w:rPr>
              <w:fldChar w:fldCharType="separate"/>
            </w:r>
            <w:r>
              <w:rPr>
                <w:rFonts w:eastAsia="宋体"/>
                <w:webHidden/>
                <w:noProof/>
                <w:sz w:val="24"/>
                <w:szCs w:val="24"/>
              </w:rPr>
              <w:t>18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0" w:history="1">
            <w:r>
              <w:rPr>
                <w:rStyle w:val="a5"/>
                <w:rFonts w:eastAsia="宋体" w:cs="宋体"/>
                <w:bCs/>
                <w:noProof/>
                <w:sz w:val="24"/>
                <w:szCs w:val="24"/>
              </w:rPr>
              <w:t xml:space="preserve">6.3 辅导备案中的企业</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_Toc900030 \h </w:instrText>
            </w:r>
            <w:r>
              <w:rPr>
                <w:rFonts w:eastAsia="宋体"/>
                <w:webHidden/>
                <w:noProof/>
                <w:sz w:val="24"/>
                <w:szCs w:val="24"/>
              </w:rPr>
              <w:fldChar w:fldCharType="separate"/>
            </w:r>
            <w:r>
              <w:rPr>
                <w:rFonts w:eastAsia="宋体"/>
                <w:webHidden/>
                <w:noProof/>
                <w:sz w:val="24"/>
                <w:szCs w:val="24"/>
              </w:rPr>
              <w:t>19</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31" w:history="1">
            <w:r>
              <w:rPr>
                <w:rStyle w:val="a5"/>
                <w:bCs w:val="0"/>
                <w:noProof/>
                <w:sz w:val="24"/>
                <w:szCs w:val="24"/>
              </w:rPr>
              <w:t xml:space="preserve">七、 首次公开发行审核关注要点</w:t>
            </w:r>
            <w:r>
              <w:rPr>
                <w:webHidden/>
                <w:noProof/>
                <w:sz w:val="24"/>
                <w:szCs w:val="24"/>
              </w:rPr>
              <w:tab/>
            </w:r>
            <w:r>
              <w:rPr>
                <w:webHidden/>
                <w:noProof/>
                <w:sz w:val="24"/>
                <w:szCs w:val="24"/>
              </w:rPr>
              <w:fldChar w:fldCharType="begin"/>
            </w:r>
            <w:r>
              <w:rPr>
                <w:webHidden/>
                <w:noProof/>
                <w:sz w:val="24"/>
                <w:szCs w:val="24"/>
              </w:rPr>
              <w:instrText xml:space="preserve"> PAGEREF _Toc900031 \h </w:instrText>
            </w:r>
            <w:r>
              <w:rPr>
                <w:webHidden/>
                <w:noProof/>
                <w:sz w:val="24"/>
                <w:szCs w:val="24"/>
              </w:rPr>
              <w:fldChar w:fldCharType="separate"/>
            </w:r>
            <w:r>
              <w:rPr>
                <w:webHidden/>
                <w:noProof/>
                <w:sz w:val="24"/>
                <w:szCs w:val="24"/>
              </w:rPr>
              <w:t>19</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2" w:history="1">
            <w:r>
              <w:rPr>
                <w:rStyle w:val="a5"/>
                <w:rFonts w:eastAsia="宋体" w:cs="宋体"/>
                <w:bCs/>
                <w:noProof/>
                <w:sz w:val="24"/>
                <w:szCs w:val="24"/>
              </w:rPr>
              <w:t xml:space="preserve">7.1 样本与甄别方法</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_Toc900032 \h </w:instrText>
            </w:r>
            <w:r>
              <w:rPr>
                <w:rFonts w:eastAsia="宋体"/>
                <w:webHidden/>
                <w:noProof/>
                <w:sz w:val="24"/>
                <w:szCs w:val="24"/>
              </w:rPr>
              <w:fldChar w:fldCharType="separate"/>
            </w:r>
            <w:r>
              <w:rPr>
                <w:rFonts w:eastAsia="宋体"/>
                <w:webHidden/>
                <w:noProof/>
                <w:sz w:val="24"/>
                <w:szCs w:val="24"/>
              </w:rPr>
              <w:t>19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3" w:history="1">
            <w:r>
              <w:rPr>
                <w:rStyle w:val="a5"/>
                <w:rFonts w:eastAsia="宋体" w:cs="宋体"/>
                <w:bCs/>
                <w:noProof/>
                <w:sz w:val="24"/>
                <w:szCs w:val="24"/>
              </w:rPr>
              <w:t xml:space="preserve">7.2 问题的收敛过程</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_Toc900033 \h </w:instrText>
            </w:r>
            <w:r>
              <w:rPr>
                <w:rFonts w:eastAsia="宋体"/>
                <w:webHidden/>
                <w:noProof/>
                <w:sz w:val="24"/>
                <w:szCs w:val="24"/>
              </w:rPr>
              <w:fldChar w:fldCharType="separate"/>
            </w:r>
            <w:r>
              <w:rPr>
                <w:rFonts w:eastAsia="宋体"/>
                <w:webHidden/>
                <w:noProof/>
                <w:sz w:val="24"/>
                <w:szCs w:val="24"/>
              </w:rPr>
              <w:t>20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4" w:history="1">
            <w:r>
              <w:rPr>
                <w:rStyle w:val="a5"/>
                <w:rFonts w:eastAsia="宋体" w:cs="宋体"/>
                <w:bCs/>
                <w:noProof/>
                <w:sz w:val="24"/>
                <w:szCs w:val="24"/>
              </w:rPr>
              <w:t xml:space="preserve">7.3 关注点之一：毛利率</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_Toc900034 \h </w:instrText>
            </w:r>
            <w:r>
              <w:rPr>
                <w:rFonts w:eastAsia="宋体"/>
                <w:webHidden/>
                <w:noProof/>
                <w:sz w:val="24"/>
                <w:szCs w:val="24"/>
              </w:rPr>
              <w:fldChar w:fldCharType="separate"/>
            </w:r>
            <w:r>
              <w:rPr>
                <w:rFonts w:eastAsia="宋体"/>
                <w:webHidden/>
                <w:noProof/>
                <w:sz w:val="24"/>
                <w:szCs w:val="24"/>
              </w:rPr>
              <w:t>22</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5" w:history="1">
            <w:r>
              <w:rPr>
                <w:rStyle w:val="a5"/>
                <w:rFonts w:eastAsia="宋体" w:cs="宋体"/>
                <w:bCs/>
                <w:noProof/>
                <w:sz w:val="24"/>
                <w:szCs w:val="24"/>
              </w:rPr>
              <w:t xml:space="preserve">7.4 关注点之二：技术先进性与核心技术</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_Toc900035 \h </w:instrText>
            </w:r>
            <w:r>
              <w:rPr>
                <w:rFonts w:eastAsia="宋体"/>
                <w:webHidden/>
                <w:noProof/>
                <w:sz w:val="24"/>
                <w:szCs w:val="24"/>
              </w:rPr>
              <w:fldChar w:fldCharType="separate"/>
            </w:r>
            <w:r>
              <w:rPr>
                <w:rFonts w:eastAsia="宋体"/>
                <w:webHidden/>
                <w:noProof/>
                <w:sz w:val="24"/>
                <w:szCs w:val="24"/>
              </w:rPr>
              <w:t>23</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6" w:history="1">
            <w:r>
              <w:rPr>
                <w:rStyle w:val="a5"/>
                <w:rFonts w:eastAsia="宋体" w:cs="宋体"/>
                <w:bCs/>
                <w:noProof/>
                <w:sz w:val="24"/>
                <w:szCs w:val="24"/>
              </w:rPr>
              <w:t xml:space="preserve">7.5 关注点之三：技术来源与出资合法性</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_Toc900036 \h </w:instrText>
            </w:r>
            <w:r>
              <w:rPr>
                <w:rFonts w:eastAsia="宋体"/>
                <w:webHidden/>
                <w:noProof/>
                <w:sz w:val="24"/>
                <w:szCs w:val="24"/>
              </w:rPr>
              <w:fldChar w:fldCharType="separate"/>
            </w:r>
            <w:r>
              <w:rPr>
                <w:rFonts w:eastAsia="宋体"/>
                <w:webHidden/>
                <w:noProof/>
                <w:sz w:val="24"/>
                <w:szCs w:val="24"/>
              </w:rPr>
              <w:t>24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7" w:history="1">
            <w:r>
              <w:rPr>
                <w:rStyle w:val="a5"/>
                <w:rFonts w:eastAsia="宋体" w:cs="宋体"/>
                <w:bCs/>
                <w:noProof/>
                <w:sz w:val="24"/>
                <w:szCs w:val="24"/>
              </w:rPr>
              <w:t xml:space="preserve">7.6 关注点之四：收入与业绩可持续性</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_Toc900037 \h </w:instrText>
            </w:r>
            <w:r>
              <w:rPr>
                <w:rFonts w:eastAsia="宋体"/>
                <w:webHidden/>
                <w:noProof/>
                <w:sz w:val="24"/>
                <w:szCs w:val="24"/>
              </w:rPr>
              <w:fldChar w:fldCharType="separate"/>
            </w:r>
            <w:r>
              <w:rPr>
                <w:rFonts w:eastAsia="宋体"/>
                <w:webHidden/>
                <w:noProof/>
                <w:sz w:val="24"/>
                <w:szCs w:val="24"/>
              </w:rPr>
              <w:t>24</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8" w:history="1">
            <w:r>
              <w:rPr>
                <w:rStyle w:val="a5"/>
                <w:rFonts w:eastAsia="宋体" w:cs="宋体"/>
                <w:bCs/>
                <w:noProof/>
                <w:sz w:val="24"/>
                <w:szCs w:val="24"/>
              </w:rPr>
              <w:t xml:space="preserve">7.7 关注点之五：客户与供应商</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_Toc900038 \h </w:instrText>
            </w:r>
            <w:r>
              <w:rPr>
                <w:rFonts w:eastAsia="宋体"/>
                <w:webHidden/>
                <w:noProof/>
                <w:sz w:val="24"/>
                <w:szCs w:val="24"/>
              </w:rPr>
              <w:fldChar w:fldCharType="separate"/>
            </w:r>
            <w:r>
              <w:rPr>
                <w:rFonts w:eastAsia="宋体"/>
                <w:webHidden/>
                <w:noProof/>
                <w:sz w:val="24"/>
                <w:szCs w:val="24"/>
              </w:rPr>
              <w:t>25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39" w:history="1">
            <w:r>
              <w:rPr>
                <w:rStyle w:val="a5"/>
                <w:rFonts w:eastAsia="宋体" w:cs="宋体"/>
                <w:bCs/>
                <w:noProof/>
                <w:sz w:val="24"/>
                <w:szCs w:val="24"/>
              </w:rPr>
              <w:t xml:space="preserve">7.8 关注点之六：产销勾稽与投入产出</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_Toc900039 \h </w:instrText>
            </w:r>
            <w:r>
              <w:rPr>
                <w:rFonts w:eastAsia="宋体"/>
                <w:webHidden/>
                <w:noProof/>
                <w:sz w:val="24"/>
                <w:szCs w:val="24"/>
              </w:rPr>
              <w:fldChar w:fldCharType="separate"/>
            </w:r>
            <w:r>
              <w:rPr>
                <w:rFonts w:eastAsia="宋体"/>
                <w:webHidden/>
                <w:noProof/>
                <w:sz w:val="24"/>
                <w:szCs w:val="24"/>
              </w:rPr>
              <w:t>25</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0" w:history="1">
            <w:r>
              <w:rPr>
                <w:rStyle w:val="a5"/>
                <w:rFonts w:eastAsia="宋体" w:cs="宋体"/>
                <w:bCs/>
                <w:noProof/>
                <w:sz w:val="24"/>
                <w:szCs w:val="24"/>
              </w:rPr>
              <w:t xml:space="preserve">7.9 关注点之七：募投项目与产能消化</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_Toc900040 \h </w:instrText>
            </w:r>
            <w:r>
              <w:rPr>
                <w:rFonts w:eastAsia="宋体"/>
                <w:webHidden/>
                <w:noProof/>
                <w:sz w:val="24"/>
                <w:szCs w:val="24"/>
              </w:rPr>
              <w:fldChar w:fldCharType="separate"/>
            </w:r>
            <w:r>
              <w:rPr>
                <w:rFonts w:eastAsia="宋体"/>
                <w:webHidden/>
                <w:noProof/>
                <w:sz w:val="24"/>
                <w:szCs w:val="24"/>
              </w:rPr>
              <w:t>26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1" w:history="1">
            <w:r>
              <w:rPr>
                <w:rStyle w:val="a5"/>
                <w:rFonts w:eastAsia="宋体" w:cs="宋体"/>
                <w:bCs/>
                <w:noProof/>
                <w:sz w:val="24"/>
                <w:szCs w:val="24"/>
              </w:rPr>
              <w:t xml:space="preserve">7.10 关注点之八：股权、关联方与共用资源</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_Toc900041 \h </w:instrText>
            </w:r>
            <w:r>
              <w:rPr>
                <w:rFonts w:eastAsia="宋体"/>
                <w:webHidden/>
                <w:noProof/>
                <w:sz w:val="24"/>
                <w:szCs w:val="24"/>
              </w:rPr>
              <w:fldChar w:fldCharType="separate"/>
            </w:r>
            <w:r>
              <w:rPr>
                <w:rFonts w:eastAsia="宋体"/>
                <w:webHidden/>
                <w:noProof/>
                <w:sz w:val="24"/>
                <w:szCs w:val="24"/>
              </w:rPr>
              <w:t>26</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2" w:history="1">
            <w:r>
              <w:rPr>
                <w:rStyle w:val="a5"/>
                <w:rFonts w:eastAsia="宋体" w:cs="宋体"/>
                <w:bCs/>
                <w:noProof/>
                <w:sz w:val="24"/>
                <w:szCs w:val="24"/>
              </w:rPr>
              <w:t xml:space="preserve">7.11 单家特有的关注点</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_Toc900042 \h </w:instrText>
            </w:r>
            <w:r>
              <w:rPr>
                <w:rFonts w:eastAsia="宋体"/>
                <w:webHidden/>
                <w:noProof/>
                <w:sz w:val="24"/>
                <w:szCs w:val="24"/>
              </w:rPr>
              <w:fldChar w:fldCharType="separate"/>
            </w:r>
            <w:r>
              <w:rPr>
                <w:rFonts w:eastAsia="宋体"/>
                <w:webHidden/>
                <w:noProof/>
                <w:sz w:val="24"/>
                <w:szCs w:val="24"/>
              </w:rPr>
              <w:t>26</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43" w:history="1">
            <w:r>
              <w:rPr>
                <w:rStyle w:val="a5"/>
                <w:bCs w:val="0"/>
                <w:noProof/>
                <w:sz w:val="24"/>
                <w:szCs w:val="24"/>
              </w:rPr>
              <w:t xml:space="preserve">八、 与国泰海通相关的产业链公司</w:t>
            </w:r>
            <w:r>
              <w:rPr>
                <w:webHidden/>
                <w:noProof/>
                <w:sz w:val="24"/>
                <w:szCs w:val="24"/>
              </w:rPr>
              <w:tab/>
            </w:r>
            <w:r>
              <w:rPr>
                <w:webHidden/>
                <w:noProof/>
                <w:sz w:val="24"/>
                <w:szCs w:val="24"/>
              </w:rPr>
              <w:fldChar w:fldCharType="begin"/>
            </w:r>
            <w:r>
              <w:rPr>
                <w:webHidden/>
                <w:noProof/>
                <w:sz w:val="24"/>
                <w:szCs w:val="24"/>
              </w:rPr>
              <w:instrText xml:space="preserve"> PAGEREF _Toc900043 \h </w:instrText>
            </w:r>
            <w:r>
              <w:rPr>
                <w:webHidden/>
                <w:noProof/>
                <w:sz w:val="24"/>
                <w:szCs w:val="24"/>
              </w:rPr>
              <w:fldChar w:fldCharType="separate"/>
            </w:r>
            <w:r>
              <w:rPr>
                <w:webHidden/>
                <w:noProof/>
                <w:sz w:val="24"/>
                <w:szCs w:val="24"/>
              </w:rPr>
              <w:t>27</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4" w:history="1">
            <w:r>
              <w:rPr>
                <w:rStyle w:val="a5"/>
                <w:rFonts w:eastAsia="宋体" w:cs="宋体"/>
                <w:bCs/>
                <w:noProof/>
                <w:sz w:val="24"/>
                <w:szCs w:val="24"/>
              </w:rPr>
              <w:t xml:space="preserve">8.1 在审与辅导中的项目</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_Toc900044 \h </w:instrText>
            </w:r>
            <w:r>
              <w:rPr>
                <w:rFonts w:eastAsia="宋体"/>
                <w:webHidden/>
                <w:noProof/>
                <w:sz w:val="24"/>
                <w:szCs w:val="24"/>
              </w:rPr>
              <w:fldChar w:fldCharType="separate"/>
            </w:r>
            <w:r>
              <w:rPr>
                <w:rFonts w:eastAsia="宋体"/>
                <w:webHidden/>
                <w:noProof/>
                <w:sz w:val="24"/>
                <w:szCs w:val="24"/>
              </w:rPr>
              <w:t>27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5" w:history="1">
            <w:r>
              <w:rPr>
                <w:rStyle w:val="a5"/>
                <w:rFonts w:eastAsia="宋体" w:cs="宋体"/>
                <w:bCs/>
                <w:noProof/>
                <w:sz w:val="24"/>
                <w:szCs w:val="24"/>
              </w:rPr>
              <w:t xml:space="preserve">8.2 已保荐上市的相关公司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_Toc900045 \h </w:instrText>
            </w:r>
            <w:r>
              <w:rPr>
                <w:rFonts w:eastAsia="宋体"/>
                <w:webHidden/>
                <w:noProof/>
                <w:sz w:val="24"/>
                <w:szCs w:val="24"/>
              </w:rPr>
              <w:fldChar w:fldCharType="separate"/>
            </w:r>
            <w:r>
              <w:rPr>
                <w:rFonts w:eastAsia="宋体"/>
                <w:webHidden/>
                <w:noProof/>
                <w:sz w:val="24"/>
                <w:szCs w:val="24"/>
              </w:rPr>
              <w:t>27</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6" w:history="1">
            <w:r>
              <w:rPr>
                <w:rStyle w:val="a5"/>
                <w:rFonts w:eastAsia="宋体" w:cs="宋体"/>
                <w:bCs/>
                <w:noProof/>
                <w:sz w:val="24"/>
                <w:szCs w:val="24"/>
              </w:rPr>
              <w:t xml:space="preserve">8.3 已保荐的再融资项目</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_Toc900046 \h </w:instrText>
            </w:r>
            <w:r>
              <w:rPr>
                <w:rFonts w:eastAsia="宋体"/>
                <w:webHidden/>
                <w:noProof/>
                <w:sz w:val="24"/>
                <w:szCs w:val="24"/>
              </w:rPr>
              <w:fldChar w:fldCharType="separate"/>
            </w:r>
            <w:r>
              <w:rPr>
                <w:rFonts w:eastAsia="宋体"/>
                <w:webHidden/>
                <w:noProof/>
                <w:sz w:val="24"/>
                <w:szCs w:val="24"/>
              </w:rPr>
              <w:t>28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7" w:history="1">
            <w:r>
              <w:rPr>
                <w:rStyle w:val="a5"/>
                <w:rFonts w:eastAsia="宋体" w:cs="宋体"/>
                <w:bCs/>
                <w:noProof/>
                <w:sz w:val="24"/>
                <w:szCs w:val="24"/>
              </w:rPr>
              <w:t xml:space="preserve">8.4 曾保荐但已终止的公司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_Toc900047 \h </w:instrText>
            </w:r>
            <w:r>
              <w:rPr>
                <w:rFonts w:eastAsia="宋体"/>
                <w:webHidden/>
                <w:noProof/>
                <w:sz w:val="24"/>
                <w:szCs w:val="24"/>
              </w:rPr>
              <w:fldChar w:fldCharType="separate"/>
            </w:r>
            <w:r>
              <w:rPr>
                <w:rFonts w:eastAsia="宋体"/>
                <w:webHidden/>
                <w:noProof/>
                <w:sz w:val="24"/>
                <w:szCs w:val="24"/>
              </w:rPr>
              <w:t>28</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48" w:history="1">
            <w:r>
              <w:rPr>
                <w:rStyle w:val="a5"/>
                <w:bCs w:val="0"/>
                <w:noProof/>
                <w:sz w:val="24"/>
                <w:szCs w:val="24"/>
              </w:rPr>
              <w:t xml:space="preserve">九、 无锡金源的产业链定位与拜访关注要点</w:t>
            </w:r>
            <w:r>
              <w:rPr>
                <w:webHidden/>
                <w:noProof/>
                <w:sz w:val="24"/>
                <w:szCs w:val="24"/>
              </w:rPr>
              <w:tab/>
            </w:r>
            <w:r>
              <w:rPr>
                <w:webHidden/>
                <w:noProof/>
                <w:sz w:val="24"/>
                <w:szCs w:val="24"/>
              </w:rPr>
              <w:fldChar w:fldCharType="begin"/>
            </w:r>
            <w:r>
              <w:rPr>
                <w:webHidden/>
                <w:noProof/>
                <w:sz w:val="24"/>
                <w:szCs w:val="24"/>
              </w:rPr>
              <w:instrText xml:space="preserve"> PAGEREF _Toc900048 \h </w:instrText>
            </w:r>
            <w:r>
              <w:rPr>
                <w:webHidden/>
                <w:noProof/>
                <w:sz w:val="24"/>
                <w:szCs w:val="24"/>
              </w:rPr>
              <w:fldChar w:fldCharType="separate"/>
            </w:r>
            <w:r>
              <w:rPr>
                <w:webHidden/>
                <w:noProof/>
                <w:sz w:val="24"/>
                <w:szCs w:val="24"/>
              </w:rPr>
              <w:t>28</w:t>
            </w:r>
            <w:r>
              <w:rPr>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49" w:history="1">
            <w:r>
              <w:rPr>
                <w:rStyle w:val="a5"/>
                <w:rFonts w:eastAsia="宋体" w:cs="宋体"/>
                <w:bCs/>
                <w:noProof/>
                <w:sz w:val="24"/>
                <w:szCs w:val="24"/>
              </w:rPr>
              <w:t xml:space="preserve">9.1 公司概况</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_Toc900049 \h </w:instrText>
            </w:r>
            <w:r>
              <w:rPr>
                <w:rFonts w:eastAsia="宋体"/>
                <w:webHidden/>
                <w:noProof/>
                <w:sz w:val="24"/>
                <w:szCs w:val="24"/>
              </w:rPr>
              <w:fldChar w:fldCharType="separate"/>
            </w:r>
            <w:r>
              <w:rPr>
                <w:rFonts w:eastAsia="宋体"/>
                <w:webHidden/>
                <w:noProof/>
                <w:sz w:val="24"/>
                <w:szCs w:val="24"/>
              </w:rPr>
              <w:t>28</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50" w:history="1">
            <w:r>
              <w:rPr>
                <w:rStyle w:val="a5"/>
                <w:rFonts w:eastAsia="宋体" w:cs="宋体"/>
                <w:bCs/>
                <w:noProof/>
                <w:sz w:val="24"/>
                <w:szCs w:val="24"/>
              </w:rPr>
              <w:t xml:space="preserve">9.2 产品体系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_Toc900050 \h </w:instrText>
            </w:r>
            <w:r>
              <w:rPr>
                <w:rFonts w:eastAsia="宋体"/>
                <w:webHidden/>
                <w:noProof/>
                <w:sz w:val="24"/>
                <w:szCs w:val="24"/>
              </w:rPr>
              <w:fldChar w:fldCharType="separate"/>
            </w:r>
            <w:r>
              <w:rPr>
                <w:rFonts w:eastAsia="宋体"/>
                <w:webHidden/>
                <w:noProof/>
                <w:sz w:val="24"/>
                <w:szCs w:val="24"/>
              </w:rPr>
              <w:t>29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51" w:history="1">
            <w:r>
              <w:rPr>
                <w:rStyle w:val="a5"/>
                <w:rFonts w:eastAsia="宋体" w:cs="宋体"/>
                <w:bCs/>
                <w:noProof/>
                <w:sz w:val="24"/>
                <w:szCs w:val="24"/>
              </w:rPr>
              <w:t xml:space="preserve">9.3 产业链生态位</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_Toc900051 \h </w:instrText>
            </w:r>
            <w:r>
              <w:rPr>
                <w:rFonts w:eastAsia="宋体"/>
                <w:webHidden/>
                <w:noProof/>
                <w:sz w:val="24"/>
                <w:szCs w:val="24"/>
              </w:rPr>
              <w:fldChar w:fldCharType="separate"/>
            </w:r>
            <w:r>
              <w:rPr>
                <w:rFonts w:eastAsia="宋体"/>
                <w:webHidden/>
                <w:noProof/>
                <w:sz w:val="24"/>
                <w:szCs w:val="24"/>
              </w:rPr>
              <w:t>29</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52" w:history="1">
            <w:r>
              <w:rPr>
                <w:rStyle w:val="a5"/>
                <w:rFonts w:eastAsia="宋体" w:cs="宋体"/>
                <w:bCs/>
                <w:noProof/>
                <w:sz w:val="24"/>
                <w:szCs w:val="24"/>
              </w:rPr>
              <w:t xml:space="preserve">9.4 同环节可比公司</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_Toc900052 \h </w:instrText>
            </w:r>
            <w:r>
              <w:rPr>
                <w:rFonts w:eastAsia="宋体"/>
                <w:webHidden/>
                <w:noProof/>
                <w:sz w:val="24"/>
                <w:szCs w:val="24"/>
              </w:rPr>
              <w:fldChar w:fldCharType="separate"/>
            </w:r>
            <w:r>
              <w:rPr>
                <w:rFonts w:eastAsia="宋体"/>
                <w:webHidden/>
                <w:noProof/>
                <w:sz w:val="24"/>
                <w:szCs w:val="24"/>
              </w:rPr>
              <w:t>30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53" w:history="1">
            <w:r>
              <w:rPr>
                <w:rStyle w:val="a5"/>
                <w:rFonts w:eastAsia="宋体" w:cs="宋体"/>
                <w:bCs/>
                <w:noProof/>
                <w:sz w:val="24"/>
                <w:szCs w:val="24"/>
              </w:rPr>
              <w:t xml:space="preserve">9.5 拜访关注要点</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_Toc900053 \h </w:instrText>
            </w:r>
            <w:r>
              <w:rPr>
                <w:rFonts w:eastAsia="宋体"/>
                <w:webHidden/>
                <w:noProof/>
                <w:sz w:val="24"/>
                <w:szCs w:val="24"/>
              </w:rPr>
              <w:fldChar w:fldCharType="separate"/>
            </w:r>
            <w:r>
              <w:rPr>
                <w:rFonts w:eastAsia="宋体"/>
                <w:webHidden/>
                <w:noProof/>
                <w:sz w:val="24"/>
                <w:szCs w:val="24"/>
              </w:rPr>
              <w:t>30</w:t>
            </w:r>
            <w:r>
              <w:rPr>
                <w:rFonts w:eastAsia="宋体"/>
                <w:webHidden/>
                <w:noProof/>
                <w:sz w:val="24"/>
                <w:szCs w:val="24"/>
              </w:rPr>
              <w:fldChar w:fldCharType="end"/>
            </w:r>
          </w:hyperlink>
        </w:p>
        <w:p>
          <w:pPr>
            <w:pStyle w:val="TOC2"/>
            <w:tabs>
              <w:tab w:val="right" w:leader="dot" w:pos="8299"/>
            </w:tabs>
            <w:spacing w:line="360" w:lineRule="auto"/>
            <w:ind w:left="400"/>
            <w:rPr>
              <w:rFonts w:eastAsia="宋体"/>
              <w:noProof/>
              <w:sz w:val="24"/>
              <w:szCs w:val="24"/>
            </w:rPr>
          </w:pPr>
          <w:hyperlink w:anchor="_Toc900054" w:history="1">
            <w:r>
              <w:rPr>
                <w:rStyle w:val="a5"/>
                <w:rFonts w:eastAsia="宋体" w:cs="宋体"/>
                <w:bCs/>
                <w:noProof/>
                <w:sz w:val="24"/>
                <w:szCs w:val="24"/>
              </w:rPr>
              <w:t xml:space="preserve">9.6 公开信息汇总</w:t>
            </w:r>
            <w:r>
              <w:rPr>
                <w:rFonts w:eastAsia="宋体"/>
                <w:webHidden/>
                <w:noProof/>
                <w:sz w:val="24"/>
                <w:szCs w:val="24"/>
              </w:rPr>
              <w:tab/>
            </w:r>
            <w:r>
              <w:rPr>
                <w:rFonts w:eastAsia="宋体"/>
                <w:webHidden/>
                <w:noProof/>
                <w:sz w:val="24"/>
                <w:szCs w:val="24"/>
              </w:rPr>
              <w:fldChar w:fldCharType="begin"/>
            </w:r>
            <w:r>
              <w:rPr>
                <w:rFonts w:eastAsia="宋体"/>
                <w:webHidden/>
                <w:noProof/>
                <w:sz w:val="24"/>
                <w:szCs w:val="24"/>
              </w:rPr>
              <w:instrText xml:space="preserve"> PAGEREF _Toc900054 \h </w:instrText>
            </w:r>
            <w:r>
              <w:rPr>
                <w:rFonts w:eastAsia="宋体"/>
                <w:webHidden/>
                <w:noProof/>
                <w:sz w:val="24"/>
                <w:szCs w:val="24"/>
              </w:rPr>
              <w:fldChar w:fldCharType="separate"/>
            </w:r>
            <w:r>
              <w:rPr>
                <w:rFonts w:eastAsia="宋体"/>
                <w:webHidden/>
                <w:noProof/>
                <w:sz w:val="24"/>
                <w:szCs w:val="24"/>
              </w:rPr>
              <w:t>32</w:t>
            </w:r>
            <w:r>
              <w:rPr>
                <w:rFonts w:eastAsia="宋体"/>
                <w:webHidden/>
                <w:noProof/>
                <w:sz w:val="24"/>
                <w:szCs w:val="24"/>
              </w:rPr>
              <w:fldChar w:fldCharType="end"/>
            </w:r>
          </w:hyperlink>
        </w:p>
        <w:p>
          <w:pPr>
            <w:pStyle w:val="TOC1"/>
            <w:tabs>
              <w:tab w:val="right" w:leader="dot" w:pos="8299"/>
            </w:tabs>
            <w:spacing w:line="360" w:lineRule="auto"/>
            <w:rPr>
              <w:noProof/>
              <w:sz w:val="24"/>
              <w:szCs w:val="24"/>
            </w:rPr>
          </w:pPr>
          <w:hyperlink w:anchor="_Toc900055" w:history="1">
            <w:r>
              <w:rPr>
                <w:rStyle w:val="a5"/>
                <w:bCs w:val="0"/>
                <w:noProof/>
                <w:sz w:val="24"/>
                <w:szCs w:val="24"/>
              </w:rPr>
              <w:t xml:space="preserve">十、 主要数据来源与口径说明</w:t>
            </w:r>
            <w:r>
              <w:rPr>
                <w:webHidden/>
                <w:noProof/>
                <w:sz w:val="24"/>
                <w:szCs w:val="24"/>
              </w:rPr>
              <w:tab/>
            </w:r>
            <w:r>
              <w:rPr>
                <w:webHidden/>
                <w:noProof/>
                <w:sz w:val="24"/>
                <w:szCs w:val="24"/>
              </w:rPr>
              <w:fldChar w:fldCharType="begin"/>
            </w:r>
            <w:r>
              <w:rPr>
                <w:webHidden/>
                <w:noProof/>
                <w:sz w:val="24"/>
                <w:szCs w:val="24"/>
              </w:rPr>
              <w:instrText xml:space="preserve"> PAGEREF _Toc900055 \h </w:instrText>
            </w:r>
            <w:r>
              <w:rPr>
                <w:webHidden/>
                <w:noProof/>
                <w:sz w:val="24"/>
                <w:szCs w:val="24"/>
              </w:rPr>
              <w:fldChar w:fldCharType="separate"/>
            </w:r>
            <w:r>
              <w:rPr>
                <w:webHidden/>
                <w:noProof/>
                <w:sz w:val="24"/>
                <w:szCs w:val="24"/>
              </w:rPr>
              <w:t>32</w:t>
            </w:r>
            <w:r>
              <w:rPr>
                <w:webHidden/>
                <w:noProof/>
                <w:sz w:val="24"/>
                <w:szCs w:val="24"/>
              </w:rPr>
              <w:fldChar w:fldCharType="end"/>
            </w:r>
          </w:hyperlink>
        </w:p>
        <w:p>
          <w:pPr>
            <w:pStyle w:val="11"/>
            <w:ind w:firstLine="0"/>
          </w:pPr>
          <w:r>
            <w:rPr>
              <w:sz w:val="24"/>
              <w:szCs w:val="24"/>
            </w:rPr>
            <w:fldChar w:fldCharType="end"/>
          </w:r>
        </w:p>
      </w:sdtContent>
    </w:sdt>
    <w:p>
      <w:pPr>
        <w:pStyle w:val="a0"/>
      </w:pPr>
      <w:r>
        <w:rPr>
          <w:rFonts w:hint="eastAsia"/>
        </w:rPr>
        <w:t>本报告以无锡金源半导体科技有限公司所处的半导体设备零部件与耗材环节为研究对象，数据截至2026年8月14日。</w:t>
      </w:r>
    </w:p>
    <w:p>
      <w:pPr>
        <w:pStyle w:val="2"/>
        <w:spacing w:before="156" w:after="156"/>
      </w:pPr>
      <w:bookmarkStart w:id="1000" w:name="_Toc900000"/>
      <w:r>
        <w:rPr>
          <w:rFonts w:hint="eastAsia"/>
          <w:b/>
        </w:rPr>
        <w:t>半导体设备零部件与耗材行业概述</w:t>
      </w:r>
      <w:bookmarkEnd w:id="1000"/>
    </w:p>
    <w:p>
      <w:pPr>
        <w:pStyle w:val="3"/>
        <w:numPr>
          <w:ilvl w:val="0"/>
          <w:numId w:val="0"/>
        </w:numPr>
        <w:spacing w:before="156" w:after="156"/>
      </w:pPr>
      <w:bookmarkStart w:id="1001" w:name="_Toc900001"/>
      <w:r>
        <w:rPr>
          <w:rFonts w:hint="eastAsia"/>
        </w:rPr>
        <w:t>1.1 环节定位与分类</w:t>
      </w:r>
      <w:bookmarkEnd w:id="1001"/>
    </w:p>
    <w:p>
      <w:pPr>
        <w:pStyle w:val="a0"/>
      </w:pPr>
      <w:r>
        <w:rPr>
          <w:rFonts w:hint="eastAsia"/>
        </w:rPr>
        <w:t>半导体设备零部件位于设备制造与晶圆制造之间。设备厂商采购零部件用于整机装配，晶圆厂在设备运行过程中采购零部件用于替换损耗件。两条采购路径并存。2024年国内晶圆厂的半导体设备零部件采购额合计177.2亿元，其中向零部件厂商直接采购126.6亿元、占比71.4%；按弗若斯特沙利文预测，到2029年直接采购占比将升至80.3%、采购额达291.8亿元。</w:t>
      </w:r>
    </w:p>
    <w:p>
      <w:pPr>
        <w:pStyle w:val="a0"/>
      </w:pPr>
      <w:r>
        <w:rPr>
          <w:rFonts w:hint="eastAsia"/>
        </w:rPr>
        <w:t>按应用领域划分，半导体零部件分为机械类、气体与液体及真空系统类、电气类、机电一体类、仪器仪表类、光学类以及其他耗材类。无锡金源的四条产品线分布于其中三类。</w:t>
      </w:r>
    </w:p>
    <w:p>
      <w:pPr>
        <w:keepNext/>
        <w:jc w:val="center"/>
      </w:pPr>
      <w:r>
        <w:rPr>
          <w:rFonts w:hint="eastAsia"/>
          <w:b/>
          <w:sz w:val="21"/>
        </w:rPr>
        <w:t>表1  半导体设备零部件分类与无锡金源产品对应</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800" w:type="pct"/>
            <w:tcBorders>
              <w:top w:val="single" w:sz="12" w:space="0" w:color="010000"/>
              <w:bottom w:val="single" w:sz="4" w:space="0" w:color="010000"/>
            </w:tcBorders>
            <w:vAlign w:val="center"/>
          </w:tcPr>
          <w:p>
            <w:pPr>
              <w:keepNext/>
              <w:jc w:val="center"/>
            </w:pPr>
            <w:r/>
            <w:r>
              <w:rPr>
                <w:rFonts w:hint="eastAsia"/>
                <w:b/>
                <w:color w:val="000000"/>
                <w:sz w:val="21"/>
              </w:rPr>
              <w:t>分类</w:t>
            </w:r>
          </w:p>
        </w:tc>
        <w:tc>
          <w:tcPr>
            <w:tcW w:w="600" w:type="pct"/>
            <w:tcBorders>
              <w:top w:val="single" w:sz="12" w:space="0" w:color="010000"/>
              <w:bottom w:val="single" w:sz="4" w:space="0" w:color="010000"/>
            </w:tcBorders>
            <w:vAlign w:val="center"/>
          </w:tcPr>
          <w:p>
            <w:pPr>
              <w:keepNext/>
              <w:jc w:val="center"/>
            </w:pPr>
            <w:r/>
            <w:r>
              <w:rPr>
                <w:rFonts w:hint="eastAsia"/>
                <w:b/>
                <w:color w:val="000000"/>
                <w:sz w:val="21"/>
              </w:rPr>
              <w:t>细分</w:t>
            </w:r>
          </w:p>
        </w:tc>
        <w:tc>
          <w:tcPr>
            <w:tcW w:w="1600" w:type="pct"/>
            <w:tcBorders>
              <w:top w:val="single" w:sz="12" w:space="0" w:color="010000"/>
              <w:bottom w:val="single" w:sz="4" w:space="0" w:color="010000"/>
            </w:tcBorders>
            <w:vAlign w:val="center"/>
          </w:tcPr>
          <w:p>
            <w:pPr>
              <w:keepNext/>
              <w:jc w:val="center"/>
            </w:pPr>
            <w:r/>
            <w:r>
              <w:rPr>
                <w:rFonts w:hint="eastAsia"/>
                <w:b/>
                <w:color w:val="000000"/>
                <w:sz w:val="21"/>
              </w:rPr>
              <w:t>代表产品</w:t>
            </w:r>
          </w:p>
        </w:tc>
        <w:tc>
          <w:tcPr>
            <w:tcW w:w="1100" w:type="pct"/>
            <w:tcBorders>
              <w:top w:val="single" w:sz="12" w:space="0" w:color="010000"/>
              <w:bottom w:val="single" w:sz="4" w:space="0" w:color="010000"/>
            </w:tcBorders>
            <w:vAlign w:val="center"/>
          </w:tcPr>
          <w:p>
            <w:pPr>
              <w:keepNext/>
              <w:jc w:val="center"/>
            </w:pPr>
            <w:r/>
            <w:r>
              <w:rPr>
                <w:rFonts w:hint="eastAsia"/>
                <w:b/>
                <w:color w:val="000000"/>
                <w:sz w:val="21"/>
              </w:rPr>
              <w:t>主要应用设备</w:t>
            </w:r>
          </w:p>
        </w:tc>
        <w:tc>
          <w:tcPr>
            <w:tcW w:w="900" w:type="pct"/>
            <w:tcBorders>
              <w:top w:val="single" w:sz="12" w:space="0" w:color="010000"/>
              <w:bottom w:val="single" w:sz="4" w:space="0" w:color="010000"/>
            </w:tcBorders>
            <w:vAlign w:val="center"/>
          </w:tcPr>
          <w:p>
            <w:pPr>
              <w:keepNext/>
              <w:jc w:val="center"/>
            </w:pPr>
            <w:r/>
            <w:r>
              <w:rPr>
                <w:rFonts w:hint="eastAsia"/>
                <w:b/>
                <w:color w:val="000000"/>
                <w:sz w:val="21"/>
              </w:rPr>
              <w:t>无锡金源对应产品</w:t>
            </w:r>
          </w:p>
        </w:tc>
      </w:tr>
      <w:tr>
        <w:trPr>
          <w:cantSplit/>
          <w:jc w:val="center"/>
        </w:trPr>
        <w:tc>
          <w:tcPr>
            <w:tcW w:w="800" w:type="pct"/>
            <w:tcBorders>
              <w:top w:val="single" w:sz="4" w:space="0" w:color="010000"/>
            </w:tcBorders>
            <w:vAlign w:val="center"/>
          </w:tcPr>
          <w:p>
            <w:pPr>
              <w:jc w:val="center"/>
            </w:pPr>
            <w:r/>
            <w:r>
              <w:rPr>
                <w:rFonts w:hint="eastAsia"/>
                <w:color w:val="000000"/>
                <w:sz w:val="21"/>
              </w:rPr>
              <w:t>机械类</w:t>
            </w:r>
          </w:p>
        </w:tc>
        <w:tc>
          <w:tcPr>
            <w:tcW w:w="600" w:type="pct"/>
            <w:tcBorders>
              <w:top w:val="single" w:sz="4" w:space="0" w:color="010000"/>
            </w:tcBorders>
            <w:vAlign w:val="center"/>
          </w:tcPr>
          <w:p>
            <w:pPr>
              <w:jc w:val="center"/>
            </w:pPr>
            <w:r/>
            <w:r>
              <w:rPr>
                <w:rFonts w:hint="eastAsia"/>
                <w:color w:val="000000"/>
                <w:sz w:val="21"/>
              </w:rPr>
              <w:t>金属工艺件</w:t>
            </w:r>
          </w:p>
        </w:tc>
        <w:tc>
          <w:tcPr>
            <w:tcW w:w="1600" w:type="pct"/>
            <w:tcBorders>
              <w:top w:val="single" w:sz="4" w:space="0" w:color="010000"/>
            </w:tcBorders>
            <w:vAlign w:val="center"/>
          </w:tcPr>
          <w:p>
            <w:pPr>
              <w:jc w:val="left"/>
            </w:pPr>
            <w:r/>
            <w:r>
              <w:rPr>
                <w:rFonts w:hint="eastAsia"/>
                <w:color w:val="000000"/>
                <w:sz w:val="21"/>
              </w:rPr>
              <w:t>反应腔、传输腔、过渡腔、金属上下部电极、金属壁板等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机械类</w:t>
            </w:r>
          </w:p>
        </w:tc>
        <w:tc>
          <w:tcPr>
            <w:tcW w:w="600" w:type="pct"/>
            <w:tcBorders>
              <w:top w:val="single" w:sz="4" w:space="0" w:color="010000"/>
            </w:tcBorders>
            <w:vAlign w:val="center"/>
          </w:tcPr>
          <w:p>
            <w:pPr>
              <w:jc w:val="center"/>
            </w:pPr>
            <w:r/>
            <w:r>
              <w:rPr>
                <w:rFonts w:hint="eastAsia"/>
                <w:color w:val="000000"/>
                <w:sz w:val="21"/>
              </w:rPr>
              <w:t>金属结构件</w:t>
            </w:r>
          </w:p>
        </w:tc>
        <w:tc>
          <w:tcPr>
            <w:tcW w:w="1600" w:type="pct"/>
            <w:tcBorders>
              <w:top w:val="single" w:sz="4" w:space="0" w:color="010000"/>
            </w:tcBorders>
            <w:vAlign w:val="center"/>
          </w:tcPr>
          <w:p>
            <w:pPr>
              <w:jc w:val="left"/>
            </w:pPr>
            <w:r/>
            <w:r>
              <w:rPr>
                <w:rFonts w:hint="eastAsia"/>
                <w:color w:val="000000"/>
                <w:sz w:val="21"/>
              </w:rPr>
              <w:t>托盘、底座、冷却板等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密封件门板</w:t>
            </w:r>
          </w:p>
        </w:tc>
      </w:tr>
      <w:tr>
        <w:trPr>
          <w:cantSplit/>
          <w:jc w:val="center"/>
        </w:trPr>
        <w:tc>
          <w:tcPr>
            <w:tcW w:w="800" w:type="pct"/>
            <w:tcBorders>
              <w:top w:val="single" w:sz="4" w:space="0" w:color="010000"/>
            </w:tcBorders>
            <w:vAlign w:val="center"/>
          </w:tcPr>
          <w:p>
            <w:pPr>
              <w:jc w:val="center"/>
            </w:pPr>
            <w:r/>
            <w:r>
              <w:rPr>
                <w:rFonts w:hint="eastAsia"/>
                <w:color w:val="000000"/>
                <w:sz w:val="21"/>
              </w:rPr>
              <w:t>机械类</w:t>
            </w:r>
          </w:p>
        </w:tc>
        <w:tc>
          <w:tcPr>
            <w:tcW w:w="600" w:type="pct"/>
            <w:tcBorders>
              <w:top w:val="single" w:sz="4" w:space="0" w:color="010000"/>
            </w:tcBorders>
            <w:vAlign w:val="center"/>
          </w:tcPr>
          <w:p>
            <w:pPr>
              <w:jc w:val="center"/>
            </w:pPr>
            <w:r/>
            <w:r>
              <w:rPr>
                <w:rFonts w:hint="eastAsia"/>
                <w:color w:val="000000"/>
                <w:sz w:val="21"/>
              </w:rPr>
              <w:t>非金属机械件</w:t>
            </w:r>
          </w:p>
        </w:tc>
        <w:tc>
          <w:tcPr>
            <w:tcW w:w="1600" w:type="pct"/>
            <w:tcBorders>
              <w:top w:val="single" w:sz="4" w:space="0" w:color="010000"/>
            </w:tcBorders>
            <w:vAlign w:val="center"/>
          </w:tcPr>
          <w:p>
            <w:pPr>
              <w:jc w:val="left"/>
            </w:pPr>
            <w:r/>
            <w:r>
              <w:rPr>
                <w:rFonts w:hint="eastAsia"/>
                <w:color w:val="000000"/>
                <w:sz w:val="21"/>
              </w:rPr>
              <w:t>石英零部件、硅零部件、陶瓷零部件等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精密气体喷头、加热盘</w:t>
            </w:r>
          </w:p>
        </w:tc>
      </w:tr>
      <w:tr>
        <w:trPr>
          <w:cantSplit/>
          <w:jc w:val="center"/>
        </w:trPr>
        <w:tc>
          <w:tcPr>
            <w:tcW w:w="800" w:type="pct"/>
            <w:tcBorders>
              <w:top w:val="single" w:sz="4" w:space="0" w:color="010000"/>
            </w:tcBorders>
            <w:vAlign w:val="center"/>
          </w:tcPr>
          <w:p>
            <w:pPr>
              <w:jc w:val="center"/>
            </w:pPr>
            <w:r/>
            <w:r>
              <w:rPr>
                <w:rFonts w:hint="eastAsia"/>
                <w:color w:val="000000"/>
                <w:sz w:val="21"/>
              </w:rPr>
              <w:t>气体与液体及真空系统类</w:t>
            </w:r>
          </w:p>
        </w:tc>
        <w:tc>
          <w:tcPr>
            <w:tcW w:w="600" w:type="pct"/>
            <w:tcBorders>
              <w:top w:val="single" w:sz="4" w:space="0" w:color="010000"/>
            </w:tcBorders>
            <w:vAlign w:val="center"/>
          </w:tcPr>
          <w:p>
            <w:pPr>
              <w:jc w:val="center"/>
            </w:pPr>
            <w:r/>
            <w:r>
              <w:rPr>
                <w:rFonts w:hint="eastAsia"/>
                <w:color w:val="000000"/>
                <w:sz w:val="21"/>
              </w:rPr>
              <w:t>气体输送系统类</w:t>
            </w:r>
          </w:p>
        </w:tc>
        <w:tc>
          <w:tcPr>
            <w:tcW w:w="1600" w:type="pct"/>
            <w:tcBorders>
              <w:top w:val="single" w:sz="4" w:space="0" w:color="010000"/>
            </w:tcBorders>
            <w:vAlign w:val="center"/>
          </w:tcPr>
          <w:p>
            <w:pPr>
              <w:jc w:val="left"/>
            </w:pPr>
            <w:r/>
            <w:r>
              <w:rPr>
                <w:rFonts w:hint="eastAsia"/>
                <w:color w:val="000000"/>
                <w:sz w:val="21"/>
              </w:rPr>
              <w:t>气柜、气体管路等</w:t>
            </w:r>
          </w:p>
        </w:tc>
        <w:tc>
          <w:tcPr>
            <w:tcW w:w="1100" w:type="pct"/>
            <w:tcBorders>
              <w:top w:val="single" w:sz="4" w:space="0" w:color="010000"/>
            </w:tcBorders>
            <w:vAlign w:val="center"/>
          </w:tcPr>
          <w:p>
            <w:pPr>
              <w:jc w:val="left"/>
            </w:pPr>
            <w:r/>
            <w:r>
              <w:rPr>
                <w:rFonts w:hint="eastAsia"/>
                <w:color w:val="000000"/>
                <w:sz w:val="21"/>
              </w:rPr>
              <w:t>薄膜沉积设备、刻蚀设备、离子注入设备等</w:t>
            </w:r>
          </w:p>
        </w:tc>
        <w:tc>
          <w:tcPr>
            <w:tcW w:w="9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气体与液体及真空系统类</w:t>
            </w:r>
          </w:p>
        </w:tc>
        <w:tc>
          <w:tcPr>
            <w:tcW w:w="600" w:type="pct"/>
            <w:tcBorders>
              <w:top w:val="single" w:sz="4" w:space="0" w:color="010000"/>
            </w:tcBorders>
            <w:vAlign w:val="center"/>
          </w:tcPr>
          <w:p>
            <w:pPr>
              <w:jc w:val="center"/>
            </w:pPr>
            <w:r/>
            <w:r>
              <w:rPr>
                <w:rFonts w:hint="eastAsia"/>
                <w:color w:val="000000"/>
                <w:sz w:val="21"/>
              </w:rPr>
              <w:t>真空系统类</w:t>
            </w:r>
          </w:p>
        </w:tc>
        <w:tc>
          <w:tcPr>
            <w:tcW w:w="1600" w:type="pct"/>
            <w:tcBorders>
              <w:top w:val="single" w:sz="4" w:space="0" w:color="010000"/>
            </w:tcBorders>
            <w:vAlign w:val="center"/>
          </w:tcPr>
          <w:p>
            <w:pPr>
              <w:jc w:val="left"/>
            </w:pPr>
            <w:r/>
            <w:r>
              <w:rPr>
                <w:rFonts w:hint="eastAsia"/>
                <w:color w:val="000000"/>
                <w:sz w:val="21"/>
              </w:rPr>
              <w:t>真空阀门、分子泵等</w:t>
            </w:r>
          </w:p>
        </w:tc>
        <w:tc>
          <w:tcPr>
            <w:tcW w:w="1100" w:type="pct"/>
            <w:tcBorders>
              <w:top w:val="single" w:sz="4" w:space="0" w:color="010000"/>
            </w:tcBorders>
            <w:vAlign w:val="center"/>
          </w:tcPr>
          <w:p>
            <w:pPr>
              <w:jc w:val="left"/>
            </w:pPr>
            <w:r/>
            <w:r>
              <w:rPr>
                <w:rFonts w:hint="eastAsia"/>
                <w:color w:val="000000"/>
                <w:sz w:val="21"/>
              </w:rPr>
              <w:t>薄膜沉积设备、刻蚀设备、离子注入设备等</w:t>
            </w:r>
          </w:p>
        </w:tc>
        <w:tc>
          <w:tcPr>
            <w:tcW w:w="900" w:type="pct"/>
            <w:tcBorders>
              <w:top w:val="single" w:sz="4" w:space="0" w:color="010000"/>
            </w:tcBorders>
            <w:vAlign w:val="center"/>
          </w:tcPr>
          <w:p>
            <w:pPr>
              <w:jc w:val="center"/>
            </w:pPr>
            <w:r/>
            <w:r>
              <w:rPr>
                <w:rFonts w:hint="eastAsia"/>
                <w:color w:val="000000"/>
                <w:sz w:val="21"/>
              </w:rPr>
              <w:t>O型圈</w:t>
            </w:r>
          </w:p>
        </w:tc>
      </w:tr>
      <w:tr>
        <w:trPr>
          <w:cantSplit/>
          <w:jc w:val="center"/>
        </w:trPr>
        <w:tc>
          <w:tcPr>
            <w:tcW w:w="800" w:type="pct"/>
            <w:tcBorders>
              <w:top w:val="single" w:sz="4" w:space="0" w:color="010000"/>
            </w:tcBorders>
            <w:vAlign w:val="center"/>
          </w:tcPr>
          <w:p>
            <w:pPr>
              <w:jc w:val="center"/>
            </w:pPr>
            <w:r/>
            <w:r>
              <w:rPr>
                <w:rFonts w:hint="eastAsia"/>
                <w:color w:val="000000"/>
                <w:sz w:val="21"/>
              </w:rPr>
              <w:t>电气类</w:t>
            </w:r>
          </w:p>
        </w:tc>
        <w:tc>
          <w:tcPr>
            <w:tcW w:w="600" w:type="pct"/>
            <w:tcBorders>
              <w:top w:val="single" w:sz="4" w:space="0" w:color="010000"/>
            </w:tcBorders>
            <w:vAlign w:val="center"/>
          </w:tcPr>
          <w:p>
            <w:pPr>
              <w:jc w:val="center"/>
            </w:pPr>
            <w:r/>
            <w:r>
              <w:rPr>
                <w:rFonts w:hint="eastAsia"/>
                <w:color w:val="000000"/>
                <w:sz w:val="21"/>
              </w:rPr>
              <w:t>—</w:t>
            </w:r>
          </w:p>
        </w:tc>
        <w:tc>
          <w:tcPr>
            <w:tcW w:w="1600" w:type="pct"/>
            <w:tcBorders>
              <w:top w:val="single" w:sz="4" w:space="0" w:color="010000"/>
            </w:tcBorders>
            <w:vAlign w:val="center"/>
          </w:tcPr>
          <w:p>
            <w:pPr>
              <w:jc w:val="left"/>
            </w:pPr>
            <w:r/>
            <w:r>
              <w:rPr>
                <w:rFonts w:hint="eastAsia"/>
                <w:color w:val="000000"/>
                <w:sz w:val="21"/>
              </w:rPr>
              <w:t>射频电源、射频匹配器、供电系统等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机电一体类</w:t>
            </w:r>
          </w:p>
        </w:tc>
        <w:tc>
          <w:tcPr>
            <w:tcW w:w="600" w:type="pct"/>
            <w:tcBorders>
              <w:top w:val="single" w:sz="4" w:space="0" w:color="010000"/>
            </w:tcBorders>
            <w:vAlign w:val="center"/>
          </w:tcPr>
          <w:p>
            <w:pPr>
              <w:jc w:val="center"/>
            </w:pPr>
            <w:r/>
            <w:r>
              <w:rPr>
                <w:rFonts w:hint="eastAsia"/>
                <w:color w:val="000000"/>
                <w:sz w:val="21"/>
              </w:rPr>
              <w:t>—</w:t>
            </w:r>
          </w:p>
        </w:tc>
        <w:tc>
          <w:tcPr>
            <w:tcW w:w="1600" w:type="pct"/>
            <w:tcBorders>
              <w:top w:val="single" w:sz="4" w:space="0" w:color="010000"/>
            </w:tcBorders>
            <w:vAlign w:val="center"/>
          </w:tcPr>
          <w:p>
            <w:pPr>
              <w:jc w:val="left"/>
            </w:pPr>
            <w:r/>
            <w:r>
              <w:rPr>
                <w:rFonts w:hint="eastAsia"/>
                <w:color w:val="000000"/>
                <w:sz w:val="21"/>
              </w:rPr>
              <w:t>设备前端模块、机械手、腔体模组、阀体模组、浸液系统、温控系统等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仪器仪表类</w:t>
            </w:r>
          </w:p>
        </w:tc>
        <w:tc>
          <w:tcPr>
            <w:tcW w:w="600" w:type="pct"/>
            <w:tcBorders>
              <w:top w:val="single" w:sz="4" w:space="0" w:color="010000"/>
            </w:tcBorders>
            <w:vAlign w:val="center"/>
          </w:tcPr>
          <w:p>
            <w:pPr>
              <w:jc w:val="center"/>
            </w:pPr>
            <w:r/>
            <w:r>
              <w:rPr>
                <w:rFonts w:hint="eastAsia"/>
                <w:color w:val="000000"/>
                <w:sz w:val="21"/>
              </w:rPr>
              <w:t>—</w:t>
            </w:r>
          </w:p>
        </w:tc>
        <w:tc>
          <w:tcPr>
            <w:tcW w:w="1600" w:type="pct"/>
            <w:tcBorders>
              <w:top w:val="single" w:sz="4" w:space="0" w:color="010000"/>
            </w:tcBorders>
            <w:vAlign w:val="center"/>
          </w:tcPr>
          <w:p>
            <w:pPr>
              <w:jc w:val="left"/>
            </w:pPr>
            <w:r/>
            <w:r>
              <w:rPr>
                <w:rFonts w:hint="eastAsia"/>
                <w:color w:val="000000"/>
                <w:sz w:val="21"/>
              </w:rPr>
              <w:t>气体流量计、真空压力计等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光学类</w:t>
            </w:r>
          </w:p>
        </w:tc>
        <w:tc>
          <w:tcPr>
            <w:tcW w:w="600" w:type="pct"/>
            <w:tcBorders>
              <w:top w:val="single" w:sz="4" w:space="0" w:color="010000"/>
            </w:tcBorders>
            <w:vAlign w:val="center"/>
          </w:tcPr>
          <w:p>
            <w:pPr>
              <w:jc w:val="center"/>
            </w:pPr>
            <w:r/>
            <w:r>
              <w:rPr>
                <w:rFonts w:hint="eastAsia"/>
                <w:color w:val="000000"/>
                <w:sz w:val="21"/>
              </w:rPr>
              <w:t>—</w:t>
            </w:r>
          </w:p>
        </w:tc>
        <w:tc>
          <w:tcPr>
            <w:tcW w:w="1600" w:type="pct"/>
            <w:tcBorders>
              <w:top w:val="single" w:sz="4" w:space="0" w:color="010000"/>
            </w:tcBorders>
            <w:vAlign w:val="center"/>
          </w:tcPr>
          <w:p>
            <w:pPr>
              <w:jc w:val="left"/>
            </w:pPr>
            <w:r/>
            <w:r>
              <w:rPr>
                <w:rFonts w:hint="eastAsia"/>
                <w:color w:val="000000"/>
                <w:sz w:val="21"/>
              </w:rPr>
              <w:t>激光源、物镜等</w:t>
            </w:r>
          </w:p>
        </w:tc>
        <w:tc>
          <w:tcPr>
            <w:tcW w:w="1100" w:type="pct"/>
            <w:tcBorders>
              <w:top w:val="single" w:sz="4" w:space="0" w:color="010000"/>
            </w:tcBorders>
            <w:vAlign w:val="center"/>
          </w:tcPr>
          <w:p>
            <w:pPr>
              <w:jc w:val="left"/>
            </w:pPr>
            <w:r/>
            <w:r>
              <w:rPr>
                <w:rFonts w:hint="eastAsia"/>
                <w:color w:val="000000"/>
                <w:sz w:val="21"/>
              </w:rPr>
              <w:t>光刻设备、量测设备</w:t>
            </w:r>
          </w:p>
        </w:tc>
        <w:tc>
          <w:tcPr>
            <w:tcW w:w="900" w:type="pct"/>
            <w:tcBorders>
              <w:top w:val="single" w:sz="4" w:space="0" w:color="010000"/>
            </w:tcBorders>
            <w:vAlign w:val="center"/>
          </w:tcPr>
          <w:p>
            <w:pPr>
              <w:jc w:val="center"/>
            </w:pPr>
            <w:r/>
            <w:r>
              <w:rPr>
                <w:rFonts w:hint="eastAsia"/>
                <w:color w:val="000000"/>
                <w:sz w:val="21"/>
              </w:rPr>
              <w:t>—</w:t>
            </w:r>
          </w:p>
        </w:tc>
      </w:tr>
      <w:tr>
        <w:trPr>
          <w:cantSplit/>
          <w:jc w:val="center"/>
        </w:trPr>
        <w:tc>
          <w:tcPr>
            <w:tcW w:w="800" w:type="pct"/>
            <w:tcBorders>
              <w:top w:val="single" w:sz="4" w:space="0" w:color="010000"/>
            </w:tcBorders>
            <w:vAlign w:val="center"/>
          </w:tcPr>
          <w:p>
            <w:pPr>
              <w:jc w:val="center"/>
            </w:pPr>
            <w:r/>
            <w:r>
              <w:rPr>
                <w:rFonts w:hint="eastAsia"/>
                <w:color w:val="000000"/>
                <w:sz w:val="21"/>
              </w:rPr>
              <w:t>其他</w:t>
            </w:r>
          </w:p>
        </w:tc>
        <w:tc>
          <w:tcPr>
            <w:tcW w:w="600" w:type="pct"/>
            <w:tcBorders>
              <w:top w:val="single" w:sz="4" w:space="0" w:color="010000"/>
            </w:tcBorders>
            <w:vAlign w:val="center"/>
          </w:tcPr>
          <w:p>
            <w:pPr>
              <w:jc w:val="center"/>
            </w:pPr>
            <w:r/>
            <w:r>
              <w:rPr>
                <w:rFonts w:hint="eastAsia"/>
                <w:color w:val="000000"/>
                <w:sz w:val="21"/>
              </w:rPr>
              <w:t>—</w:t>
            </w:r>
          </w:p>
        </w:tc>
        <w:tc>
          <w:tcPr>
            <w:tcW w:w="1600" w:type="pct"/>
            <w:tcBorders>
              <w:top w:val="single" w:sz="4" w:space="0" w:color="010000"/>
            </w:tcBorders>
            <w:vAlign w:val="center"/>
          </w:tcPr>
          <w:p>
            <w:pPr>
              <w:jc w:val="left"/>
            </w:pPr>
            <w:r/>
            <w:r>
              <w:rPr>
                <w:rFonts w:hint="eastAsia"/>
                <w:color w:val="000000"/>
                <w:sz w:val="21"/>
              </w:rPr>
              <w:t>各类耗材等</w:t>
            </w:r>
          </w:p>
        </w:tc>
        <w:tc>
          <w:tcPr>
            <w:tcW w:w="1100" w:type="pct"/>
            <w:tcBorders>
              <w:top w:val="single" w:sz="4" w:space="0" w:color="010000"/>
            </w:tcBorders>
            <w:vAlign w:val="center"/>
          </w:tcPr>
          <w:p>
            <w:pPr>
              <w:jc w:val="left"/>
            </w:pPr>
            <w:r/>
            <w:r>
              <w:rPr>
                <w:rFonts w:hint="eastAsia"/>
                <w:color w:val="000000"/>
                <w:sz w:val="21"/>
              </w:rPr>
              <w:t>所有设备</w:t>
            </w:r>
          </w:p>
        </w:tc>
        <w:tc>
          <w:tcPr>
            <w:tcW w:w="900" w:type="pct"/>
            <w:tcBorders>
              <w:top w:val="single" w:sz="4" w:space="0" w:color="010000"/>
            </w:tcBorders>
            <w:vAlign w:val="center"/>
          </w:tcPr>
          <w:p>
            <w:pPr>
              <w:jc w:val="center"/>
            </w:pPr>
            <w:r/>
            <w:r>
              <w:rPr>
                <w:rFonts w:hint="eastAsia"/>
                <w:color w:val="000000"/>
                <w:sz w:val="21"/>
              </w:rPr>
              <w:t>—</w:t>
            </w:r>
          </w:p>
        </w:tc>
      </w:tr>
    </w:tbl>
    <w:p>
      <w:pPr>
        <w:pStyle w:val="a6"/>
        <w:jc w:val="center"/>
      </w:pPr>
      <w:r>
        <w:rPr>
          <w:rFonts w:hint="eastAsia"/>
          <w:sz w:val="11"/>
          <w:szCs w:val="11"/>
        </w:rPr>
        <w:t>资料来源：臻宝科技招股说明书（注册稿），本报告整理。注：无锡金源对应产品一列为本报告依据公司官网产品信息归纳，非公司披露。同一产品按材料属性或按功能可归入不同分类，表中按材料属性归类：精密气体喷头与加热盘归入非金属机械件，密封件门板归入金属结构件，O型圈归入真空系统类。</w:t>
      </w:r>
    </w:p>
    <w:p>
      <w:pPr>
        <w:pStyle w:val="3"/>
        <w:numPr>
          <w:ilvl w:val="0"/>
          <w:numId w:val="0"/>
        </w:numPr>
        <w:spacing w:before="156" w:after="156"/>
      </w:pPr>
      <w:bookmarkStart w:id="1002" w:name="_Toc900002"/>
      <w:r>
        <w:rPr>
          <w:rFonts w:hint="eastAsia"/>
        </w:rPr>
        <w:t>1.2 耗材属性与更换周期</w:t>
      </w:r>
      <w:bookmarkEnd w:id="1002"/>
    </w:p>
    <w:p>
      <w:pPr>
        <w:pStyle w:val="a0"/>
      </w:pPr>
      <w:r>
        <w:rPr>
          <w:rFonts w:hint="eastAsia"/>
        </w:rPr>
        <w:t>是否需要定期更换，决定该零部件属于耗材还是长周期件，进而决定其收入是一次性装机收入还是重复性替换收入。按材料与在设备中的作用，各类零部件的更换属性差异明显。</w:t>
      </w:r>
    </w:p>
    <w:p>
      <w:pPr>
        <w:keepNext/>
        <w:jc w:val="center"/>
      </w:pPr>
      <w:r>
        <w:rPr>
          <w:rFonts w:hint="eastAsia"/>
          <w:b/>
          <w:sz w:val="21"/>
        </w:rPr>
        <w:t>表2  半导体设备机械类零部件的更换属性</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714" w:type="pct"/>
            <w:tcBorders>
              <w:top w:val="single" w:sz="12" w:space="0" w:color="010000"/>
              <w:bottom w:val="single" w:sz="4" w:space="0" w:color="010000"/>
            </w:tcBorders>
            <w:vAlign w:val="center"/>
          </w:tcPr>
          <w:p>
            <w:pPr>
              <w:keepNext/>
              <w:jc w:val="center"/>
            </w:pPr>
            <w:r/>
            <w:r>
              <w:rPr>
                <w:rFonts w:hint="eastAsia"/>
                <w:b/>
                <w:color w:val="000000"/>
                <w:sz w:val="21"/>
              </w:rPr>
              <w:t>类别</w:t>
            </w:r>
          </w:p>
        </w:tc>
        <w:tc>
          <w:tcPr>
            <w:tcW w:w="1429" w:type="pct"/>
            <w:tcBorders>
              <w:top w:val="single" w:sz="12" w:space="0" w:color="010000"/>
              <w:bottom w:val="single" w:sz="4" w:space="0" w:color="010000"/>
            </w:tcBorders>
            <w:vAlign w:val="center"/>
          </w:tcPr>
          <w:p>
            <w:pPr>
              <w:keepNext/>
              <w:jc w:val="center"/>
            </w:pPr>
            <w:r/>
            <w:r>
              <w:rPr>
                <w:rFonts w:hint="eastAsia"/>
                <w:b/>
                <w:color w:val="000000"/>
                <w:sz w:val="21"/>
              </w:rPr>
              <w:t>代表产品</w:t>
            </w:r>
          </w:p>
        </w:tc>
        <w:tc>
          <w:tcPr>
            <w:tcW w:w="982" w:type="pct"/>
            <w:tcBorders>
              <w:top w:val="single" w:sz="12" w:space="0" w:color="010000"/>
              <w:bottom w:val="single" w:sz="4" w:space="0" w:color="010000"/>
            </w:tcBorders>
            <w:vAlign w:val="center"/>
          </w:tcPr>
          <w:p>
            <w:pPr>
              <w:keepNext/>
              <w:jc w:val="center"/>
            </w:pPr>
            <w:r/>
            <w:r>
              <w:rPr>
                <w:rFonts w:hint="eastAsia"/>
                <w:b/>
                <w:color w:val="000000"/>
                <w:sz w:val="21"/>
              </w:rPr>
              <w:t>主要应用设备</w:t>
            </w:r>
          </w:p>
        </w:tc>
        <w:tc>
          <w:tcPr>
            <w:tcW w:w="1875" w:type="pct"/>
            <w:tcBorders>
              <w:top w:val="single" w:sz="12" w:space="0" w:color="010000"/>
              <w:bottom w:val="single" w:sz="4" w:space="0" w:color="010000"/>
            </w:tcBorders>
            <w:vAlign w:val="center"/>
          </w:tcPr>
          <w:p>
            <w:pPr>
              <w:keepNext/>
              <w:jc w:val="center"/>
            </w:pPr>
            <w:r/>
            <w:r>
              <w:rPr>
                <w:rFonts w:hint="eastAsia"/>
                <w:b/>
                <w:color w:val="000000"/>
                <w:sz w:val="21"/>
              </w:rPr>
              <w:t>是否需定期更换</w:t>
            </w:r>
          </w:p>
        </w:tc>
      </w:tr>
      <w:tr>
        <w:trPr>
          <w:cantSplit/>
          <w:jc w:val="center"/>
        </w:trPr>
        <w:tc>
          <w:tcPr>
            <w:tcW w:w="714" w:type="pct"/>
            <w:tcBorders>
              <w:top w:val="single" w:sz="4" w:space="0" w:color="010000"/>
            </w:tcBorders>
            <w:vAlign w:val="center"/>
          </w:tcPr>
          <w:p>
            <w:pPr>
              <w:jc w:val="center"/>
            </w:pPr>
            <w:r/>
            <w:r>
              <w:rPr>
                <w:rFonts w:hint="eastAsia"/>
                <w:color w:val="000000"/>
                <w:sz w:val="21"/>
              </w:rPr>
              <w:t>金属工艺零部件</w:t>
            </w:r>
          </w:p>
        </w:tc>
        <w:tc>
          <w:tcPr>
            <w:tcW w:w="1429" w:type="pct"/>
            <w:tcBorders>
              <w:top w:val="single" w:sz="4" w:space="0" w:color="010000"/>
            </w:tcBorders>
            <w:vAlign w:val="center"/>
          </w:tcPr>
          <w:p>
            <w:pPr>
              <w:jc w:val="left"/>
            </w:pPr>
            <w:r/>
            <w:r>
              <w:rPr>
                <w:rFonts w:hint="eastAsia"/>
                <w:color w:val="000000"/>
                <w:sz w:val="21"/>
              </w:rPr>
              <w:t>反应腔、传输腔、过渡腔、托盘、底座、冷却板等</w:t>
            </w:r>
          </w:p>
        </w:tc>
        <w:tc>
          <w:tcPr>
            <w:tcW w:w="982" w:type="pct"/>
            <w:tcBorders>
              <w:top w:val="single" w:sz="4" w:space="0" w:color="010000"/>
            </w:tcBorders>
            <w:vAlign w:val="center"/>
          </w:tcPr>
          <w:p>
            <w:pPr>
              <w:jc w:val="left"/>
            </w:pPr>
            <w:r/>
            <w:r>
              <w:rPr>
                <w:rFonts w:hint="eastAsia"/>
                <w:color w:val="000000"/>
                <w:sz w:val="21"/>
              </w:rPr>
              <w:t>沉积设备、刻蚀设备、扩散设备等</w:t>
            </w:r>
          </w:p>
        </w:tc>
        <w:tc>
          <w:tcPr>
            <w:tcW w:w="1875" w:type="pct"/>
            <w:tcBorders>
              <w:top w:val="single" w:sz="4" w:space="0" w:color="010000"/>
            </w:tcBorders>
            <w:vAlign w:val="center"/>
          </w:tcPr>
          <w:p>
            <w:pPr>
              <w:jc w:val="left"/>
            </w:pPr>
            <w:r/>
            <w:r>
              <w:rPr>
                <w:rFonts w:hint="eastAsia"/>
                <w:color w:val="000000"/>
                <w:sz w:val="21"/>
              </w:rPr>
              <w:t>参与真空腔内工艺反应，需定期更换但周期较长，一般可通过表面处理后再次使用</w:t>
            </w:r>
          </w:p>
        </w:tc>
      </w:tr>
      <w:tr>
        <w:trPr>
          <w:cantSplit/>
          <w:jc w:val="center"/>
        </w:trPr>
        <w:tc>
          <w:tcPr>
            <w:tcW w:w="714" w:type="pct"/>
            <w:tcBorders>
              <w:top w:val="single" w:sz="4" w:space="0" w:color="010000"/>
            </w:tcBorders>
            <w:vAlign w:val="center"/>
          </w:tcPr>
          <w:p>
            <w:pPr>
              <w:jc w:val="center"/>
            </w:pPr>
            <w:r/>
            <w:r>
              <w:rPr>
                <w:rFonts w:hint="eastAsia"/>
                <w:color w:val="000000"/>
                <w:sz w:val="21"/>
              </w:rPr>
              <w:t>金属结构零部件</w:t>
            </w:r>
          </w:p>
        </w:tc>
        <w:tc>
          <w:tcPr>
            <w:tcW w:w="1429" w:type="pct"/>
            <w:tcBorders>
              <w:top w:val="single" w:sz="4" w:space="0" w:color="010000"/>
            </w:tcBorders>
            <w:vAlign w:val="center"/>
          </w:tcPr>
          <w:p>
            <w:pPr>
              <w:jc w:val="left"/>
            </w:pPr>
            <w:r/>
            <w:r>
              <w:rPr>
                <w:rFonts w:hint="eastAsia"/>
                <w:color w:val="000000"/>
                <w:sz w:val="21"/>
              </w:rPr>
              <w:t>设备结构支撑件</w:t>
            </w:r>
          </w:p>
        </w:tc>
        <w:tc>
          <w:tcPr>
            <w:tcW w:w="982" w:type="pct"/>
            <w:tcBorders>
              <w:top w:val="single" w:sz="4" w:space="0" w:color="010000"/>
            </w:tcBorders>
            <w:vAlign w:val="center"/>
          </w:tcPr>
          <w:p>
            <w:pPr>
              <w:jc w:val="left"/>
            </w:pPr>
            <w:r/>
            <w:r>
              <w:rPr>
                <w:rFonts w:hint="eastAsia"/>
                <w:color w:val="000000"/>
                <w:sz w:val="21"/>
              </w:rPr>
              <w:t>各类设备</w:t>
            </w:r>
          </w:p>
        </w:tc>
        <w:tc>
          <w:tcPr>
            <w:tcW w:w="1875" w:type="pct"/>
            <w:tcBorders>
              <w:top w:val="single" w:sz="4" w:space="0" w:color="010000"/>
            </w:tcBorders>
            <w:vAlign w:val="center"/>
          </w:tcPr>
          <w:p>
            <w:pPr>
              <w:jc w:val="left"/>
            </w:pPr>
            <w:r/>
            <w:r>
              <w:rPr>
                <w:rFonts w:hint="eastAsia"/>
                <w:color w:val="000000"/>
                <w:sz w:val="21"/>
              </w:rPr>
              <w:t>伴随设备生命周期，过程中几乎不更换</w:t>
            </w:r>
          </w:p>
        </w:tc>
      </w:tr>
      <w:tr>
        <w:trPr>
          <w:cantSplit/>
          <w:jc w:val="center"/>
        </w:trPr>
        <w:tc>
          <w:tcPr>
            <w:tcW w:w="714" w:type="pct"/>
            <w:tcBorders>
              <w:top w:val="single" w:sz="4" w:space="0" w:color="010000"/>
            </w:tcBorders>
            <w:vAlign w:val="center"/>
          </w:tcPr>
          <w:p>
            <w:pPr>
              <w:jc w:val="center"/>
            </w:pPr>
            <w:r/>
            <w:r>
              <w:rPr>
                <w:rFonts w:hint="eastAsia"/>
                <w:color w:val="000000"/>
                <w:sz w:val="21"/>
              </w:rPr>
              <w:t>石英零部件</w:t>
            </w:r>
          </w:p>
        </w:tc>
        <w:tc>
          <w:tcPr>
            <w:tcW w:w="1429" w:type="pct"/>
            <w:tcBorders>
              <w:top w:val="single" w:sz="4" w:space="0" w:color="010000"/>
            </w:tcBorders>
            <w:vAlign w:val="center"/>
          </w:tcPr>
          <w:p>
            <w:pPr>
              <w:jc w:val="left"/>
            </w:pPr>
            <w:r/>
            <w:r>
              <w:rPr>
                <w:rFonts w:hint="eastAsia"/>
                <w:color w:val="000000"/>
                <w:sz w:val="21"/>
              </w:rPr>
              <w:t>石英环、石英盘、石英喷嘴等</w:t>
            </w:r>
          </w:p>
        </w:tc>
        <w:tc>
          <w:tcPr>
            <w:tcW w:w="982" w:type="pct"/>
            <w:tcBorders>
              <w:top w:val="single" w:sz="4" w:space="0" w:color="010000"/>
            </w:tcBorders>
            <w:vAlign w:val="center"/>
          </w:tcPr>
          <w:p>
            <w:pPr>
              <w:jc w:val="left"/>
            </w:pPr>
            <w:r/>
            <w:r>
              <w:rPr>
                <w:rFonts w:hint="eastAsia"/>
                <w:color w:val="000000"/>
                <w:sz w:val="21"/>
              </w:rPr>
              <w:t>刻蚀设备、炉管设备等</w:t>
            </w:r>
          </w:p>
        </w:tc>
        <w:tc>
          <w:tcPr>
            <w:tcW w:w="1875" w:type="pct"/>
            <w:tcBorders>
              <w:top w:val="single" w:sz="4" w:space="0" w:color="010000"/>
            </w:tcBorders>
            <w:vAlign w:val="center"/>
          </w:tcPr>
          <w:p>
            <w:pPr>
              <w:jc w:val="left"/>
            </w:pPr>
            <w:r/>
            <w:r>
              <w:rPr>
                <w:rFonts w:hint="eastAsia"/>
                <w:color w:val="000000"/>
                <w:sz w:val="21"/>
              </w:rPr>
              <w:t>参与真空腔内工艺反应，需定期更换</w:t>
            </w:r>
          </w:p>
        </w:tc>
      </w:tr>
      <w:tr>
        <w:trPr>
          <w:cantSplit/>
          <w:jc w:val="center"/>
        </w:trPr>
        <w:tc>
          <w:tcPr>
            <w:tcW w:w="714" w:type="pct"/>
            <w:tcBorders>
              <w:top w:val="single" w:sz="4" w:space="0" w:color="010000"/>
            </w:tcBorders>
            <w:vAlign w:val="center"/>
          </w:tcPr>
          <w:p>
            <w:pPr>
              <w:jc w:val="center"/>
            </w:pPr>
            <w:r/>
            <w:r>
              <w:rPr>
                <w:rFonts w:hint="eastAsia"/>
                <w:color w:val="000000"/>
                <w:sz w:val="21"/>
              </w:rPr>
              <w:t>硅与碳化硅零部件</w:t>
            </w:r>
          </w:p>
        </w:tc>
        <w:tc>
          <w:tcPr>
            <w:tcW w:w="1429" w:type="pct"/>
            <w:tcBorders>
              <w:top w:val="single" w:sz="4" w:space="0" w:color="010000"/>
            </w:tcBorders>
            <w:vAlign w:val="center"/>
          </w:tcPr>
          <w:p>
            <w:pPr>
              <w:jc w:val="left"/>
            </w:pPr>
            <w:r/>
            <w:r>
              <w:rPr>
                <w:rFonts w:hint="eastAsia"/>
                <w:color w:val="000000"/>
                <w:sz w:val="21"/>
              </w:rPr>
              <w:t>聚焦环、硅电极、硅材料托盘、硅板等</w:t>
            </w:r>
          </w:p>
        </w:tc>
        <w:tc>
          <w:tcPr>
            <w:tcW w:w="982" w:type="pct"/>
            <w:tcBorders>
              <w:top w:val="single" w:sz="4" w:space="0" w:color="010000"/>
            </w:tcBorders>
            <w:vAlign w:val="center"/>
          </w:tcPr>
          <w:p>
            <w:pPr>
              <w:jc w:val="left"/>
            </w:pPr>
            <w:r/>
            <w:r>
              <w:rPr>
                <w:rFonts w:hint="eastAsia"/>
                <w:color w:val="000000"/>
                <w:sz w:val="21"/>
              </w:rPr>
              <w:t>刻蚀设备</w:t>
            </w:r>
          </w:p>
        </w:tc>
        <w:tc>
          <w:tcPr>
            <w:tcW w:w="1875" w:type="pct"/>
            <w:tcBorders>
              <w:top w:val="single" w:sz="4" w:space="0" w:color="010000"/>
            </w:tcBorders>
            <w:vAlign w:val="center"/>
          </w:tcPr>
          <w:p>
            <w:pPr>
              <w:jc w:val="left"/>
            </w:pPr>
            <w:r/>
            <w:r>
              <w:rPr>
                <w:rFonts w:hint="eastAsia"/>
                <w:color w:val="000000"/>
                <w:sz w:val="21"/>
              </w:rPr>
              <w:t>用量较大且更换周期相对较短</w:t>
            </w:r>
          </w:p>
        </w:tc>
      </w:tr>
      <w:tr>
        <w:trPr>
          <w:cantSplit/>
          <w:jc w:val="center"/>
        </w:trPr>
        <w:tc>
          <w:tcPr>
            <w:tcW w:w="714" w:type="pct"/>
            <w:tcBorders>
              <w:top w:val="single" w:sz="4" w:space="0" w:color="010000"/>
            </w:tcBorders>
            <w:vAlign w:val="center"/>
          </w:tcPr>
          <w:p>
            <w:pPr>
              <w:jc w:val="center"/>
            </w:pPr>
            <w:r/>
            <w:r>
              <w:rPr>
                <w:rFonts w:hint="eastAsia"/>
                <w:color w:val="000000"/>
                <w:sz w:val="21"/>
              </w:rPr>
              <w:t>陶瓷零部件</w:t>
            </w:r>
          </w:p>
        </w:tc>
        <w:tc>
          <w:tcPr>
            <w:tcW w:w="1429" w:type="pct"/>
            <w:tcBorders>
              <w:top w:val="single" w:sz="4" w:space="0" w:color="010000"/>
            </w:tcBorders>
            <w:vAlign w:val="center"/>
          </w:tcPr>
          <w:p>
            <w:pPr>
              <w:jc w:val="left"/>
            </w:pPr>
            <w:r/>
            <w:r>
              <w:rPr>
                <w:rFonts w:hint="eastAsia"/>
                <w:color w:val="000000"/>
                <w:sz w:val="21"/>
              </w:rPr>
              <w:t>陶瓷筒、陶瓷板、陶瓷加热器等</w:t>
            </w:r>
          </w:p>
        </w:tc>
        <w:tc>
          <w:tcPr>
            <w:tcW w:w="982" w:type="pct"/>
            <w:tcBorders>
              <w:top w:val="single" w:sz="4" w:space="0" w:color="010000"/>
            </w:tcBorders>
            <w:vAlign w:val="center"/>
          </w:tcPr>
          <w:p>
            <w:pPr>
              <w:jc w:val="left"/>
            </w:pPr>
            <w:r/>
            <w:r>
              <w:rPr>
                <w:rFonts w:hint="eastAsia"/>
                <w:color w:val="000000"/>
                <w:sz w:val="21"/>
              </w:rPr>
              <w:t>刻蚀设备、薄膜沉积设备等</w:t>
            </w:r>
          </w:p>
        </w:tc>
        <w:tc>
          <w:tcPr>
            <w:tcW w:w="1875" w:type="pct"/>
            <w:tcBorders>
              <w:top w:val="single" w:sz="4" w:space="0" w:color="010000"/>
            </w:tcBorders>
            <w:vAlign w:val="center"/>
          </w:tcPr>
          <w:p>
            <w:pPr>
              <w:jc w:val="left"/>
            </w:pPr>
            <w:r/>
            <w:r>
              <w:rPr>
                <w:rFonts w:hint="eastAsia"/>
                <w:color w:val="000000"/>
                <w:sz w:val="21"/>
              </w:rPr>
              <w:t>受等离子体和高温影响，约1至3年更换一次</w:t>
            </w:r>
          </w:p>
        </w:tc>
      </w:tr>
    </w:tbl>
    <w:p>
      <w:pPr>
        <w:pStyle w:val="a6"/>
        <w:jc w:val="center"/>
      </w:pPr>
      <w:r>
        <w:rPr>
          <w:rFonts w:hint="eastAsia"/>
          <w:sz w:val="11"/>
          <w:szCs w:val="11"/>
        </w:rPr>
        <w:t>资料来源：臻宝科技招股说明书（注册稿），本报告整理</w:t>
      </w:r>
    </w:p>
    <w:p>
      <w:pPr>
        <w:pStyle w:val="a0"/>
      </w:pPr>
      <w:r>
        <w:rPr>
          <w:rFonts w:hint="eastAsia"/>
        </w:rPr>
        <w:t>非金属零部件因损耗较多，采购以消耗型零部件为主，晶圆厂向零部件厂商直接采购的比例也更高。2024年国内晶圆厂非金属零部件采购额113.5亿元，其中直接采购80.4亿元、占比70.8%；按弗若斯特沙利文预测，2029年该品类整体采购额将达262.7亿元，直接采购占比升至80.7%、金额达212.0亿元。</w:t>
      </w:r>
    </w:p>
    <w:p>
      <w:pPr>
        <w:pStyle w:val="3"/>
        <w:numPr>
          <w:ilvl w:val="0"/>
          <w:numId w:val="0"/>
        </w:numPr>
        <w:spacing w:before="156" w:after="156"/>
      </w:pPr>
      <w:bookmarkStart w:id="1003" w:name="_Toc900003"/>
      <w:r>
        <w:rPr>
          <w:rFonts w:hint="eastAsia"/>
        </w:rPr>
        <w:t>1.3 衡量该行业的指标</w:t>
      </w:r>
      <w:bookmarkEnd w:id="1003"/>
    </w:p>
    <w:p>
      <w:pPr>
        <w:pStyle w:val="a0"/>
      </w:pPr>
      <w:r>
        <w:rPr>
          <w:rFonts w:hint="eastAsia"/>
        </w:rPr>
        <w:t>衡量该环节通常使用四组指标，各自统计对象不同，不可互相替代。一是晶圆厂采购额，反映需求端总量，需区分采购总额与向零部件厂商直接采购的金额；二是厂商营业收入，反映供给端的经营规模；三是毛利率，受材料属性与加工附加值影响显著，不同材料路线之间不具直接可比性；四是更换周期，决定产品属于耗材还是长周期件。</w:t>
      </w:r>
    </w:p>
    <w:p>
      <w:pPr>
        <w:pStyle w:val="2"/>
        <w:spacing w:before="156" w:after="156"/>
      </w:pPr>
      <w:bookmarkStart w:id="1004" w:name="_Toc900004"/>
      <w:r>
        <w:rPr>
          <w:rFonts w:hint="eastAsia"/>
          <w:b/>
        </w:rPr>
        <w:t>产业链结构及各环节比较</w:t>
      </w:r>
      <w:bookmarkEnd w:id="1004"/>
    </w:p>
    <w:p>
      <w:pPr>
        <w:pStyle w:val="3"/>
        <w:numPr>
          <w:ilvl w:val="0"/>
          <w:numId w:val="0"/>
        </w:numPr>
        <w:spacing w:before="156" w:after="156"/>
      </w:pPr>
      <w:bookmarkStart w:id="1005" w:name="_Toc900005"/>
      <w:r>
        <w:rPr>
          <w:rFonts w:hint="eastAsia"/>
        </w:rPr>
        <w:t>2.1 产业链整体结构</w:t>
      </w:r>
      <w:bookmarkEnd w:id="1005"/>
    </w:p>
    <w:p>
      <w:pPr>
        <w:pStyle w:val="a0"/>
      </w:pPr>
      <w:r>
        <w:rPr>
          <w:rFonts w:hint="eastAsia"/>
        </w:rPr>
        <w:t>该产业链自上游至下游依次为原材料、零部件制造与表面处理、设备整机、晶圆制造。原材料包括高纯石英、单晶硅、碳化硅、氧化铝与氮化铝陶瓷、特种合金与高分子密封材料；零部件厂商完成精密加工与表面处理后，向设备厂商或晶圆厂供货；设备厂商装配整机后销售给晶圆厂。</w:t>
      </w:r>
    </w:p>
    <w:p>
      <w:pPr>
        <w:keepNext/>
        <w:jc w:val="center"/>
      </w:pPr>
      <w:r>
        <w:drawing>
          <wp:inline xmlns:a="http://schemas.openxmlformats.org/drawingml/2006/main" xmlns:pic="http://schemas.openxmlformats.org/drawingml/2006/picture">
            <wp:extent cx="5074920" cy="2360427"/>
            <wp:docPr id="1" name="Picture 1"/>
            <wp:cNvGraphicFramePr>
              <a:graphicFrameLocks noChangeAspect="1"/>
            </wp:cNvGraphicFramePr>
            <a:graphic>
              <a:graphicData uri="http://schemas.openxmlformats.org/drawingml/2006/picture">
                <pic:pic>
                  <pic:nvPicPr>
                    <pic:cNvPr id="0" name="fig1_caigou.png"/>
                    <pic:cNvPicPr/>
                  </pic:nvPicPr>
                  <pic:blipFill>
                    <a:blip r:embed="rId16"/>
                    <a:stretch>
                      <a:fillRect/>
                    </a:stretch>
                  </pic:blipFill>
                  <pic:spPr>
                    <a:xfrm>
                      <a:off x="0" y="0"/>
                      <a:ext cx="5074920" cy="2360427"/>
                    </a:xfrm>
                    <a:prstGeom prst="rect"/>
                  </pic:spPr>
                </pic:pic>
              </a:graphicData>
            </a:graphic>
          </wp:inline>
        </w:drawing>
      </w:r>
    </w:p>
    <w:p>
      <w:pPr>
        <w:jc w:val="center"/>
      </w:pPr>
      <w:r>
        <w:rPr>
          <w:rFonts w:hint="eastAsia"/>
          <w:b/>
          <w:sz w:val="21"/>
        </w:rPr>
        <w:t>图1  2024年中国晶圆厂零部件采购额与直接采购金额</w:t>
      </w:r>
    </w:p>
    <w:p>
      <w:pPr>
        <w:pStyle w:val="a6"/>
        <w:jc w:val="center"/>
      </w:pPr>
      <w:r>
        <w:rPr>
          <w:rFonts w:hint="eastAsia"/>
          <w:sz w:val="11"/>
          <w:szCs w:val="11"/>
        </w:rPr>
        <w:t>资料来源：臻宝科技招股说明书（注册稿），本报告整理。注：数据发布机构为弗若斯特沙利文。</w:t>
      </w:r>
    </w:p>
    <w:p>
      <w:pPr>
        <w:pStyle w:val="3"/>
        <w:numPr>
          <w:ilvl w:val="0"/>
          <w:numId w:val="0"/>
        </w:numPr>
        <w:spacing w:before="156" w:after="156"/>
      </w:pPr>
      <w:bookmarkStart w:id="1006" w:name="_Toc900006"/>
      <w:r>
        <w:rPr>
          <w:rFonts w:hint="eastAsia"/>
        </w:rPr>
        <w:t>2.2 上游：材料</w:t>
      </w:r>
      <w:bookmarkEnd w:id="1006"/>
    </w:p>
    <w:p>
      <w:pPr>
        <w:pStyle w:val="a0"/>
      </w:pPr>
      <w:r>
        <w:rPr>
          <w:rFonts w:hint="eastAsia"/>
        </w:rPr>
        <w:t>材料决定零部件的耐受性能与加工工艺路线。硅与碳化硅零部件用于刻蚀设备，用量大、更换周期短；石英零部件用于刻蚀与炉管设备；氧化铝与氮化铝陶瓷用于加热与绝缘部件；全氟醚橡胶等高分子材料用于真空密封件。</w:t>
      </w:r>
    </w:p>
    <w:p>
      <w:pPr>
        <w:pStyle w:val="a0"/>
      </w:pPr>
      <w:r>
        <w:rPr>
          <w:rFonts w:hint="eastAsia"/>
        </w:rPr>
        <w:t>原材料的可获得性与价格公允性是该环节的共性问题。按公开披露，部分非金属零部件的原材料通过委托加工定制与成品采购取得，主要供应商为境外企业且多数规模较小，不存在市场价格或可比公司披露的同类采购价格可供比较。</w:t>
      </w:r>
    </w:p>
    <w:p>
      <w:pPr>
        <w:pStyle w:val="3"/>
        <w:numPr>
          <w:ilvl w:val="0"/>
          <w:numId w:val="0"/>
        </w:numPr>
        <w:spacing w:before="156" w:after="156"/>
      </w:pPr>
      <w:bookmarkStart w:id="1007" w:name="_Toc900007"/>
      <w:r>
        <w:rPr>
          <w:rFonts w:hint="eastAsia"/>
        </w:rPr>
        <w:t>2.3 中游：零部件制造与表面处理</w:t>
      </w:r>
      <w:bookmarkEnd w:id="1007"/>
    </w:p>
    <w:p>
      <w:pPr>
        <w:pStyle w:val="a0"/>
      </w:pPr>
      <w:r>
        <w:rPr>
          <w:rFonts w:hint="eastAsia"/>
        </w:rPr>
        <w:t>零部件制造包含精密机械加工、焊接、表面处理三类核心工艺。产品指标围绕超高精度、超高洁净度、高真空密封、耐极端腐蚀与离子轰击展开。表面处理既是制造环节，也可作为独立服务提供：零部件在使用中受污染与损耗后，通过熔射再生、阳极氧化、精密清洗等工艺可恢复性能并再次投入使用，形成再生服务市场。</w:t>
      </w:r>
    </w:p>
    <w:p>
      <w:pPr>
        <w:pStyle w:val="3"/>
        <w:numPr>
          <w:ilvl w:val="0"/>
          <w:numId w:val="0"/>
        </w:numPr>
        <w:spacing w:before="156" w:after="156"/>
      </w:pPr>
      <w:bookmarkStart w:id="1008" w:name="_Toc900008"/>
      <w:r>
        <w:rPr>
          <w:rFonts w:hint="eastAsia"/>
        </w:rPr>
        <w:t>2.4 下游：设备厂与晶圆厂</w:t>
      </w:r>
      <w:bookmarkEnd w:id="1008"/>
    </w:p>
    <w:p>
      <w:pPr>
        <w:pStyle w:val="a0"/>
      </w:pPr>
      <w:r>
        <w:rPr>
          <w:rFonts w:hint="eastAsia"/>
        </w:rPr>
        <w:t>两类下游客户对应两种商业模式。以设备厂为主要客户的厂商，订单节奏与设备厂的出货和资本开支相关；以晶圆厂为主要客户的厂商，订单节奏与晶圆厂的产能利用率和工艺运行时长相关。按公开披露，富创精密、先锋精科、珂玛科技、托伦斯的客户以北方华创、中微公司、拓荆科技等设备厂商为主；臻宝科技的客户为集成电路制造厂商与显示面板厂商。</w:t>
      </w:r>
    </w:p>
    <w:p>
      <w:pPr>
        <w:pStyle w:val="2"/>
        <w:spacing w:before="156" w:after="156"/>
      </w:pPr>
      <w:bookmarkStart w:id="1009" w:name="_Toc900009"/>
      <w:r>
        <w:rPr>
          <w:rFonts w:hint="eastAsia"/>
          <w:b/>
        </w:rPr>
        <w:t>市场规模与国产化进度</w:t>
      </w:r>
      <w:bookmarkEnd w:id="1009"/>
    </w:p>
    <w:p>
      <w:pPr>
        <w:pStyle w:val="3"/>
        <w:numPr>
          <w:ilvl w:val="0"/>
          <w:numId w:val="0"/>
        </w:numPr>
        <w:spacing w:before="156" w:after="156"/>
      </w:pPr>
      <w:bookmarkStart w:id="1010" w:name="_Toc900010"/>
      <w:r>
        <w:rPr>
          <w:rFonts w:hint="eastAsia"/>
        </w:rPr>
        <w:t>3.1 半导体设备市场</w:t>
      </w:r>
      <w:bookmarkEnd w:id="1010"/>
    </w:p>
    <w:p>
      <w:pPr>
        <w:pStyle w:val="a0"/>
      </w:pPr>
      <w:r>
        <w:rPr>
          <w:rFonts w:hint="eastAsia"/>
        </w:rPr>
        <w:t>按SEMI统计，2024年全球半导体设备销售额同比增长10%至1,171.4亿美元，超越2022年1,076.4亿美元的前高；2025年1—9月已实现销售规模超987亿美元，SEMI预计2025年将增长至1,330亿美元，2026年、2027年分别为1,450亿美元与1,560亿美元。同一组SEMI数据在托伦斯与臻宝科技招股说明书中分别列示为1,171.4亿美元与1,171亿美元，2023年对照数为1,063亿美元，差异为取整位数不同。</w:t>
      </w:r>
    </w:p>
    <w:p>
      <w:pPr>
        <w:pStyle w:val="a0"/>
      </w:pPr>
      <w:r>
        <w:rPr>
          <w:rFonts w:hint="eastAsia"/>
        </w:rPr>
        <w:t>区域结构方面，中国境内、韩国和中国台湾省为半导体设备支出的前三大市场，合计占全球市场份额的74%。2024年中国境内销售额同比增长35%至495.5亿美元，连续第五年成为全球最大半导体设备市场，占全球比重42.3%；2025年1—9月约362亿美元。</w:t>
      </w:r>
    </w:p>
    <w:p>
      <w:pPr>
        <w:pStyle w:val="a0"/>
      </w:pPr>
      <w:r>
        <w:rPr>
          <w:rFonts w:hint="eastAsia"/>
        </w:rPr>
        <w:t>设备投资在半导体制造资本性支出中的占比一般为70%至80%，且随工艺制程提升而提高。前道晶圆制造设备占据主要比重，2024年前道工艺设备销售额预计1,042亿美元、按全球销售额计算占比约88.9%。前道设备中，刻蚀技术、薄膜沉积技术与光刻技术并称三大主要生产技术，刻蚀设备与薄膜沉积设备合计价值量占比超过40%。</w:t>
      </w:r>
    </w:p>
    <w:p>
      <w:pPr>
        <w:pStyle w:val="3"/>
        <w:numPr>
          <w:ilvl w:val="0"/>
          <w:numId w:val="0"/>
        </w:numPr>
        <w:spacing w:before="156" w:after="156"/>
      </w:pPr>
      <w:bookmarkStart w:id="1011" w:name="_Toc900011"/>
      <w:r>
        <w:rPr>
          <w:rFonts w:hint="eastAsia"/>
        </w:rPr>
        <w:t>3.2 零部件环节的规模与结构</w:t>
      </w:r>
      <w:bookmarkEnd w:id="1011"/>
    </w:p>
    <w:p>
      <w:pPr>
        <w:keepNext/>
        <w:jc w:val="center"/>
      </w:pPr>
      <w:r>
        <w:rPr>
          <w:rFonts w:hint="eastAsia"/>
          <w:b/>
          <w:sz w:val="21"/>
        </w:rPr>
        <w:t>表3  中国晶圆厂零部件采购额及向零部件厂商直接采购情况</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865" w:type="pct"/>
            <w:tcBorders>
              <w:top w:val="single" w:sz="12" w:space="0" w:color="010000"/>
              <w:bottom w:val="single" w:sz="4" w:space="0" w:color="010000"/>
            </w:tcBorders>
            <w:vAlign w:val="center"/>
          </w:tcPr>
          <w:p>
            <w:pPr>
              <w:keepNext/>
              <w:jc w:val="center"/>
            </w:pPr>
            <w:r/>
            <w:r>
              <w:rPr>
                <w:rFonts w:hint="eastAsia"/>
                <w:b/>
                <w:color w:val="000000"/>
                <w:sz w:val="21"/>
              </w:rPr>
              <w:t>品类</w:t>
            </w:r>
          </w:p>
        </w:tc>
        <w:tc>
          <w:tcPr>
            <w:tcW w:w="865" w:type="pct"/>
            <w:tcBorders>
              <w:top w:val="single" w:sz="12" w:space="0" w:color="010000"/>
              <w:bottom w:val="single" w:sz="4" w:space="0" w:color="010000"/>
            </w:tcBorders>
            <w:vAlign w:val="center"/>
          </w:tcPr>
          <w:p>
            <w:pPr>
              <w:keepNext/>
              <w:jc w:val="center"/>
            </w:pPr>
            <w:r/>
            <w:r>
              <w:rPr>
                <w:rFonts w:hint="eastAsia"/>
                <w:b/>
                <w:color w:val="000000"/>
                <w:sz w:val="21"/>
              </w:rPr>
              <w:t>2024年晶圆厂采购额（亿元）</w:t>
            </w:r>
          </w:p>
        </w:tc>
        <w:tc>
          <w:tcPr>
            <w:tcW w:w="865" w:type="pct"/>
            <w:tcBorders>
              <w:top w:val="single" w:sz="12" w:space="0" w:color="010000"/>
              <w:bottom w:val="single" w:sz="4" w:space="0" w:color="010000"/>
            </w:tcBorders>
            <w:vAlign w:val="center"/>
          </w:tcPr>
          <w:p>
            <w:pPr>
              <w:keepNext/>
              <w:jc w:val="center"/>
            </w:pPr>
            <w:r/>
            <w:r>
              <w:rPr>
                <w:rFonts w:hint="eastAsia"/>
                <w:b/>
                <w:color w:val="000000"/>
                <w:sz w:val="21"/>
              </w:rPr>
              <w:t>2024年直接采购额（亿元）</w:t>
            </w:r>
          </w:p>
        </w:tc>
        <w:tc>
          <w:tcPr>
            <w:tcW w:w="769" w:type="pct"/>
            <w:tcBorders>
              <w:top w:val="single" w:sz="12" w:space="0" w:color="010000"/>
              <w:bottom w:val="single" w:sz="4" w:space="0" w:color="010000"/>
            </w:tcBorders>
            <w:vAlign w:val="center"/>
          </w:tcPr>
          <w:p>
            <w:pPr>
              <w:keepNext/>
              <w:jc w:val="center"/>
            </w:pPr>
            <w:r/>
            <w:r>
              <w:rPr>
                <w:rFonts w:hint="eastAsia"/>
                <w:b/>
                <w:color w:val="000000"/>
                <w:sz w:val="21"/>
              </w:rPr>
              <w:t>2024年直接采购占比（%）</w:t>
            </w:r>
          </w:p>
        </w:tc>
        <w:tc>
          <w:tcPr>
            <w:tcW w:w="865" w:type="pct"/>
            <w:tcBorders>
              <w:top w:val="single" w:sz="12" w:space="0" w:color="010000"/>
              <w:bottom w:val="single" w:sz="4" w:space="0" w:color="010000"/>
            </w:tcBorders>
            <w:vAlign w:val="center"/>
          </w:tcPr>
          <w:p>
            <w:pPr>
              <w:keepNext/>
              <w:jc w:val="center"/>
            </w:pPr>
            <w:r/>
            <w:r>
              <w:rPr>
                <w:rFonts w:hint="eastAsia"/>
                <w:b/>
                <w:color w:val="000000"/>
                <w:sz w:val="21"/>
              </w:rPr>
              <w:t>2029年直接采购额预测（亿元）</w:t>
            </w:r>
          </w:p>
        </w:tc>
        <w:tc>
          <w:tcPr>
            <w:tcW w:w="769" w:type="pct"/>
            <w:tcBorders>
              <w:top w:val="single" w:sz="12" w:space="0" w:color="010000"/>
              <w:bottom w:val="single" w:sz="4" w:space="0" w:color="010000"/>
            </w:tcBorders>
            <w:vAlign w:val="center"/>
          </w:tcPr>
          <w:p>
            <w:pPr>
              <w:keepNext/>
              <w:jc w:val="center"/>
            </w:pPr>
            <w:r/>
            <w:r>
              <w:rPr>
                <w:rFonts w:hint="eastAsia"/>
                <w:b/>
                <w:color w:val="000000"/>
                <w:sz w:val="21"/>
              </w:rPr>
              <w:t>2029年直接采购占比预测（%）</w:t>
            </w:r>
          </w:p>
        </w:tc>
      </w:tr>
      <w:tr>
        <w:trPr>
          <w:cantSplit/>
          <w:jc w:val="center"/>
        </w:trPr>
        <w:tc>
          <w:tcPr>
            <w:tcW w:w="865" w:type="pct"/>
            <w:tcBorders>
              <w:top w:val="single" w:sz="4" w:space="0" w:color="010000"/>
            </w:tcBorders>
            <w:vAlign w:val="center"/>
          </w:tcPr>
          <w:p>
            <w:pPr>
              <w:jc w:val="left"/>
            </w:pPr>
            <w:r/>
            <w:r>
              <w:rPr>
                <w:rFonts w:hint="eastAsia"/>
                <w:color w:val="000000"/>
                <w:sz w:val="21"/>
              </w:rPr>
              <w:t>零部件整体</w:t>
            </w:r>
          </w:p>
        </w:tc>
        <w:tc>
          <w:tcPr>
            <w:tcW w:w="865" w:type="pct"/>
            <w:tcBorders>
              <w:top w:val="single" w:sz="4" w:space="0" w:color="010000"/>
            </w:tcBorders>
            <w:vAlign w:val="center"/>
          </w:tcPr>
          <w:p>
            <w:pPr>
              <w:jc w:val="right"/>
            </w:pPr>
            <w:r/>
            <w:r>
              <w:rPr>
                <w:rFonts w:hint="eastAsia"/>
                <w:color w:val="000000"/>
                <w:sz w:val="21"/>
              </w:rPr>
              <w:t>177.2</w:t>
            </w:r>
          </w:p>
        </w:tc>
        <w:tc>
          <w:tcPr>
            <w:tcW w:w="865" w:type="pct"/>
            <w:tcBorders>
              <w:top w:val="single" w:sz="4" w:space="0" w:color="010000"/>
            </w:tcBorders>
            <w:vAlign w:val="center"/>
          </w:tcPr>
          <w:p>
            <w:pPr>
              <w:jc w:val="right"/>
            </w:pPr>
            <w:r/>
            <w:r>
              <w:rPr>
                <w:rFonts w:hint="eastAsia"/>
                <w:color w:val="000000"/>
                <w:sz w:val="21"/>
              </w:rPr>
              <w:t>126.6</w:t>
            </w:r>
          </w:p>
        </w:tc>
        <w:tc>
          <w:tcPr>
            <w:tcW w:w="769" w:type="pct"/>
            <w:tcBorders>
              <w:top w:val="single" w:sz="4" w:space="0" w:color="010000"/>
            </w:tcBorders>
            <w:vAlign w:val="center"/>
          </w:tcPr>
          <w:p>
            <w:pPr>
              <w:jc w:val="right"/>
            </w:pPr>
            <w:r/>
            <w:r>
              <w:rPr>
                <w:rFonts w:hint="eastAsia"/>
                <w:color w:val="000000"/>
                <w:sz w:val="21"/>
              </w:rPr>
              <w:t>71.4</w:t>
            </w:r>
          </w:p>
        </w:tc>
        <w:tc>
          <w:tcPr>
            <w:tcW w:w="865" w:type="pct"/>
            <w:tcBorders>
              <w:top w:val="single" w:sz="4" w:space="0" w:color="010000"/>
            </w:tcBorders>
            <w:vAlign w:val="center"/>
          </w:tcPr>
          <w:p>
            <w:pPr>
              <w:jc w:val="right"/>
            </w:pPr>
            <w:r/>
            <w:r>
              <w:rPr>
                <w:rFonts w:hint="eastAsia"/>
                <w:color w:val="000000"/>
                <w:sz w:val="21"/>
              </w:rPr>
              <w:t>291.8</w:t>
            </w:r>
          </w:p>
        </w:tc>
        <w:tc>
          <w:tcPr>
            <w:tcW w:w="769" w:type="pct"/>
            <w:tcBorders>
              <w:top w:val="single" w:sz="4" w:space="0" w:color="010000"/>
            </w:tcBorders>
            <w:vAlign w:val="center"/>
          </w:tcPr>
          <w:p>
            <w:pPr>
              <w:jc w:val="right"/>
            </w:pPr>
            <w:r/>
            <w:r>
              <w:rPr>
                <w:rFonts w:hint="eastAsia"/>
                <w:color w:val="000000"/>
                <w:sz w:val="21"/>
              </w:rPr>
              <w:t>80.3</w:t>
            </w:r>
          </w:p>
        </w:tc>
      </w:tr>
      <w:tr>
        <w:trPr>
          <w:cantSplit/>
          <w:jc w:val="center"/>
        </w:trPr>
        <w:tc>
          <w:tcPr>
            <w:tcW w:w="865" w:type="pct"/>
            <w:tcBorders>
              <w:top w:val="single" w:sz="4" w:space="0" w:color="010000"/>
            </w:tcBorders>
            <w:vAlign w:val="center"/>
          </w:tcPr>
          <w:p>
            <w:pPr>
              <w:jc w:val="left"/>
            </w:pPr>
            <w:r/>
            <w:r>
              <w:rPr>
                <w:rFonts w:hint="eastAsia"/>
                <w:color w:val="000000"/>
                <w:sz w:val="21"/>
              </w:rPr>
              <w:t>其中：非金属零部件</w:t>
            </w:r>
          </w:p>
        </w:tc>
        <w:tc>
          <w:tcPr>
            <w:tcW w:w="865" w:type="pct"/>
            <w:tcBorders>
              <w:top w:val="single" w:sz="4" w:space="0" w:color="010000"/>
            </w:tcBorders>
            <w:vAlign w:val="center"/>
          </w:tcPr>
          <w:p>
            <w:pPr>
              <w:jc w:val="right"/>
            </w:pPr>
            <w:r/>
            <w:r>
              <w:rPr>
                <w:rFonts w:hint="eastAsia"/>
                <w:color w:val="000000"/>
                <w:sz w:val="21"/>
              </w:rPr>
              <w:t>113.5</w:t>
            </w:r>
          </w:p>
        </w:tc>
        <w:tc>
          <w:tcPr>
            <w:tcW w:w="865" w:type="pct"/>
            <w:tcBorders>
              <w:top w:val="single" w:sz="4" w:space="0" w:color="010000"/>
            </w:tcBorders>
            <w:vAlign w:val="center"/>
          </w:tcPr>
          <w:p>
            <w:pPr>
              <w:jc w:val="right"/>
            </w:pPr>
            <w:r/>
            <w:r>
              <w:rPr>
                <w:rFonts w:hint="eastAsia"/>
                <w:color w:val="000000"/>
                <w:sz w:val="21"/>
              </w:rPr>
              <w:t>80.4</w:t>
            </w:r>
          </w:p>
        </w:tc>
        <w:tc>
          <w:tcPr>
            <w:tcW w:w="769" w:type="pct"/>
            <w:tcBorders>
              <w:top w:val="single" w:sz="4" w:space="0" w:color="010000"/>
            </w:tcBorders>
            <w:vAlign w:val="center"/>
          </w:tcPr>
          <w:p>
            <w:pPr>
              <w:jc w:val="right"/>
            </w:pPr>
            <w:r/>
            <w:r>
              <w:rPr>
                <w:rFonts w:hint="eastAsia"/>
                <w:color w:val="000000"/>
                <w:sz w:val="21"/>
              </w:rPr>
              <w:t>70.8</w:t>
            </w:r>
          </w:p>
        </w:tc>
        <w:tc>
          <w:tcPr>
            <w:tcW w:w="865" w:type="pct"/>
            <w:tcBorders>
              <w:top w:val="single" w:sz="4" w:space="0" w:color="010000"/>
            </w:tcBorders>
            <w:vAlign w:val="center"/>
          </w:tcPr>
          <w:p>
            <w:pPr>
              <w:jc w:val="right"/>
            </w:pPr>
            <w:r/>
            <w:r>
              <w:rPr>
                <w:rFonts w:hint="eastAsia"/>
                <w:color w:val="000000"/>
                <w:sz w:val="21"/>
              </w:rPr>
              <w:t>212.0</w:t>
            </w:r>
          </w:p>
        </w:tc>
        <w:tc>
          <w:tcPr>
            <w:tcW w:w="769" w:type="pct"/>
            <w:tcBorders>
              <w:top w:val="single" w:sz="4" w:space="0" w:color="010000"/>
            </w:tcBorders>
            <w:vAlign w:val="center"/>
          </w:tcPr>
          <w:p>
            <w:pPr>
              <w:jc w:val="right"/>
            </w:pPr>
            <w:r/>
            <w:r>
              <w:rPr>
                <w:rFonts w:hint="eastAsia"/>
                <w:color w:val="000000"/>
                <w:sz w:val="21"/>
              </w:rPr>
              <w:t>80.7</w:t>
            </w:r>
          </w:p>
        </w:tc>
      </w:tr>
      <w:tr>
        <w:trPr>
          <w:cantSplit/>
          <w:jc w:val="center"/>
        </w:trPr>
        <w:tc>
          <w:tcPr>
            <w:tcW w:w="865" w:type="pct"/>
            <w:tcBorders>
              <w:top w:val="single" w:sz="4" w:space="0" w:color="010000"/>
            </w:tcBorders>
            <w:vAlign w:val="center"/>
          </w:tcPr>
          <w:p>
            <w:pPr>
              <w:jc w:val="left"/>
            </w:pPr>
            <w:r/>
            <w:r>
              <w:rPr>
                <w:rFonts w:hint="eastAsia"/>
                <w:color w:val="000000"/>
                <w:sz w:val="21"/>
              </w:rPr>
              <w:t>硅零部件</w:t>
            </w:r>
          </w:p>
        </w:tc>
        <w:tc>
          <w:tcPr>
            <w:tcW w:w="865" w:type="pct"/>
            <w:tcBorders>
              <w:top w:val="single" w:sz="4" w:space="0" w:color="010000"/>
            </w:tcBorders>
            <w:vAlign w:val="center"/>
          </w:tcPr>
          <w:p>
            <w:pPr>
              <w:jc w:val="right"/>
            </w:pPr>
            <w:r/>
            <w:r>
              <w:rPr>
                <w:rFonts w:hint="eastAsia"/>
                <w:color w:val="000000"/>
                <w:sz w:val="21"/>
              </w:rPr>
              <w:t>43.8</w:t>
            </w:r>
          </w:p>
        </w:tc>
        <w:tc>
          <w:tcPr>
            <w:tcW w:w="865" w:type="pct"/>
            <w:tcBorders>
              <w:top w:val="single" w:sz="4" w:space="0" w:color="010000"/>
            </w:tcBorders>
            <w:vAlign w:val="center"/>
          </w:tcPr>
          <w:p>
            <w:pPr>
              <w:jc w:val="right"/>
            </w:pPr>
            <w:r/>
            <w:r>
              <w:rPr>
                <w:rFonts w:hint="eastAsia"/>
                <w:color w:val="000000"/>
                <w:sz w:val="21"/>
              </w:rPr>
              <w:t>35.7</w:t>
            </w:r>
          </w:p>
        </w:tc>
        <w:tc>
          <w:tcPr>
            <w:tcW w:w="769" w:type="pct"/>
            <w:tcBorders>
              <w:top w:val="single" w:sz="4" w:space="0" w:color="010000"/>
            </w:tcBorders>
            <w:vAlign w:val="center"/>
          </w:tcPr>
          <w:p>
            <w:pPr>
              <w:jc w:val="right"/>
            </w:pPr>
            <w:r/>
            <w:r>
              <w:rPr>
                <w:rFonts w:hint="eastAsia"/>
                <w:color w:val="000000"/>
                <w:sz w:val="21"/>
              </w:rPr>
              <w:t>81.6</w:t>
            </w:r>
          </w:p>
        </w:tc>
        <w:tc>
          <w:tcPr>
            <w:tcW w:w="865" w:type="pct"/>
            <w:tcBorders>
              <w:top w:val="single" w:sz="4" w:space="0" w:color="010000"/>
            </w:tcBorders>
            <w:vAlign w:val="center"/>
          </w:tcPr>
          <w:p>
            <w:pPr>
              <w:jc w:val="right"/>
            </w:pPr>
            <w:r/>
            <w:r>
              <w:rPr>
                <w:rFonts w:hint="eastAsia"/>
                <w:color w:val="000000"/>
                <w:sz w:val="21"/>
              </w:rPr>
              <w:t>96.9</w:t>
            </w:r>
          </w:p>
        </w:tc>
        <w:tc>
          <w:tcPr>
            <w:tcW w:w="769" w:type="pct"/>
            <w:tcBorders>
              <w:top w:val="single" w:sz="4" w:space="0" w:color="010000"/>
            </w:tcBorders>
            <w:vAlign w:val="center"/>
          </w:tcPr>
          <w:p>
            <w:pPr>
              <w:jc w:val="right"/>
            </w:pPr>
            <w:r/>
            <w:r>
              <w:rPr>
                <w:rFonts w:hint="eastAsia"/>
                <w:color w:val="000000"/>
                <w:sz w:val="21"/>
              </w:rPr>
              <w:t>89.22</w:t>
            </w:r>
          </w:p>
        </w:tc>
      </w:tr>
      <w:tr>
        <w:trPr>
          <w:cantSplit/>
          <w:jc w:val="center"/>
        </w:trPr>
        <w:tc>
          <w:tcPr>
            <w:tcW w:w="865" w:type="pct"/>
            <w:tcBorders>
              <w:top w:val="single" w:sz="4" w:space="0" w:color="010000"/>
            </w:tcBorders>
            <w:vAlign w:val="center"/>
          </w:tcPr>
          <w:p>
            <w:pPr>
              <w:jc w:val="left"/>
            </w:pPr>
            <w:r/>
            <w:r>
              <w:rPr>
                <w:rFonts w:hint="eastAsia"/>
                <w:color w:val="000000"/>
                <w:sz w:val="21"/>
              </w:rPr>
              <w:t>石英零部件</w:t>
            </w:r>
          </w:p>
        </w:tc>
        <w:tc>
          <w:tcPr>
            <w:tcW w:w="865" w:type="pct"/>
            <w:tcBorders>
              <w:top w:val="single" w:sz="4" w:space="0" w:color="010000"/>
            </w:tcBorders>
            <w:vAlign w:val="center"/>
          </w:tcPr>
          <w:p>
            <w:pPr>
              <w:jc w:val="right"/>
            </w:pPr>
            <w:r/>
            <w:r>
              <w:rPr>
                <w:rFonts w:hint="eastAsia"/>
                <w:color w:val="000000"/>
                <w:sz w:val="21"/>
              </w:rPr>
              <w:t>34.8</w:t>
            </w:r>
          </w:p>
        </w:tc>
        <w:tc>
          <w:tcPr>
            <w:tcW w:w="865" w:type="pct"/>
            <w:tcBorders>
              <w:top w:val="single" w:sz="4" w:space="0" w:color="010000"/>
            </w:tcBorders>
            <w:vAlign w:val="center"/>
          </w:tcPr>
          <w:p>
            <w:pPr>
              <w:jc w:val="right"/>
            </w:pPr>
            <w:r/>
            <w:r>
              <w:rPr>
                <w:rFonts w:hint="eastAsia"/>
                <w:color w:val="000000"/>
                <w:sz w:val="21"/>
              </w:rPr>
              <w:t>22.7</w:t>
            </w:r>
          </w:p>
        </w:tc>
        <w:tc>
          <w:tcPr>
            <w:tcW w:w="769" w:type="pct"/>
            <w:tcBorders>
              <w:top w:val="single" w:sz="4" w:space="0" w:color="010000"/>
            </w:tcBorders>
            <w:vAlign w:val="center"/>
          </w:tcPr>
          <w:p>
            <w:pPr>
              <w:jc w:val="right"/>
            </w:pPr>
            <w:r/>
            <w:r>
              <w:rPr>
                <w:rFonts w:hint="eastAsia"/>
                <w:color w:val="000000"/>
                <w:sz w:val="21"/>
              </w:rPr>
              <w:t>65.3</w:t>
            </w:r>
          </w:p>
        </w:tc>
        <w:tc>
          <w:tcPr>
            <w:tcW w:w="865" w:type="pct"/>
            <w:tcBorders>
              <w:top w:val="single" w:sz="4" w:space="0" w:color="010000"/>
            </w:tcBorders>
            <w:vAlign w:val="center"/>
          </w:tcPr>
          <w:p>
            <w:pPr>
              <w:jc w:val="right"/>
            </w:pPr>
            <w:r/>
            <w:r>
              <w:rPr>
                <w:rFonts w:hint="eastAsia"/>
                <w:color w:val="000000"/>
                <w:sz w:val="21"/>
              </w:rPr>
              <w:t>56.5</w:t>
            </w:r>
          </w:p>
        </w:tc>
        <w:tc>
          <w:tcPr>
            <w:tcW w:w="769" w:type="pct"/>
            <w:tcBorders>
              <w:top w:val="single" w:sz="4" w:space="0" w:color="010000"/>
            </w:tcBorders>
            <w:vAlign w:val="center"/>
          </w:tcPr>
          <w:p>
            <w:pPr>
              <w:jc w:val="right"/>
            </w:pPr>
            <w:r/>
            <w:r>
              <w:rPr>
                <w:rFonts w:hint="eastAsia"/>
                <w:color w:val="000000"/>
                <w:sz w:val="21"/>
              </w:rPr>
              <w:t>75.9</w:t>
            </w:r>
          </w:p>
        </w:tc>
      </w:tr>
      <w:tr>
        <w:trPr>
          <w:cantSplit/>
          <w:jc w:val="center"/>
        </w:trPr>
        <w:tc>
          <w:tcPr>
            <w:tcW w:w="865" w:type="pct"/>
            <w:tcBorders>
              <w:top w:val="single" w:sz="4" w:space="0" w:color="010000"/>
            </w:tcBorders>
            <w:vAlign w:val="center"/>
          </w:tcPr>
          <w:p>
            <w:pPr>
              <w:jc w:val="left"/>
            </w:pPr>
            <w:r/>
            <w:r>
              <w:rPr>
                <w:rFonts w:hint="eastAsia"/>
                <w:color w:val="000000"/>
                <w:sz w:val="21"/>
              </w:rPr>
              <w:t>陶瓷零部件</w:t>
            </w:r>
          </w:p>
        </w:tc>
        <w:tc>
          <w:tcPr>
            <w:tcW w:w="865" w:type="pct"/>
            <w:tcBorders>
              <w:top w:val="single" w:sz="4" w:space="0" w:color="010000"/>
            </w:tcBorders>
            <w:vAlign w:val="center"/>
          </w:tcPr>
          <w:p>
            <w:pPr>
              <w:jc w:val="right"/>
            </w:pPr>
            <w:r/>
            <w:r>
              <w:rPr>
                <w:rFonts w:hint="eastAsia"/>
                <w:color w:val="000000"/>
                <w:sz w:val="21"/>
              </w:rPr>
              <w:t>29.4</w:t>
            </w:r>
          </w:p>
        </w:tc>
        <w:tc>
          <w:tcPr>
            <w:tcW w:w="865" w:type="pct"/>
            <w:tcBorders>
              <w:top w:val="single" w:sz="4" w:space="0" w:color="010000"/>
            </w:tcBorders>
            <w:vAlign w:val="center"/>
          </w:tcPr>
          <w:p>
            <w:pPr>
              <w:jc w:val="right"/>
            </w:pPr>
            <w:r/>
            <w:r>
              <w:rPr>
                <w:rFonts w:hint="eastAsia"/>
                <w:color w:val="000000"/>
                <w:sz w:val="21"/>
              </w:rPr>
              <w:t>19.3</w:t>
            </w:r>
          </w:p>
        </w:tc>
        <w:tc>
          <w:tcPr>
            <w:tcW w:w="769" w:type="pct"/>
            <w:tcBorders>
              <w:top w:val="single" w:sz="4" w:space="0" w:color="010000"/>
            </w:tcBorders>
            <w:vAlign w:val="center"/>
          </w:tcPr>
          <w:p>
            <w:pPr>
              <w:jc w:val="right"/>
            </w:pPr>
            <w:r/>
            <w:r>
              <w:rPr>
                <w:rFonts w:hint="eastAsia"/>
                <w:color w:val="000000"/>
                <w:sz w:val="21"/>
              </w:rPr>
              <w:t>65.6</w:t>
            </w:r>
          </w:p>
        </w:tc>
        <w:tc>
          <w:tcPr>
            <w:tcW w:w="865" w:type="pct"/>
            <w:tcBorders>
              <w:top w:val="single" w:sz="4" w:space="0" w:color="010000"/>
            </w:tcBorders>
            <w:vAlign w:val="center"/>
          </w:tcPr>
          <w:p>
            <w:pPr>
              <w:jc w:val="right"/>
            </w:pPr>
            <w:r/>
            <w:r>
              <w:rPr>
                <w:rFonts w:hint="eastAsia"/>
                <w:color w:val="000000"/>
                <w:sz w:val="21"/>
              </w:rPr>
              <w:t>52.5</w:t>
            </w:r>
          </w:p>
        </w:tc>
        <w:tc>
          <w:tcPr>
            <w:tcW w:w="769" w:type="pct"/>
            <w:tcBorders>
              <w:top w:val="single" w:sz="4" w:space="0" w:color="010000"/>
            </w:tcBorders>
            <w:vAlign w:val="center"/>
          </w:tcPr>
          <w:p>
            <w:pPr>
              <w:jc w:val="right"/>
            </w:pPr>
            <w:r/>
            <w:r>
              <w:rPr>
                <w:rFonts w:hint="eastAsia"/>
                <w:color w:val="000000"/>
                <w:sz w:val="21"/>
              </w:rPr>
              <w:t>75.3</w:t>
            </w:r>
          </w:p>
        </w:tc>
      </w:tr>
    </w:tbl>
    <w:p>
      <w:pPr>
        <w:pStyle w:val="a6"/>
        <w:jc w:val="center"/>
      </w:pPr>
      <w:r>
        <w:rPr>
          <w:rFonts w:hint="eastAsia"/>
          <w:sz w:val="11"/>
          <w:szCs w:val="11"/>
        </w:rPr>
        <w:t>资料来源：臻宝科技招股说明书（注册稿），本报告整理。注：数据发布机构为弗若斯特沙利文；2029年数据为该机构预测值；占比为该机构列示值，与按表中金额直接相除存在小数点后的舍入差异。</w:t>
      </w:r>
    </w:p>
    <w:p>
      <w:pPr>
        <w:pStyle w:val="3"/>
        <w:numPr>
          <w:ilvl w:val="0"/>
          <w:numId w:val="0"/>
        </w:numPr>
        <w:spacing w:before="156" w:after="156"/>
      </w:pPr>
      <w:bookmarkStart w:id="1012" w:name="_Toc900012"/>
      <w:r>
        <w:rPr>
          <w:rFonts w:hint="eastAsia"/>
        </w:rPr>
        <w:t>3.3 与无锡金源产品对应的细分品类</w:t>
      </w:r>
      <w:bookmarkEnd w:id="1012"/>
    </w:p>
    <w:p>
      <w:pPr>
        <w:pStyle w:val="a0"/>
      </w:pPr>
      <w:r>
        <w:rPr>
          <w:rFonts w:hint="eastAsia"/>
        </w:rPr>
        <w:t>无锡金源的精密气体喷头与加热盘，在公开统计中分别对应刻蚀设备用气体分配盘与半导体陶瓷加热器两个细分品类，两者均有第三方机构的独立规模统计。</w:t>
      </w:r>
    </w:p>
    <w:p>
      <w:pPr>
        <w:keepNext/>
        <w:jc w:val="center"/>
      </w:pPr>
      <w:r>
        <w:rPr>
          <w:rFonts w:hint="eastAsia"/>
          <w:b/>
          <w:sz w:val="21"/>
        </w:rPr>
        <w:t>表4  与无锡金源产品对应的细分品类规模与竞争格局</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873" w:type="pct"/>
            <w:tcBorders>
              <w:top w:val="single" w:sz="12" w:space="0" w:color="010000"/>
              <w:bottom w:val="single" w:sz="4" w:space="0" w:color="010000"/>
            </w:tcBorders>
            <w:vAlign w:val="center"/>
          </w:tcPr>
          <w:p>
            <w:pPr>
              <w:keepNext/>
              <w:jc w:val="center"/>
            </w:pPr>
            <w:r/>
            <w:r>
              <w:rPr>
                <w:rFonts w:hint="eastAsia"/>
                <w:b/>
                <w:color w:val="000000"/>
                <w:sz w:val="21"/>
              </w:rPr>
              <w:t>细分品类</w:t>
            </w:r>
          </w:p>
        </w:tc>
        <w:tc>
          <w:tcPr>
            <w:tcW w:w="1349" w:type="pct"/>
            <w:tcBorders>
              <w:top w:val="single" w:sz="12" w:space="0" w:color="010000"/>
              <w:bottom w:val="single" w:sz="4" w:space="0" w:color="010000"/>
            </w:tcBorders>
            <w:vAlign w:val="center"/>
          </w:tcPr>
          <w:p>
            <w:pPr>
              <w:keepNext/>
              <w:jc w:val="center"/>
            </w:pPr>
            <w:r/>
            <w:r>
              <w:rPr>
                <w:rFonts w:hint="eastAsia"/>
                <w:b/>
                <w:color w:val="000000"/>
                <w:sz w:val="21"/>
              </w:rPr>
              <w:t>功能</w:t>
            </w:r>
          </w:p>
        </w:tc>
        <w:tc>
          <w:tcPr>
            <w:tcW w:w="1190" w:type="pct"/>
            <w:tcBorders>
              <w:top w:val="single" w:sz="12" w:space="0" w:color="010000"/>
              <w:bottom w:val="single" w:sz="4" w:space="0" w:color="010000"/>
            </w:tcBorders>
            <w:vAlign w:val="center"/>
          </w:tcPr>
          <w:p>
            <w:pPr>
              <w:keepNext/>
              <w:jc w:val="center"/>
            </w:pPr>
            <w:r/>
            <w:r>
              <w:rPr>
                <w:rFonts w:hint="eastAsia"/>
                <w:b/>
                <w:color w:val="000000"/>
                <w:sz w:val="21"/>
              </w:rPr>
              <w:t>市场规模</w:t>
            </w:r>
          </w:p>
        </w:tc>
        <w:tc>
          <w:tcPr>
            <w:tcW w:w="1587" w:type="pct"/>
            <w:tcBorders>
              <w:top w:val="single" w:sz="12" w:space="0" w:color="010000"/>
              <w:bottom w:val="single" w:sz="4" w:space="0" w:color="010000"/>
            </w:tcBorders>
            <w:vAlign w:val="center"/>
          </w:tcPr>
          <w:p>
            <w:pPr>
              <w:keepNext/>
              <w:jc w:val="center"/>
            </w:pPr>
            <w:r/>
            <w:r>
              <w:rPr>
                <w:rFonts w:hint="eastAsia"/>
                <w:b/>
                <w:color w:val="000000"/>
                <w:sz w:val="21"/>
              </w:rPr>
              <w:t>竞争格局</w:t>
            </w:r>
          </w:p>
        </w:tc>
      </w:tr>
      <w:tr>
        <w:trPr>
          <w:cantSplit/>
          <w:jc w:val="center"/>
        </w:trPr>
        <w:tc>
          <w:tcPr>
            <w:tcW w:w="873" w:type="pct"/>
            <w:tcBorders>
              <w:top w:val="single" w:sz="4" w:space="0" w:color="010000"/>
            </w:tcBorders>
            <w:vAlign w:val="center"/>
          </w:tcPr>
          <w:p>
            <w:pPr>
              <w:jc w:val="left"/>
            </w:pPr>
            <w:r/>
            <w:r>
              <w:rPr>
                <w:rFonts w:hint="eastAsia"/>
                <w:color w:val="000000"/>
                <w:sz w:val="21"/>
              </w:rPr>
              <w:t>刻蚀设备用气体分配盘（含硅、金属、碳化硅材质）</w:t>
            </w:r>
          </w:p>
        </w:tc>
        <w:tc>
          <w:tcPr>
            <w:tcW w:w="1349" w:type="pct"/>
            <w:tcBorders>
              <w:top w:val="single" w:sz="4" w:space="0" w:color="010000"/>
            </w:tcBorders>
            <w:vAlign w:val="center"/>
          </w:tcPr>
          <w:p>
            <w:pPr>
              <w:jc w:val="left"/>
            </w:pPr>
            <w:r/>
            <w:r>
              <w:rPr>
                <w:rFonts w:hint="eastAsia"/>
                <w:color w:val="000000"/>
                <w:sz w:val="21"/>
              </w:rPr>
              <w:t>刻蚀工艺气体进入反应腔体的通道，控制工艺气体分布的均匀性，直接影响工艺精度和晶圆良率</w:t>
            </w:r>
          </w:p>
        </w:tc>
        <w:tc>
          <w:tcPr>
            <w:tcW w:w="1190" w:type="pct"/>
            <w:tcBorders>
              <w:top w:val="single" w:sz="4" w:space="0" w:color="010000"/>
            </w:tcBorders>
            <w:vAlign w:val="center"/>
          </w:tcPr>
          <w:p>
            <w:pPr>
              <w:jc w:val="left"/>
            </w:pPr>
            <w:r/>
            <w:r>
              <w:rPr>
                <w:rFonts w:hint="eastAsia"/>
                <w:color w:val="000000"/>
                <w:sz w:val="21"/>
              </w:rPr>
              <w:t>2023年全球销售额9.44亿美元，预计2030年达15.44亿美元，年复合增长率7.0%</w:t>
            </w:r>
          </w:p>
        </w:tc>
        <w:tc>
          <w:tcPr>
            <w:tcW w:w="1587" w:type="pct"/>
            <w:tcBorders>
              <w:top w:val="single" w:sz="4" w:space="0" w:color="010000"/>
            </w:tcBorders>
            <w:vAlign w:val="center"/>
          </w:tcPr>
          <w:p>
            <w:pPr>
              <w:jc w:val="left"/>
            </w:pPr>
            <w:r/>
            <w:r>
              <w:rPr>
                <w:rFonts w:hint="eastAsia"/>
                <w:color w:val="000000"/>
                <w:sz w:val="21"/>
              </w:rPr>
              <w:t>全球主要由日系、韩系制造商主导，国内尚无稳定量产企业</w:t>
            </w:r>
          </w:p>
        </w:tc>
      </w:tr>
      <w:tr>
        <w:trPr>
          <w:cantSplit/>
          <w:jc w:val="center"/>
        </w:trPr>
        <w:tc>
          <w:tcPr>
            <w:tcW w:w="873" w:type="pct"/>
            <w:tcBorders>
              <w:top w:val="single" w:sz="4" w:space="0" w:color="010000"/>
            </w:tcBorders>
            <w:vAlign w:val="center"/>
          </w:tcPr>
          <w:p>
            <w:pPr>
              <w:jc w:val="left"/>
            </w:pPr>
            <w:r/>
            <w:r>
              <w:rPr>
                <w:rFonts w:hint="eastAsia"/>
                <w:color w:val="000000"/>
                <w:sz w:val="21"/>
              </w:rPr>
              <w:t>半导体陶瓷加热器（氮化铝）</w:t>
            </w:r>
          </w:p>
        </w:tc>
        <w:tc>
          <w:tcPr>
            <w:tcW w:w="1349" w:type="pct"/>
            <w:tcBorders>
              <w:top w:val="single" w:sz="4" w:space="0" w:color="010000"/>
            </w:tcBorders>
            <w:vAlign w:val="center"/>
          </w:tcPr>
          <w:p>
            <w:pPr>
              <w:jc w:val="left"/>
            </w:pPr>
            <w:r/>
            <w:r>
              <w:rPr>
                <w:rFonts w:hint="eastAsia"/>
                <w:color w:val="000000"/>
                <w:sz w:val="21"/>
              </w:rPr>
              <w:t>与晶圆直接接触，承载晶圆并控制温度均匀性和稳定性，优化材料沉积或刻蚀均匀度，为薄膜沉积设备中的关键零部件</w:t>
            </w:r>
          </w:p>
        </w:tc>
        <w:tc>
          <w:tcPr>
            <w:tcW w:w="1190" w:type="pct"/>
            <w:tcBorders>
              <w:top w:val="single" w:sz="4" w:space="0" w:color="010000"/>
            </w:tcBorders>
            <w:vAlign w:val="center"/>
          </w:tcPr>
          <w:p>
            <w:pPr>
              <w:jc w:val="left"/>
            </w:pPr>
            <w:r/>
            <w:r>
              <w:rPr>
                <w:rFonts w:hint="eastAsia"/>
                <w:color w:val="000000"/>
                <w:sz w:val="21"/>
              </w:rPr>
              <w:t>2023年全球市场规模约14.28亿美元，预计2030年达21.56亿美元，2024至2030年年复合增长率6.2%</w:t>
            </w:r>
          </w:p>
        </w:tc>
        <w:tc>
          <w:tcPr>
            <w:tcW w:w="1587" w:type="pct"/>
            <w:tcBorders>
              <w:top w:val="single" w:sz="4" w:space="0" w:color="010000"/>
            </w:tcBorders>
            <w:vAlign w:val="center"/>
          </w:tcPr>
          <w:p>
            <w:pPr>
              <w:jc w:val="left"/>
            </w:pPr>
            <w:r/>
            <w:r>
              <w:rPr>
                <w:rFonts w:hint="eastAsia"/>
                <w:color w:val="000000"/>
                <w:sz w:val="21"/>
              </w:rPr>
              <w:t>主要由日系制造商主导，包括日本NGK／NTK、Sumitomo Electric等；国内产业化程度较低，国产化率不足10%，具备稳定量产能力的企业较少</w:t>
            </w:r>
          </w:p>
        </w:tc>
      </w:tr>
      <w:tr>
        <w:trPr>
          <w:cantSplit/>
          <w:jc w:val="center"/>
        </w:trPr>
        <w:tc>
          <w:tcPr>
            <w:tcW w:w="873" w:type="pct"/>
            <w:tcBorders>
              <w:top w:val="single" w:sz="4" w:space="0" w:color="010000"/>
            </w:tcBorders>
            <w:vAlign w:val="center"/>
          </w:tcPr>
          <w:p>
            <w:pPr>
              <w:jc w:val="left"/>
            </w:pPr>
            <w:r/>
            <w:r>
              <w:rPr>
                <w:rFonts w:hint="eastAsia"/>
                <w:color w:val="000000"/>
                <w:sz w:val="21"/>
              </w:rPr>
              <w:t>静电卡盘</w:t>
            </w:r>
          </w:p>
        </w:tc>
        <w:tc>
          <w:tcPr>
            <w:tcW w:w="1349" w:type="pct"/>
            <w:tcBorders>
              <w:top w:val="single" w:sz="4" w:space="0" w:color="010000"/>
            </w:tcBorders>
            <w:vAlign w:val="center"/>
          </w:tcPr>
          <w:p>
            <w:pPr>
              <w:jc w:val="left"/>
            </w:pPr>
            <w:r/>
            <w:r>
              <w:rPr>
                <w:rFonts w:hint="eastAsia"/>
                <w:color w:val="000000"/>
                <w:sz w:val="21"/>
              </w:rPr>
              <w:t>承载并吸附晶圆，与加热部件配合实现温控</w:t>
            </w:r>
          </w:p>
        </w:tc>
        <w:tc>
          <w:tcPr>
            <w:tcW w:w="1190" w:type="pct"/>
            <w:tcBorders>
              <w:top w:val="single" w:sz="4" w:space="0" w:color="010000"/>
            </w:tcBorders>
            <w:vAlign w:val="center"/>
          </w:tcPr>
          <w:p>
            <w:pPr>
              <w:jc w:val="left"/>
            </w:pPr>
            <w:r/>
            <w:r>
              <w:rPr>
                <w:rFonts w:hint="eastAsia"/>
                <w:color w:val="000000"/>
                <w:sz w:val="21"/>
              </w:rPr>
              <w:t>2022年全球销售额17.9亿美元，预计2028年增至24.1亿美元</w:t>
            </w:r>
          </w:p>
        </w:tc>
        <w:tc>
          <w:tcPr>
            <w:tcW w:w="1587" w:type="pct"/>
            <w:tcBorders>
              <w:top w:val="single" w:sz="4" w:space="0" w:color="010000"/>
            </w:tcBorders>
            <w:vAlign w:val="center"/>
          </w:tcPr>
          <w:p>
            <w:pPr>
              <w:jc w:val="left"/>
            </w:pPr>
            <w:r/>
            <w:r>
              <w:rPr>
                <w:rFonts w:hint="eastAsia"/>
                <w:color w:val="000000"/>
                <w:sz w:val="21"/>
              </w:rPr>
              <w:t>—</w:t>
            </w:r>
          </w:p>
        </w:tc>
      </w:tr>
    </w:tbl>
    <w:p>
      <w:pPr>
        <w:pStyle w:val="a6"/>
        <w:jc w:val="center"/>
      </w:pPr>
      <w:r>
        <w:rPr>
          <w:rFonts w:hint="eastAsia"/>
          <w:sz w:val="11"/>
          <w:szCs w:val="11"/>
        </w:rPr>
        <w:t>资料来源：臻宝科技招股说明书（注册稿），本报告整理。注：三个品类的数据发布机构均为QY Research（QYR）。静电卡盘为相邻品类，列示供参照。</w:t>
      </w:r>
    </w:p>
    <w:p>
      <w:pPr>
        <w:keepNext/>
        <w:jc w:val="center"/>
      </w:pPr>
      <w:r>
        <w:drawing>
          <wp:inline xmlns:a="http://schemas.openxmlformats.org/drawingml/2006/main" xmlns:pic="http://schemas.openxmlformats.org/drawingml/2006/picture">
            <wp:extent cx="5074920" cy="2537460"/>
            <wp:docPr id="2" name="Picture 2"/>
            <wp:cNvGraphicFramePr>
              <a:graphicFrameLocks noChangeAspect="1"/>
            </wp:cNvGraphicFramePr>
            <a:graphic>
              <a:graphicData uri="http://schemas.openxmlformats.org/drawingml/2006/picture">
                <pic:pic>
                  <pic:nvPicPr>
                    <pic:cNvPr id="0" name="fig2_xifen.png"/>
                    <pic:cNvPicPr/>
                  </pic:nvPicPr>
                  <pic:blipFill>
                    <a:blip r:embed="rId17"/>
                    <a:stretch>
                      <a:fillRect/>
                    </a:stretch>
                  </pic:blipFill>
                  <pic:spPr>
                    <a:xfrm>
                      <a:off x="0" y="0"/>
                      <a:ext cx="5074920" cy="2537460"/>
                    </a:xfrm>
                    <a:prstGeom prst="rect"/>
                  </pic:spPr>
                </pic:pic>
              </a:graphicData>
            </a:graphic>
          </wp:inline>
        </w:drawing>
      </w:r>
    </w:p>
    <w:p>
      <w:pPr>
        <w:jc w:val="center"/>
      </w:pPr>
      <w:r>
        <w:rPr>
          <w:rFonts w:hint="eastAsia"/>
          <w:b/>
          <w:sz w:val="21"/>
        </w:rPr>
        <w:t>图2  与无锡金源产品对应的细分品类市场规模</w:t>
      </w:r>
    </w:p>
    <w:p>
      <w:pPr>
        <w:pStyle w:val="a6"/>
        <w:jc w:val="center"/>
      </w:pPr>
      <w:r>
        <w:rPr>
          <w:rFonts w:hint="eastAsia"/>
          <w:sz w:val="11"/>
          <w:szCs w:val="11"/>
        </w:rPr>
        <w:t>资料来源：臻宝科技招股说明书（注册稿），本报告整理。注：数据发布机构为QY Research；气体分配盘与陶瓷加热器基期为2023年，静电卡盘基期为2022年，预测期分别为2030年与2028年，三者时间口径不同，不作横向比较。</w:t>
      </w:r>
    </w:p>
    <w:p>
      <w:pPr>
        <w:pStyle w:val="a0"/>
      </w:pPr>
      <w:r>
        <w:rPr>
          <w:rFonts w:hint="eastAsia"/>
        </w:rPr>
        <w:t>碳化硅气体分配盘的导热性优于硅与石英材质，抗等离子体腐蚀能力更强，使用寿命为硅气体分配盘的2至4倍。</w:t>
      </w:r>
    </w:p>
    <w:p>
      <w:pPr>
        <w:pStyle w:val="3"/>
        <w:numPr>
          <w:ilvl w:val="0"/>
          <w:numId w:val="0"/>
        </w:numPr>
        <w:spacing w:before="156" w:after="156"/>
      </w:pPr>
      <w:bookmarkStart w:id="1013" w:name="_Toc900013"/>
      <w:r>
        <w:rPr>
          <w:rFonts w:hint="eastAsia"/>
        </w:rPr>
        <w:t>3.4 供应商国别结构与国产化进度</w:t>
      </w:r>
      <w:bookmarkEnd w:id="1013"/>
    </w:p>
    <w:p>
      <w:pPr>
        <w:pStyle w:val="a0"/>
      </w:pPr>
      <w:r>
        <w:rPr>
          <w:rFonts w:hint="eastAsia"/>
        </w:rPr>
        <w:t>该环节的全球供给长期由境外厂商主导。按IC World于2020年公开的20类半导体核心零部件产品的44家主要供应商数据，美国供应商20家、约占45%，日本供应商16家、约占36%，德国、瑞士、韩国各2家，英国1家，全部为境外供应商。按公开披露，近年国内本土核心零部件供应商的规模和实力增强，但与国际同行业相比差距仍然较大。</w:t>
      </w:r>
    </w:p>
    <w:p>
      <w:pPr>
        <w:pStyle w:val="3"/>
        <w:numPr>
          <w:ilvl w:val="0"/>
          <w:numId w:val="0"/>
        </w:numPr>
        <w:spacing w:before="156" w:after="156"/>
      </w:pPr>
      <w:bookmarkStart w:id="1014" w:name="_Toc900014"/>
      <w:r>
        <w:rPr>
          <w:rFonts w:hint="eastAsia"/>
        </w:rPr>
        <w:t>3.5 行业景气与2025年的变化</w:t>
      </w:r>
      <w:bookmarkEnd w:id="1014"/>
    </w:p>
    <w:p>
      <w:pPr>
        <w:pStyle w:val="a0"/>
      </w:pPr>
      <w:r>
        <w:rPr>
          <w:rFonts w:hint="eastAsia"/>
        </w:rPr>
        <w:t>2024年该环节增速较高。按公开披露数据，2024年中微公司刻蚀设备产量同比增长231.15%，先锋精科半导体设备零部件收入增速134.64%，珂玛科技半导体领域收入增速205.89%，富创精密半导体设备零部件收入增速55.59%。</w:t>
      </w:r>
    </w:p>
    <w:p>
      <w:pPr>
        <w:pStyle w:val="a0"/>
      </w:pPr>
      <w:r>
        <w:rPr>
          <w:rFonts w:hint="eastAsia"/>
        </w:rPr>
        <w:t>2025年增速出现分化。托伦斯2025年实现营业收入71,984.64万元、同比增长18.00%，增速较前期下滑；扣除非经常性损益后归母净利润9,353.12万元，较2024年略有减少，原因为2025年扩产导致整体产能利用率下降、主营业务毛利率同比下滑。交易所据此在审核中心意见落实函中要求其说明增速下滑原因、增速放缓仍持续扩产的考虑与产能消化风险，以及毛利率与经营利润是否存在进一步下滑的风险。</w:t>
      </w:r>
    </w:p>
    <w:p>
      <w:pPr>
        <w:pStyle w:val="2"/>
        <w:spacing w:before="156" w:after="156"/>
      </w:pPr>
      <w:bookmarkStart w:id="1015" w:name="_Toc900015"/>
      <w:r>
        <w:rPr>
          <w:rFonts w:hint="eastAsia"/>
          <w:b/>
        </w:rPr>
        <w:t>行业竞争格局</w:t>
      </w:r>
      <w:bookmarkEnd w:id="1015"/>
    </w:p>
    <w:p>
      <w:pPr>
        <w:pStyle w:val="3"/>
        <w:numPr>
          <w:ilvl w:val="0"/>
          <w:numId w:val="0"/>
        </w:numPr>
        <w:spacing w:before="156" w:after="156"/>
      </w:pPr>
      <w:bookmarkStart w:id="1016" w:name="_Toc900016"/>
      <w:r>
        <w:rPr>
          <w:rFonts w:hint="eastAsia"/>
        </w:rPr>
        <w:t>4.1 可比公司范围</w:t>
      </w:r>
      <w:bookmarkEnd w:id="1016"/>
    </w:p>
    <w:p>
      <w:pPr>
        <w:pStyle w:val="a0"/>
      </w:pPr>
      <w:r>
        <w:rPr>
          <w:rFonts w:hint="eastAsia"/>
        </w:rPr>
        <w:t>按公开披露，该环节的境内外可比公司为Ferrotec、京鼎精密、超科林、富创精密、先锋精科、珂玛科技、臻宝科技七家，上述名单经审核问询程序，可作为本环节竞争格局的参照。</w:t>
      </w:r>
    </w:p>
    <w:p>
      <w:pPr>
        <w:keepNext/>
        <w:jc w:val="center"/>
      </w:pPr>
      <w:r>
        <w:rPr>
          <w:rFonts w:hint="eastAsia"/>
          <w:b/>
          <w:sz w:val="21"/>
        </w:rPr>
        <w:t>表5  半导体设备零部件可比公司经营对比（2025年度，招股说明书列示口径）</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403"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1210" w:type="pct"/>
            <w:tcBorders>
              <w:top w:val="single" w:sz="12" w:space="0" w:color="010000"/>
              <w:bottom w:val="single" w:sz="4" w:space="0" w:color="010000"/>
            </w:tcBorders>
            <w:vAlign w:val="center"/>
          </w:tcPr>
          <w:p>
            <w:pPr>
              <w:keepNext/>
              <w:jc w:val="center"/>
            </w:pPr>
            <w:r/>
            <w:r>
              <w:rPr>
                <w:rFonts w:hint="eastAsia"/>
                <w:b/>
                <w:color w:val="000000"/>
                <w:sz w:val="21"/>
              </w:rPr>
              <w:t>可比细分产品</w:t>
            </w:r>
          </w:p>
        </w:tc>
        <w:tc>
          <w:tcPr>
            <w:tcW w:w="1613" w:type="pct"/>
            <w:tcBorders>
              <w:top w:val="single" w:sz="12" w:space="0" w:color="010000"/>
              <w:bottom w:val="single" w:sz="4" w:space="0" w:color="010000"/>
            </w:tcBorders>
            <w:vAlign w:val="center"/>
          </w:tcPr>
          <w:p>
            <w:pPr>
              <w:keepNext/>
              <w:jc w:val="center"/>
            </w:pPr>
            <w:r/>
            <w:r>
              <w:rPr>
                <w:rFonts w:hint="eastAsia"/>
                <w:b/>
                <w:color w:val="000000"/>
                <w:sz w:val="21"/>
              </w:rPr>
              <w:t>客户情况</w:t>
            </w:r>
          </w:p>
        </w:tc>
        <w:tc>
          <w:tcPr>
            <w:tcW w:w="605" w:type="pct"/>
            <w:tcBorders>
              <w:top w:val="single" w:sz="12" w:space="0" w:color="010000"/>
              <w:bottom w:val="single" w:sz="4" w:space="0" w:color="010000"/>
            </w:tcBorders>
            <w:vAlign w:val="center"/>
          </w:tcPr>
          <w:p>
            <w:pPr>
              <w:keepNext/>
              <w:jc w:val="center"/>
            </w:pPr>
            <w:r/>
            <w:r>
              <w:rPr>
                <w:rFonts w:hint="eastAsia"/>
                <w:b/>
                <w:color w:val="000000"/>
                <w:sz w:val="21"/>
              </w:rPr>
              <w:t>2025年营业收入（万元）</w:t>
            </w:r>
          </w:p>
        </w:tc>
        <w:tc>
          <w:tcPr>
            <w:tcW w:w="605" w:type="pct"/>
            <w:tcBorders>
              <w:top w:val="single" w:sz="12" w:space="0" w:color="010000"/>
              <w:bottom w:val="single" w:sz="4" w:space="0" w:color="010000"/>
            </w:tcBorders>
            <w:vAlign w:val="center"/>
          </w:tcPr>
          <w:p>
            <w:pPr>
              <w:keepNext/>
              <w:jc w:val="center"/>
            </w:pPr>
            <w:r/>
            <w:r>
              <w:rPr>
                <w:rFonts w:hint="eastAsia"/>
                <w:b/>
                <w:color w:val="000000"/>
                <w:sz w:val="21"/>
              </w:rPr>
              <w:t>2025年归母净利润（万元）</w:t>
            </w:r>
          </w:p>
        </w:tc>
        <w:tc>
          <w:tcPr>
            <w:tcW w:w="565" w:type="pct"/>
            <w:tcBorders>
              <w:top w:val="single" w:sz="12" w:space="0" w:color="010000"/>
              <w:bottom w:val="single" w:sz="4" w:space="0" w:color="010000"/>
            </w:tcBorders>
            <w:vAlign w:val="center"/>
          </w:tcPr>
          <w:p>
            <w:pPr>
              <w:keepNext/>
              <w:jc w:val="center"/>
            </w:pPr>
            <w:r/>
            <w:r>
              <w:rPr>
                <w:rFonts w:hint="eastAsia"/>
                <w:b/>
                <w:color w:val="000000"/>
                <w:sz w:val="21"/>
              </w:rPr>
              <w:t>2025年总资产（万元）</w:t>
            </w:r>
          </w:p>
        </w:tc>
      </w:tr>
      <w:tr>
        <w:trPr>
          <w:cantSplit/>
          <w:jc w:val="center"/>
        </w:trPr>
        <w:tc>
          <w:tcPr>
            <w:tcW w:w="403" w:type="pct"/>
            <w:tcBorders>
              <w:top w:val="single" w:sz="4" w:space="0" w:color="010000"/>
            </w:tcBorders>
            <w:vAlign w:val="center"/>
          </w:tcPr>
          <w:p>
            <w:pPr>
              <w:jc w:val="center"/>
            </w:pPr>
            <w:r/>
            <w:r>
              <w:rPr>
                <w:rFonts w:hint="eastAsia"/>
                <w:color w:val="000000"/>
                <w:sz w:val="21"/>
              </w:rPr>
              <w:t>超科林</w:t>
            </w:r>
          </w:p>
        </w:tc>
        <w:tc>
          <w:tcPr>
            <w:tcW w:w="1210" w:type="pct"/>
            <w:tcBorders>
              <w:top w:val="single" w:sz="4" w:space="0" w:color="010000"/>
            </w:tcBorders>
            <w:vAlign w:val="center"/>
          </w:tcPr>
          <w:p>
            <w:pPr>
              <w:jc w:val="left"/>
            </w:pPr>
            <w:r/>
            <w:r>
              <w:rPr>
                <w:rFonts w:hint="eastAsia"/>
                <w:color w:val="000000"/>
                <w:sz w:val="21"/>
              </w:rPr>
              <w:t>关键气体和流体输送子系统、组件和部件，超高纯度清洁和分析服务</w:t>
            </w:r>
          </w:p>
        </w:tc>
        <w:tc>
          <w:tcPr>
            <w:tcW w:w="1613" w:type="pct"/>
            <w:tcBorders>
              <w:top w:val="single" w:sz="4" w:space="0" w:color="010000"/>
            </w:tcBorders>
            <w:vAlign w:val="center"/>
          </w:tcPr>
          <w:p>
            <w:pPr>
              <w:jc w:val="left"/>
            </w:pPr>
            <w:r/>
            <w:r>
              <w:rPr>
                <w:rFonts w:hint="eastAsia"/>
                <w:color w:val="000000"/>
                <w:sz w:val="21"/>
              </w:rPr>
              <w:t>以国际性半导体设备企业为主，2024年新加坡、美国、澳大利亚及韩国地区收入占比超70%</w:t>
            </w:r>
          </w:p>
        </w:tc>
        <w:tc>
          <w:tcPr>
            <w:tcW w:w="605" w:type="pct"/>
            <w:tcBorders>
              <w:top w:val="single" w:sz="4" w:space="0" w:color="010000"/>
            </w:tcBorders>
            <w:vAlign w:val="center"/>
          </w:tcPr>
          <w:p>
            <w:pPr>
              <w:jc w:val="right"/>
            </w:pPr>
            <w:r/>
            <w:r>
              <w:rPr>
                <w:rFonts w:hint="eastAsia"/>
                <w:color w:val="000000"/>
                <w:sz w:val="21"/>
              </w:rPr>
              <w:t>1,443,715.52</w:t>
            </w:r>
          </w:p>
        </w:tc>
        <w:tc>
          <w:tcPr>
            <w:tcW w:w="605" w:type="pct"/>
            <w:tcBorders>
              <w:top w:val="single" w:sz="4" w:space="0" w:color="010000"/>
            </w:tcBorders>
            <w:vAlign w:val="center"/>
          </w:tcPr>
          <w:p>
            <w:pPr>
              <w:jc w:val="right"/>
            </w:pPr>
            <w:r/>
            <w:r>
              <w:rPr>
                <w:rFonts w:hint="eastAsia"/>
                <w:color w:val="000000"/>
                <w:sz w:val="21"/>
              </w:rPr>
              <w:t>-127,361.86</w:t>
            </w:r>
          </w:p>
        </w:tc>
        <w:tc>
          <w:tcPr>
            <w:tcW w:w="565" w:type="pct"/>
            <w:tcBorders>
              <w:top w:val="single" w:sz="4" w:space="0" w:color="010000"/>
            </w:tcBorders>
            <w:vAlign w:val="center"/>
          </w:tcPr>
          <w:p>
            <w:pPr>
              <w:jc w:val="right"/>
            </w:pPr>
            <w:r/>
            <w:r>
              <w:rPr>
                <w:rFonts w:hint="eastAsia"/>
                <w:color w:val="000000"/>
                <w:sz w:val="21"/>
              </w:rPr>
              <w:t>1,215,279.52</w:t>
            </w:r>
          </w:p>
        </w:tc>
      </w:tr>
      <w:tr>
        <w:trPr>
          <w:cantSplit/>
          <w:jc w:val="center"/>
        </w:trPr>
        <w:tc>
          <w:tcPr>
            <w:tcW w:w="403" w:type="pct"/>
            <w:tcBorders>
              <w:top w:val="single" w:sz="4" w:space="0" w:color="010000"/>
            </w:tcBorders>
            <w:vAlign w:val="center"/>
          </w:tcPr>
          <w:p>
            <w:pPr>
              <w:jc w:val="center"/>
            </w:pPr>
            <w:r/>
            <w:r>
              <w:rPr>
                <w:rFonts w:hint="eastAsia"/>
                <w:color w:val="000000"/>
                <w:sz w:val="21"/>
              </w:rPr>
              <w:t>京鼎精密</w:t>
            </w:r>
          </w:p>
        </w:tc>
        <w:tc>
          <w:tcPr>
            <w:tcW w:w="1210" w:type="pct"/>
            <w:tcBorders>
              <w:top w:val="single" w:sz="4" w:space="0" w:color="010000"/>
            </w:tcBorders>
            <w:vAlign w:val="center"/>
          </w:tcPr>
          <w:p>
            <w:pPr>
              <w:jc w:val="left"/>
            </w:pPr>
            <w:r/>
            <w:r>
              <w:rPr>
                <w:rFonts w:hint="eastAsia"/>
                <w:color w:val="000000"/>
                <w:sz w:val="21"/>
              </w:rPr>
              <w:t>半导体设备金属零部件，包括工艺零部件、结构零部件、模组等</w:t>
            </w:r>
          </w:p>
        </w:tc>
        <w:tc>
          <w:tcPr>
            <w:tcW w:w="1613" w:type="pct"/>
            <w:tcBorders>
              <w:top w:val="single" w:sz="4" w:space="0" w:color="010000"/>
            </w:tcBorders>
            <w:vAlign w:val="center"/>
          </w:tcPr>
          <w:p>
            <w:pPr>
              <w:jc w:val="left"/>
            </w:pPr>
            <w:r/>
            <w:r>
              <w:rPr>
                <w:rFonts w:hint="eastAsia"/>
                <w:color w:val="000000"/>
                <w:sz w:val="21"/>
              </w:rPr>
              <w:t>以国际性半导体设备企业为主，2024年美洲区域收入占比84.67%</w:t>
            </w:r>
          </w:p>
        </w:tc>
        <w:tc>
          <w:tcPr>
            <w:tcW w:w="605" w:type="pct"/>
            <w:tcBorders>
              <w:top w:val="single" w:sz="4" w:space="0" w:color="010000"/>
            </w:tcBorders>
            <w:vAlign w:val="center"/>
          </w:tcPr>
          <w:p>
            <w:pPr>
              <w:jc w:val="right"/>
            </w:pPr>
            <w:r/>
            <w:r>
              <w:rPr>
                <w:rFonts w:hint="eastAsia"/>
                <w:color w:val="000000"/>
                <w:sz w:val="21"/>
              </w:rPr>
              <w:t>451,847.19</w:t>
            </w:r>
          </w:p>
        </w:tc>
        <w:tc>
          <w:tcPr>
            <w:tcW w:w="605" w:type="pct"/>
            <w:tcBorders>
              <w:top w:val="single" w:sz="4" w:space="0" w:color="010000"/>
            </w:tcBorders>
            <w:vAlign w:val="center"/>
          </w:tcPr>
          <w:p>
            <w:pPr>
              <w:jc w:val="right"/>
            </w:pPr>
            <w:r/>
            <w:r>
              <w:rPr>
                <w:rFonts w:hint="eastAsia"/>
                <w:color w:val="000000"/>
                <w:sz w:val="21"/>
              </w:rPr>
              <w:t>52,405.81</w:t>
            </w:r>
          </w:p>
        </w:tc>
        <w:tc>
          <w:tcPr>
            <w:tcW w:w="565" w:type="pct"/>
            <w:tcBorders>
              <w:top w:val="single" w:sz="4" w:space="0" w:color="010000"/>
            </w:tcBorders>
            <w:vAlign w:val="center"/>
          </w:tcPr>
          <w:p>
            <w:pPr>
              <w:jc w:val="right"/>
            </w:pPr>
            <w:r/>
            <w:r>
              <w:rPr>
                <w:rFonts w:hint="eastAsia"/>
                <w:color w:val="000000"/>
                <w:sz w:val="21"/>
              </w:rPr>
              <w:t>612,009.27</w:t>
            </w:r>
          </w:p>
        </w:tc>
      </w:tr>
      <w:tr>
        <w:trPr>
          <w:cantSplit/>
          <w:jc w:val="center"/>
        </w:trPr>
        <w:tc>
          <w:tcPr>
            <w:tcW w:w="403" w:type="pct"/>
            <w:tcBorders>
              <w:top w:val="single" w:sz="4" w:space="0" w:color="010000"/>
            </w:tcBorders>
            <w:vAlign w:val="center"/>
          </w:tcPr>
          <w:p>
            <w:pPr>
              <w:jc w:val="center"/>
            </w:pPr>
            <w:r/>
            <w:r>
              <w:rPr>
                <w:rFonts w:hint="eastAsia"/>
                <w:color w:val="000000"/>
                <w:sz w:val="21"/>
              </w:rPr>
              <w:t>富创精密</w:t>
            </w:r>
          </w:p>
        </w:tc>
        <w:tc>
          <w:tcPr>
            <w:tcW w:w="1210" w:type="pct"/>
            <w:tcBorders>
              <w:top w:val="single" w:sz="4" w:space="0" w:color="010000"/>
            </w:tcBorders>
            <w:vAlign w:val="center"/>
          </w:tcPr>
          <w:p>
            <w:pPr>
              <w:jc w:val="left"/>
            </w:pPr>
            <w:r/>
            <w:r>
              <w:rPr>
                <w:rFonts w:hint="eastAsia"/>
                <w:color w:val="000000"/>
                <w:sz w:val="21"/>
              </w:rPr>
              <w:t>工艺零部件、结构零部件、模组产品和气体管路</w:t>
            </w:r>
          </w:p>
        </w:tc>
        <w:tc>
          <w:tcPr>
            <w:tcW w:w="1613" w:type="pct"/>
            <w:tcBorders>
              <w:top w:val="single" w:sz="4" w:space="0" w:color="010000"/>
            </w:tcBorders>
            <w:vAlign w:val="center"/>
          </w:tcPr>
          <w:p>
            <w:pPr>
              <w:jc w:val="left"/>
            </w:pPr>
            <w:r/>
            <w:r>
              <w:rPr>
                <w:rFonts w:hint="eastAsia"/>
                <w:color w:val="000000"/>
                <w:sz w:val="21"/>
              </w:rPr>
              <w:t>以半导体设备客户为主，包括客户A、北方华创、中微公司、拓荆科技</w:t>
            </w:r>
          </w:p>
        </w:tc>
        <w:tc>
          <w:tcPr>
            <w:tcW w:w="605" w:type="pct"/>
            <w:tcBorders>
              <w:top w:val="single" w:sz="4" w:space="0" w:color="010000"/>
            </w:tcBorders>
            <w:vAlign w:val="center"/>
          </w:tcPr>
          <w:p>
            <w:pPr>
              <w:jc w:val="right"/>
            </w:pPr>
            <w:r/>
            <w:r>
              <w:rPr>
                <w:rFonts w:hint="eastAsia"/>
                <w:color w:val="000000"/>
                <w:sz w:val="21"/>
              </w:rPr>
              <w:t>355,056.39</w:t>
            </w:r>
          </w:p>
        </w:tc>
        <w:tc>
          <w:tcPr>
            <w:tcW w:w="605" w:type="pct"/>
            <w:tcBorders>
              <w:top w:val="single" w:sz="4" w:space="0" w:color="010000"/>
            </w:tcBorders>
            <w:vAlign w:val="center"/>
          </w:tcPr>
          <w:p>
            <w:pPr>
              <w:jc w:val="right"/>
            </w:pPr>
            <w:r/>
            <w:r>
              <w:rPr>
                <w:rFonts w:hint="eastAsia"/>
                <w:color w:val="000000"/>
                <w:sz w:val="21"/>
              </w:rPr>
              <w:t>-934.09</w:t>
            </w:r>
          </w:p>
        </w:tc>
        <w:tc>
          <w:tcPr>
            <w:tcW w:w="565" w:type="pct"/>
            <w:tcBorders>
              <w:top w:val="single" w:sz="4" w:space="0" w:color="010000"/>
            </w:tcBorders>
            <w:vAlign w:val="center"/>
          </w:tcPr>
          <w:p>
            <w:pPr>
              <w:jc w:val="right"/>
            </w:pPr>
            <w:r/>
            <w:r>
              <w:rPr>
                <w:rFonts w:hint="eastAsia"/>
                <w:color w:val="000000"/>
                <w:sz w:val="21"/>
              </w:rPr>
              <w:t>892,857.60</w:t>
            </w:r>
          </w:p>
        </w:tc>
      </w:tr>
      <w:tr>
        <w:trPr>
          <w:cantSplit/>
          <w:jc w:val="center"/>
        </w:trPr>
        <w:tc>
          <w:tcPr>
            <w:tcW w:w="403" w:type="pct"/>
            <w:tcBorders>
              <w:top w:val="single" w:sz="4" w:space="0" w:color="010000"/>
            </w:tcBorders>
            <w:vAlign w:val="center"/>
          </w:tcPr>
          <w:p>
            <w:pPr>
              <w:jc w:val="center"/>
            </w:pPr>
            <w:r/>
            <w:r>
              <w:rPr>
                <w:rFonts w:hint="eastAsia"/>
                <w:color w:val="000000"/>
                <w:sz w:val="21"/>
              </w:rPr>
              <w:t>先锋精科</w:t>
            </w:r>
          </w:p>
        </w:tc>
        <w:tc>
          <w:tcPr>
            <w:tcW w:w="1210" w:type="pct"/>
            <w:tcBorders>
              <w:top w:val="single" w:sz="4" w:space="0" w:color="010000"/>
            </w:tcBorders>
            <w:vAlign w:val="center"/>
          </w:tcPr>
          <w:p>
            <w:pPr>
              <w:jc w:val="left"/>
            </w:pPr>
            <w:r/>
            <w:r>
              <w:rPr>
                <w:rFonts w:hint="eastAsia"/>
                <w:color w:val="000000"/>
                <w:sz w:val="21"/>
              </w:rPr>
              <w:t>关键工艺零部件、工艺零部件、结构零部件</w:t>
            </w:r>
          </w:p>
        </w:tc>
        <w:tc>
          <w:tcPr>
            <w:tcW w:w="1613" w:type="pct"/>
            <w:tcBorders>
              <w:top w:val="single" w:sz="4" w:space="0" w:color="010000"/>
            </w:tcBorders>
            <w:vAlign w:val="center"/>
          </w:tcPr>
          <w:p>
            <w:pPr>
              <w:jc w:val="left"/>
            </w:pPr>
            <w:r/>
            <w:r>
              <w:rPr>
                <w:rFonts w:hint="eastAsia"/>
                <w:color w:val="000000"/>
                <w:sz w:val="21"/>
              </w:rPr>
              <w:t>中微公司、北方华创、中芯国际、华海清科、拓荆科技、屹唐股份等</w:t>
            </w:r>
          </w:p>
        </w:tc>
        <w:tc>
          <w:tcPr>
            <w:tcW w:w="605" w:type="pct"/>
            <w:tcBorders>
              <w:top w:val="single" w:sz="4" w:space="0" w:color="010000"/>
            </w:tcBorders>
            <w:vAlign w:val="center"/>
          </w:tcPr>
          <w:p>
            <w:pPr>
              <w:jc w:val="right"/>
            </w:pPr>
            <w:r/>
            <w:r>
              <w:rPr>
                <w:rFonts w:hint="eastAsia"/>
                <w:color w:val="000000"/>
                <w:sz w:val="21"/>
              </w:rPr>
              <w:t>123,772.76</w:t>
            </w:r>
          </w:p>
        </w:tc>
        <w:tc>
          <w:tcPr>
            <w:tcW w:w="605" w:type="pct"/>
            <w:tcBorders>
              <w:top w:val="single" w:sz="4" w:space="0" w:color="010000"/>
            </w:tcBorders>
            <w:vAlign w:val="center"/>
          </w:tcPr>
          <w:p>
            <w:pPr>
              <w:jc w:val="right"/>
            </w:pPr>
            <w:r/>
            <w:r>
              <w:rPr>
                <w:rFonts w:hint="eastAsia"/>
                <w:color w:val="000000"/>
                <w:sz w:val="21"/>
              </w:rPr>
              <w:t>19,028.04</w:t>
            </w:r>
          </w:p>
        </w:tc>
        <w:tc>
          <w:tcPr>
            <w:tcW w:w="565" w:type="pct"/>
            <w:tcBorders>
              <w:top w:val="single" w:sz="4" w:space="0" w:color="010000"/>
            </w:tcBorders>
            <w:vAlign w:val="center"/>
          </w:tcPr>
          <w:p>
            <w:pPr>
              <w:jc w:val="right"/>
            </w:pPr>
            <w:r/>
            <w:r>
              <w:rPr>
                <w:rFonts w:hint="eastAsia"/>
                <w:color w:val="000000"/>
                <w:sz w:val="21"/>
              </w:rPr>
              <w:t>220,151.99</w:t>
            </w:r>
          </w:p>
        </w:tc>
      </w:tr>
      <w:tr>
        <w:trPr>
          <w:cantSplit/>
          <w:jc w:val="center"/>
        </w:trPr>
        <w:tc>
          <w:tcPr>
            <w:tcW w:w="403" w:type="pct"/>
            <w:tcBorders>
              <w:top w:val="single" w:sz="4" w:space="0" w:color="010000"/>
            </w:tcBorders>
            <w:vAlign w:val="center"/>
          </w:tcPr>
          <w:p>
            <w:pPr>
              <w:jc w:val="center"/>
            </w:pPr>
            <w:r/>
            <w:r>
              <w:rPr>
                <w:rFonts w:hint="eastAsia"/>
                <w:color w:val="000000"/>
                <w:sz w:val="21"/>
              </w:rPr>
              <w:t>珂玛科技</w:t>
            </w:r>
          </w:p>
        </w:tc>
        <w:tc>
          <w:tcPr>
            <w:tcW w:w="1210" w:type="pct"/>
            <w:tcBorders>
              <w:top w:val="single" w:sz="4" w:space="0" w:color="010000"/>
            </w:tcBorders>
            <w:vAlign w:val="center"/>
          </w:tcPr>
          <w:p>
            <w:pPr>
              <w:jc w:val="left"/>
            </w:pPr>
            <w:r/>
            <w:r>
              <w:rPr>
                <w:rFonts w:hint="eastAsia"/>
                <w:color w:val="000000"/>
                <w:sz w:val="21"/>
              </w:rPr>
              <w:t>先进陶瓷材料零部件、表面处理和金属结构零部件</w:t>
            </w:r>
          </w:p>
        </w:tc>
        <w:tc>
          <w:tcPr>
            <w:tcW w:w="1613" w:type="pct"/>
            <w:tcBorders>
              <w:top w:val="single" w:sz="4" w:space="0" w:color="010000"/>
            </w:tcBorders>
            <w:vAlign w:val="center"/>
          </w:tcPr>
          <w:p>
            <w:pPr>
              <w:jc w:val="left"/>
            </w:pPr>
            <w:r/>
            <w:r>
              <w:rPr>
                <w:rFonts w:hint="eastAsia"/>
                <w:color w:val="000000"/>
                <w:sz w:val="21"/>
              </w:rPr>
              <w:t>半导体、面板及光伏设备客户，半导体设备客户包括北方华创、中微公司、拓荆科技</w:t>
            </w:r>
          </w:p>
        </w:tc>
        <w:tc>
          <w:tcPr>
            <w:tcW w:w="605" w:type="pct"/>
            <w:tcBorders>
              <w:top w:val="single" w:sz="4" w:space="0" w:color="010000"/>
            </w:tcBorders>
            <w:vAlign w:val="center"/>
          </w:tcPr>
          <w:p>
            <w:pPr>
              <w:jc w:val="right"/>
            </w:pPr>
            <w:r/>
            <w:r>
              <w:rPr>
                <w:rFonts w:hint="eastAsia"/>
                <w:color w:val="000000"/>
                <w:sz w:val="21"/>
              </w:rPr>
              <w:t>106,000—108,000</w:t>
            </w:r>
          </w:p>
        </w:tc>
        <w:tc>
          <w:tcPr>
            <w:tcW w:w="605" w:type="pct"/>
            <w:tcBorders>
              <w:top w:val="single" w:sz="4" w:space="0" w:color="010000"/>
            </w:tcBorders>
            <w:vAlign w:val="center"/>
          </w:tcPr>
          <w:p>
            <w:pPr>
              <w:jc w:val="right"/>
            </w:pPr>
            <w:r/>
            <w:r>
              <w:rPr>
                <w:rFonts w:hint="eastAsia"/>
                <w:color w:val="000000"/>
                <w:sz w:val="21"/>
              </w:rPr>
              <w:t>28,610—33,585</w:t>
            </w:r>
          </w:p>
        </w:tc>
        <w:tc>
          <w:tcPr>
            <w:tcW w:w="565" w:type="pct"/>
            <w:tcBorders>
              <w:top w:val="single" w:sz="4" w:space="0" w:color="010000"/>
            </w:tcBorders>
            <w:vAlign w:val="center"/>
          </w:tcPr>
          <w:p>
            <w:pPr>
              <w:jc w:val="right"/>
            </w:pPr>
            <w:r/>
            <w:r>
              <w:rPr>
                <w:rFonts w:hint="eastAsia"/>
                <w:color w:val="000000"/>
                <w:sz w:val="21"/>
              </w:rPr>
              <w:t>未披露</w:t>
            </w:r>
          </w:p>
        </w:tc>
      </w:tr>
      <w:tr>
        <w:trPr>
          <w:cantSplit/>
          <w:jc w:val="center"/>
        </w:trPr>
        <w:tc>
          <w:tcPr>
            <w:tcW w:w="403" w:type="pct"/>
            <w:tcBorders>
              <w:top w:val="single" w:sz="4" w:space="0" w:color="010000"/>
            </w:tcBorders>
            <w:vAlign w:val="center"/>
          </w:tcPr>
          <w:p>
            <w:pPr>
              <w:jc w:val="center"/>
            </w:pPr>
            <w:r/>
            <w:r>
              <w:rPr>
                <w:rFonts w:hint="eastAsia"/>
                <w:color w:val="000000"/>
                <w:sz w:val="21"/>
              </w:rPr>
              <w:t>臻宝科技</w:t>
            </w:r>
          </w:p>
        </w:tc>
        <w:tc>
          <w:tcPr>
            <w:tcW w:w="1210" w:type="pct"/>
            <w:tcBorders>
              <w:top w:val="single" w:sz="4" w:space="0" w:color="010000"/>
            </w:tcBorders>
            <w:vAlign w:val="center"/>
          </w:tcPr>
          <w:p>
            <w:pPr>
              <w:jc w:val="left"/>
            </w:pPr>
            <w:r/>
            <w:r>
              <w:rPr>
                <w:rFonts w:hint="eastAsia"/>
                <w:color w:val="000000"/>
                <w:sz w:val="21"/>
              </w:rPr>
              <w:t>硅、石英、碳化硅和氧化铝陶瓷等设备零部件，并提供表面处理服务</w:t>
            </w:r>
          </w:p>
        </w:tc>
        <w:tc>
          <w:tcPr>
            <w:tcW w:w="1613" w:type="pct"/>
            <w:tcBorders>
              <w:top w:val="single" w:sz="4" w:space="0" w:color="010000"/>
            </w:tcBorders>
            <w:vAlign w:val="center"/>
          </w:tcPr>
          <w:p>
            <w:pPr>
              <w:jc w:val="left"/>
            </w:pPr>
            <w:r/>
            <w:r>
              <w:rPr>
                <w:rFonts w:hint="eastAsia"/>
                <w:color w:val="000000"/>
                <w:sz w:val="21"/>
              </w:rPr>
              <w:t>集成电路制造厂商、显示面板厂商</w:t>
            </w:r>
          </w:p>
        </w:tc>
        <w:tc>
          <w:tcPr>
            <w:tcW w:w="605" w:type="pct"/>
            <w:tcBorders>
              <w:top w:val="single" w:sz="4" w:space="0" w:color="010000"/>
            </w:tcBorders>
            <w:vAlign w:val="center"/>
          </w:tcPr>
          <w:p>
            <w:pPr>
              <w:jc w:val="right"/>
            </w:pPr>
            <w:r/>
            <w:r>
              <w:rPr>
                <w:rFonts w:hint="eastAsia"/>
                <w:color w:val="000000"/>
                <w:sz w:val="21"/>
              </w:rPr>
              <w:t>86,758.17</w:t>
            </w:r>
          </w:p>
        </w:tc>
        <w:tc>
          <w:tcPr>
            <w:tcW w:w="605" w:type="pct"/>
            <w:tcBorders>
              <w:top w:val="single" w:sz="4" w:space="0" w:color="010000"/>
            </w:tcBorders>
            <w:vAlign w:val="center"/>
          </w:tcPr>
          <w:p>
            <w:pPr>
              <w:jc w:val="right"/>
            </w:pPr>
            <w:r/>
            <w:r>
              <w:rPr>
                <w:rFonts w:hint="eastAsia"/>
                <w:color w:val="000000"/>
                <w:sz w:val="21"/>
              </w:rPr>
              <w:t>22,593.08</w:t>
            </w:r>
          </w:p>
        </w:tc>
        <w:tc>
          <w:tcPr>
            <w:tcW w:w="565" w:type="pct"/>
            <w:tcBorders>
              <w:top w:val="single" w:sz="4" w:space="0" w:color="010000"/>
            </w:tcBorders>
            <w:vAlign w:val="center"/>
          </w:tcPr>
          <w:p>
            <w:pPr>
              <w:jc w:val="right"/>
            </w:pPr>
            <w:r/>
            <w:r>
              <w:rPr>
                <w:rFonts w:hint="eastAsia"/>
                <w:color w:val="000000"/>
                <w:sz w:val="21"/>
              </w:rPr>
              <w:t>161,867.62</w:t>
            </w:r>
          </w:p>
        </w:tc>
      </w:tr>
      <w:tr>
        <w:trPr>
          <w:cantSplit/>
          <w:jc w:val="center"/>
        </w:trPr>
        <w:tc>
          <w:tcPr>
            <w:tcW w:w="403" w:type="pct"/>
            <w:tcBorders>
              <w:top w:val="single" w:sz="4" w:space="0" w:color="010000"/>
            </w:tcBorders>
            <w:vAlign w:val="center"/>
          </w:tcPr>
          <w:p>
            <w:pPr>
              <w:jc w:val="center"/>
            </w:pPr>
            <w:r/>
            <w:r>
              <w:rPr>
                <w:rFonts w:hint="eastAsia"/>
                <w:color w:val="000000"/>
                <w:sz w:val="21"/>
              </w:rPr>
              <w:t>托伦斯</w:t>
            </w:r>
          </w:p>
        </w:tc>
        <w:tc>
          <w:tcPr>
            <w:tcW w:w="1210" w:type="pct"/>
            <w:tcBorders>
              <w:top w:val="single" w:sz="4" w:space="0" w:color="010000"/>
            </w:tcBorders>
            <w:vAlign w:val="center"/>
          </w:tcPr>
          <w:p>
            <w:pPr>
              <w:jc w:val="left"/>
            </w:pPr>
            <w:r/>
            <w:r>
              <w:rPr>
                <w:rFonts w:hint="eastAsia"/>
                <w:color w:val="000000"/>
                <w:sz w:val="21"/>
              </w:rPr>
              <w:t>半导体关键工艺零部件、工艺零部件、结构零部件及激光设备零部件</w:t>
            </w:r>
          </w:p>
        </w:tc>
        <w:tc>
          <w:tcPr>
            <w:tcW w:w="1613" w:type="pct"/>
            <w:tcBorders>
              <w:top w:val="single" w:sz="4" w:space="0" w:color="010000"/>
            </w:tcBorders>
            <w:vAlign w:val="center"/>
          </w:tcPr>
          <w:p>
            <w:pPr>
              <w:jc w:val="left"/>
            </w:pPr>
            <w:r/>
            <w:r>
              <w:rPr>
                <w:rFonts w:hint="eastAsia"/>
                <w:color w:val="000000"/>
                <w:sz w:val="21"/>
              </w:rPr>
              <w:t>北方华创、中微公司、宸微科技、稷以科技、无锡尚积、博智航；激光设备客户为Lumentum</w:t>
            </w:r>
          </w:p>
        </w:tc>
        <w:tc>
          <w:tcPr>
            <w:tcW w:w="605" w:type="pct"/>
            <w:tcBorders>
              <w:top w:val="single" w:sz="4" w:space="0" w:color="010000"/>
            </w:tcBorders>
            <w:vAlign w:val="center"/>
          </w:tcPr>
          <w:p>
            <w:pPr>
              <w:jc w:val="right"/>
            </w:pPr>
            <w:r/>
            <w:r>
              <w:rPr>
                <w:rFonts w:hint="eastAsia"/>
                <w:color w:val="000000"/>
                <w:sz w:val="21"/>
              </w:rPr>
              <w:t>71,984.64</w:t>
            </w:r>
          </w:p>
        </w:tc>
        <w:tc>
          <w:tcPr>
            <w:tcW w:w="605" w:type="pct"/>
            <w:tcBorders>
              <w:top w:val="single" w:sz="4" w:space="0" w:color="010000"/>
            </w:tcBorders>
            <w:vAlign w:val="center"/>
          </w:tcPr>
          <w:p>
            <w:pPr>
              <w:jc w:val="right"/>
            </w:pPr>
            <w:r/>
            <w:r>
              <w:rPr>
                <w:rFonts w:hint="eastAsia"/>
                <w:color w:val="000000"/>
                <w:sz w:val="21"/>
              </w:rPr>
              <w:t>9,817.56</w:t>
            </w:r>
          </w:p>
        </w:tc>
        <w:tc>
          <w:tcPr>
            <w:tcW w:w="565" w:type="pct"/>
            <w:tcBorders>
              <w:top w:val="single" w:sz="4" w:space="0" w:color="010000"/>
            </w:tcBorders>
            <w:vAlign w:val="center"/>
          </w:tcPr>
          <w:p>
            <w:pPr>
              <w:jc w:val="right"/>
            </w:pPr>
            <w:r/>
            <w:r>
              <w:rPr>
                <w:rFonts w:hint="eastAsia"/>
                <w:color w:val="000000"/>
                <w:sz w:val="21"/>
              </w:rPr>
              <w:t>150,093.97</w:t>
            </w:r>
          </w:p>
        </w:tc>
      </w:tr>
      <w:tr>
        <w:trPr>
          <w:cantSplit/>
          <w:jc w:val="center"/>
        </w:trPr>
        <w:tc>
          <w:tcPr>
            <w:tcW w:w="403" w:type="pct"/>
            <w:tcBorders>
              <w:top w:val="single" w:sz="4" w:space="0" w:color="010000"/>
            </w:tcBorders>
            <w:vAlign w:val="center"/>
          </w:tcPr>
          <w:p>
            <w:pPr>
              <w:jc w:val="center"/>
            </w:pPr>
            <w:r/>
            <w:r>
              <w:rPr>
                <w:rFonts w:hint="eastAsia"/>
                <w:color w:val="000000"/>
                <w:sz w:val="21"/>
              </w:rPr>
              <w:t>Ferrotec</w:t>
            </w:r>
          </w:p>
        </w:tc>
        <w:tc>
          <w:tcPr>
            <w:tcW w:w="1210" w:type="pct"/>
            <w:tcBorders>
              <w:top w:val="single" w:sz="4" w:space="0" w:color="010000"/>
            </w:tcBorders>
            <w:vAlign w:val="center"/>
          </w:tcPr>
          <w:p>
            <w:pPr>
              <w:jc w:val="left"/>
            </w:pPr>
            <w:r/>
            <w:r>
              <w:rPr>
                <w:rFonts w:hint="eastAsia"/>
                <w:color w:val="000000"/>
                <w:sz w:val="21"/>
              </w:rPr>
              <w:t>石英、陶瓷、硅、碳化硅等非精密金属零部件、结构零部件为主</w:t>
            </w:r>
          </w:p>
        </w:tc>
        <w:tc>
          <w:tcPr>
            <w:tcW w:w="1613" w:type="pct"/>
            <w:tcBorders>
              <w:top w:val="single" w:sz="4" w:space="0" w:color="010000"/>
            </w:tcBorders>
            <w:vAlign w:val="center"/>
          </w:tcPr>
          <w:p>
            <w:pPr>
              <w:jc w:val="left"/>
            </w:pPr>
            <w:r/>
            <w:r>
              <w:rPr>
                <w:rFonts w:hint="eastAsia"/>
                <w:color w:val="000000"/>
                <w:sz w:val="21"/>
              </w:rPr>
              <w:t>国际及部分国内半导体设备企业</w:t>
            </w:r>
          </w:p>
        </w:tc>
        <w:tc>
          <w:tcPr>
            <w:tcW w:w="605" w:type="pct"/>
            <w:tcBorders>
              <w:top w:val="single" w:sz="4" w:space="0" w:color="010000"/>
            </w:tcBorders>
            <w:vAlign w:val="center"/>
          </w:tcPr>
          <w:p>
            <w:pPr>
              <w:jc w:val="right"/>
            </w:pPr>
            <w:r/>
            <w:r>
              <w:rPr>
                <w:rFonts w:hint="eastAsia"/>
                <w:color w:val="000000"/>
                <w:sz w:val="21"/>
              </w:rPr>
              <w:t>未披露</w:t>
            </w:r>
          </w:p>
        </w:tc>
        <w:tc>
          <w:tcPr>
            <w:tcW w:w="605" w:type="pct"/>
            <w:tcBorders>
              <w:top w:val="single" w:sz="4" w:space="0" w:color="010000"/>
            </w:tcBorders>
            <w:vAlign w:val="center"/>
          </w:tcPr>
          <w:p>
            <w:pPr>
              <w:jc w:val="right"/>
            </w:pPr>
            <w:r/>
            <w:r>
              <w:rPr>
                <w:rFonts w:hint="eastAsia"/>
                <w:color w:val="000000"/>
                <w:sz w:val="21"/>
              </w:rPr>
              <w:t>未披露</w:t>
            </w:r>
          </w:p>
        </w:tc>
        <w:tc>
          <w:tcPr>
            <w:tcW w:w="565" w:type="pct"/>
            <w:tcBorders>
              <w:top w:val="single" w:sz="4" w:space="0" w:color="010000"/>
            </w:tcBorders>
            <w:vAlign w:val="center"/>
          </w:tcPr>
          <w:p>
            <w:pPr>
              <w:jc w:val="right"/>
            </w:pPr>
            <w:r/>
            <w:r>
              <w:rPr>
                <w:rFonts w:hint="eastAsia"/>
                <w:color w:val="000000"/>
                <w:sz w:val="21"/>
              </w:rPr>
              <w:t>未披露</w:t>
            </w:r>
          </w:p>
        </w:tc>
      </w:tr>
    </w:tbl>
    <w:p>
      <w:pPr>
        <w:pStyle w:val="a6"/>
        <w:jc w:val="center"/>
      </w:pPr>
      <w:r>
        <w:rPr>
          <w:rFonts w:hint="eastAsia"/>
          <w:sz w:val="11"/>
          <w:szCs w:val="11"/>
        </w:rPr>
        <w:t>数据来源：Wind整理成果、托伦斯招股说明书（注册稿），本报告整理。注一：本表为托伦斯招股说明书列示的同行业可比公司比较数据，其中富创精密、珂玛科技为编制时的业绩快报口径；两家公司2025年年度报告披露的营业收入分别为35.43亿元、10.73亿元，归母净利润分别为-861.15万元、2.89亿元，本报告表9按年度报告口径列示，两处口径不同，不作比较；注二：Ferrotec采用其财政年度口径（当年4月1日至次年3月31日），尚未披露2025年4月1日至2026年3月31日财报。</w:t>
      </w:r>
    </w:p>
    <w:p>
      <w:pPr>
        <w:keepNext/>
        <w:jc w:val="center"/>
      </w:pPr>
      <w:r>
        <w:drawing>
          <wp:inline xmlns:a="http://schemas.openxmlformats.org/drawingml/2006/main" xmlns:pic="http://schemas.openxmlformats.org/drawingml/2006/picture">
            <wp:extent cx="5074920" cy="2242406"/>
            <wp:docPr id="3" name="Picture 3"/>
            <wp:cNvGraphicFramePr>
              <a:graphicFrameLocks noChangeAspect="1"/>
            </wp:cNvGraphicFramePr>
            <a:graphic>
              <a:graphicData uri="http://schemas.openxmlformats.org/drawingml/2006/picture">
                <pic:pic>
                  <pic:nvPicPr>
                    <pic:cNvPr id="0" name="fig3_shouru.png"/>
                    <pic:cNvPicPr/>
                  </pic:nvPicPr>
                  <pic:blipFill>
                    <a:blip r:embed="rId18"/>
                    <a:stretch>
                      <a:fillRect/>
                    </a:stretch>
                  </pic:blipFill>
                  <pic:spPr>
                    <a:xfrm>
                      <a:off x="0" y="0"/>
                      <a:ext cx="5074920" cy="2242406"/>
                    </a:xfrm>
                    <a:prstGeom prst="rect"/>
                  </pic:spPr>
                </pic:pic>
              </a:graphicData>
            </a:graphic>
          </wp:inline>
        </w:drawing>
      </w:r>
    </w:p>
    <w:p>
      <w:pPr>
        <w:jc w:val="center"/>
      </w:pPr>
      <w:r>
        <w:rPr>
          <w:rFonts w:hint="eastAsia"/>
          <w:b/>
          <w:sz w:val="21"/>
        </w:rPr>
        <w:t>图3  可比公司2025年营业收入</w:t>
      </w:r>
    </w:p>
    <w:p>
      <w:pPr>
        <w:pStyle w:val="a6"/>
        <w:jc w:val="center"/>
      </w:pPr>
      <w:r>
        <w:rPr>
          <w:rFonts w:hint="eastAsia"/>
          <w:sz w:val="11"/>
          <w:szCs w:val="11"/>
        </w:rPr>
        <w:t>数据来源：Wind整理成果、托伦斯招股说明书（注册稿），本报告整理。注：口径同表5，珂玛科技取业绩快报区间中值10.70亿元。</w:t>
      </w:r>
    </w:p>
    <w:p>
      <w:pPr>
        <w:keepNext/>
        <w:jc w:val="center"/>
      </w:pPr>
      <w:r>
        <w:drawing>
          <wp:inline xmlns:a="http://schemas.openxmlformats.org/drawingml/2006/main" xmlns:pic="http://schemas.openxmlformats.org/drawingml/2006/picture">
            <wp:extent cx="5074920" cy="2242406"/>
            <wp:docPr id="4" name="Picture 4"/>
            <wp:cNvGraphicFramePr>
              <a:graphicFrameLocks noChangeAspect="1"/>
            </wp:cNvGraphicFramePr>
            <a:graphic>
              <a:graphicData uri="http://schemas.openxmlformats.org/drawingml/2006/picture">
                <pic:pic>
                  <pic:nvPicPr>
                    <pic:cNvPr id="0" name="fig4_jinglilv.png"/>
                    <pic:cNvPicPr/>
                  </pic:nvPicPr>
                  <pic:blipFill>
                    <a:blip r:embed="rId19"/>
                    <a:stretch>
                      <a:fillRect/>
                    </a:stretch>
                  </pic:blipFill>
                  <pic:spPr>
                    <a:xfrm>
                      <a:off x="0" y="0"/>
                      <a:ext cx="5074920" cy="2242406"/>
                    </a:xfrm>
                    <a:prstGeom prst="rect"/>
                  </pic:spPr>
                </pic:pic>
              </a:graphicData>
            </a:graphic>
          </wp:inline>
        </w:drawing>
      </w:r>
    </w:p>
    <w:p>
      <w:pPr>
        <w:jc w:val="center"/>
      </w:pPr>
      <w:r>
        <w:rPr>
          <w:rFonts w:hint="eastAsia"/>
          <w:b/>
          <w:sz w:val="21"/>
        </w:rPr>
        <w:t>图4  可比公司2025年销售净利率</w:t>
      </w:r>
    </w:p>
    <w:p>
      <w:pPr>
        <w:pStyle w:val="a6"/>
        <w:jc w:val="center"/>
      </w:pPr>
      <w:r>
        <w:rPr>
          <w:rFonts w:hint="eastAsia"/>
          <w:sz w:val="11"/>
          <w:szCs w:val="11"/>
        </w:rPr>
        <w:t>数据来源：Wind整理成果、托伦斯招股说明书（注册稿），本报告整理。注：净利率为按归母净利润除以营业收入计算，非披露值；珂玛科技取业绩快报区间中值；Ferrotec因财年口径不同未纳入。</w:t>
      </w:r>
    </w:p>
    <w:p>
      <w:pPr>
        <w:pStyle w:val="a0"/>
      </w:pPr>
      <w:r>
        <w:rPr>
          <w:rFonts w:hint="eastAsia"/>
        </w:rPr>
        <w:t>销售规模与盈利水平并不同向。服务于国际半导体设备厂商的超科林2025年营业收入144.37亿元，归母净利润为亏损12.74亿元；富创精密营业收入35.51亿元，归母净利润为亏损934.09万元；而营业收入规模较小的珂玛科技与臻宝科技，按上述数据计算的销售净利率分别约为29.06%与26.04%。本段数值取自表5的招股说明书列示口径，富创精密与珂玛科技的年度报告口径数值见本报告表9。</w:t>
      </w:r>
    </w:p>
    <w:p>
      <w:pPr>
        <w:pStyle w:val="3"/>
        <w:numPr>
          <w:ilvl w:val="0"/>
          <w:numId w:val="0"/>
        </w:numPr>
        <w:spacing w:before="156" w:after="156"/>
      </w:pPr>
      <w:bookmarkStart w:id="1017" w:name="_Toc900017"/>
      <w:r>
        <w:rPr>
          <w:rFonts w:hint="eastAsia"/>
        </w:rPr>
        <w:t>4.2 毛利率的材料属性分野</w:t>
      </w:r>
      <w:bookmarkEnd w:id="1017"/>
    </w:p>
    <w:p>
      <w:pPr>
        <w:keepNext/>
        <w:jc w:val="center"/>
      </w:pPr>
      <w:r>
        <w:rPr>
          <w:rFonts w:hint="eastAsia"/>
          <w:b/>
          <w:sz w:val="21"/>
        </w:rPr>
        <w:t>表6  可比公司主营业务毛利率对比</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753"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699" w:type="pct"/>
            <w:tcBorders>
              <w:top w:val="single" w:sz="12" w:space="0" w:color="010000"/>
              <w:bottom w:val="single" w:sz="4" w:space="0" w:color="010000"/>
            </w:tcBorders>
            <w:vAlign w:val="center"/>
          </w:tcPr>
          <w:p>
            <w:pPr>
              <w:keepNext/>
              <w:jc w:val="center"/>
            </w:pPr>
            <w:r/>
            <w:r>
              <w:rPr>
                <w:rFonts w:hint="eastAsia"/>
                <w:b/>
                <w:color w:val="000000"/>
                <w:sz w:val="21"/>
              </w:rPr>
              <w:t>2025年（%）</w:t>
            </w:r>
          </w:p>
        </w:tc>
        <w:tc>
          <w:tcPr>
            <w:tcW w:w="699" w:type="pct"/>
            <w:tcBorders>
              <w:top w:val="single" w:sz="12" w:space="0" w:color="010000"/>
              <w:bottom w:val="single" w:sz="4" w:space="0" w:color="010000"/>
            </w:tcBorders>
            <w:vAlign w:val="center"/>
          </w:tcPr>
          <w:p>
            <w:pPr>
              <w:keepNext/>
              <w:jc w:val="center"/>
            </w:pPr>
            <w:r/>
            <w:r>
              <w:rPr>
                <w:rFonts w:hint="eastAsia"/>
                <w:b/>
                <w:color w:val="000000"/>
                <w:sz w:val="21"/>
              </w:rPr>
              <w:t>2024年（%）</w:t>
            </w:r>
          </w:p>
        </w:tc>
        <w:tc>
          <w:tcPr>
            <w:tcW w:w="699" w:type="pct"/>
            <w:tcBorders>
              <w:top w:val="single" w:sz="12" w:space="0" w:color="010000"/>
              <w:bottom w:val="single" w:sz="4" w:space="0" w:color="010000"/>
            </w:tcBorders>
            <w:vAlign w:val="center"/>
          </w:tcPr>
          <w:p>
            <w:pPr>
              <w:keepNext/>
              <w:jc w:val="center"/>
            </w:pPr>
            <w:r/>
            <w:r>
              <w:rPr>
                <w:rFonts w:hint="eastAsia"/>
                <w:b/>
                <w:color w:val="000000"/>
                <w:sz w:val="21"/>
              </w:rPr>
              <w:t>2023年（%）</w:t>
            </w:r>
          </w:p>
        </w:tc>
        <w:tc>
          <w:tcPr>
            <w:tcW w:w="2151" w:type="pct"/>
            <w:tcBorders>
              <w:top w:val="single" w:sz="12" w:space="0" w:color="010000"/>
              <w:bottom w:val="single" w:sz="4" w:space="0" w:color="010000"/>
            </w:tcBorders>
            <w:vAlign w:val="center"/>
          </w:tcPr>
          <w:p>
            <w:pPr>
              <w:keepNext/>
              <w:jc w:val="center"/>
            </w:pPr>
            <w:r/>
            <w:r>
              <w:rPr>
                <w:rFonts w:hint="eastAsia"/>
                <w:b/>
                <w:color w:val="000000"/>
                <w:sz w:val="21"/>
              </w:rPr>
              <w:t>主要产品的材料属性</w:t>
            </w:r>
          </w:p>
        </w:tc>
      </w:tr>
      <w:tr>
        <w:trPr>
          <w:cantSplit/>
          <w:jc w:val="center"/>
        </w:trPr>
        <w:tc>
          <w:tcPr>
            <w:tcW w:w="753" w:type="pct"/>
            <w:tcBorders>
              <w:top w:val="single" w:sz="4" w:space="0" w:color="010000"/>
            </w:tcBorders>
            <w:vAlign w:val="center"/>
          </w:tcPr>
          <w:p>
            <w:pPr>
              <w:jc w:val="center"/>
            </w:pPr>
            <w:r/>
            <w:r>
              <w:rPr>
                <w:rFonts w:hint="eastAsia"/>
                <w:color w:val="000000"/>
                <w:sz w:val="21"/>
              </w:rPr>
              <w:t>珂玛科技</w:t>
            </w:r>
          </w:p>
        </w:tc>
        <w:tc>
          <w:tcPr>
            <w:tcW w:w="699" w:type="pct"/>
            <w:tcBorders>
              <w:top w:val="single" w:sz="4" w:space="0" w:color="010000"/>
            </w:tcBorders>
            <w:vAlign w:val="center"/>
          </w:tcPr>
          <w:p>
            <w:pPr>
              <w:jc w:val="right"/>
            </w:pPr>
            <w:r/>
            <w:r>
              <w:rPr>
                <w:rFonts w:hint="eastAsia"/>
                <w:color w:val="000000"/>
                <w:sz w:val="21"/>
              </w:rPr>
              <w:t>53.94</w:t>
            </w:r>
          </w:p>
        </w:tc>
        <w:tc>
          <w:tcPr>
            <w:tcW w:w="699" w:type="pct"/>
            <w:tcBorders>
              <w:top w:val="single" w:sz="4" w:space="0" w:color="010000"/>
            </w:tcBorders>
            <w:vAlign w:val="center"/>
          </w:tcPr>
          <w:p>
            <w:pPr>
              <w:jc w:val="right"/>
            </w:pPr>
            <w:r/>
            <w:r>
              <w:rPr>
                <w:rFonts w:hint="eastAsia"/>
                <w:color w:val="000000"/>
                <w:sz w:val="21"/>
              </w:rPr>
              <w:t>58.49</w:t>
            </w:r>
          </w:p>
        </w:tc>
        <w:tc>
          <w:tcPr>
            <w:tcW w:w="699" w:type="pct"/>
            <w:tcBorders>
              <w:top w:val="single" w:sz="4" w:space="0" w:color="010000"/>
            </w:tcBorders>
            <w:vAlign w:val="center"/>
          </w:tcPr>
          <w:p>
            <w:pPr>
              <w:jc w:val="right"/>
            </w:pPr>
            <w:r/>
            <w:r>
              <w:rPr>
                <w:rFonts w:hint="eastAsia"/>
                <w:color w:val="000000"/>
                <w:sz w:val="21"/>
              </w:rPr>
              <w:t>39.78</w:t>
            </w:r>
          </w:p>
        </w:tc>
        <w:tc>
          <w:tcPr>
            <w:tcW w:w="2151" w:type="pct"/>
            <w:tcBorders>
              <w:top w:val="single" w:sz="4" w:space="0" w:color="010000"/>
            </w:tcBorders>
            <w:vAlign w:val="center"/>
          </w:tcPr>
          <w:p>
            <w:pPr>
              <w:jc w:val="left"/>
            </w:pPr>
            <w:r/>
            <w:r>
              <w:rPr>
                <w:rFonts w:hint="eastAsia"/>
                <w:color w:val="000000"/>
                <w:sz w:val="21"/>
              </w:rPr>
              <w:t>非金属，先进陶瓷</w:t>
            </w:r>
          </w:p>
        </w:tc>
      </w:tr>
      <w:tr>
        <w:trPr>
          <w:cantSplit/>
          <w:jc w:val="center"/>
        </w:trPr>
        <w:tc>
          <w:tcPr>
            <w:tcW w:w="753" w:type="pct"/>
            <w:tcBorders>
              <w:top w:val="single" w:sz="4" w:space="0" w:color="010000"/>
            </w:tcBorders>
            <w:vAlign w:val="center"/>
          </w:tcPr>
          <w:p>
            <w:pPr>
              <w:jc w:val="center"/>
            </w:pPr>
            <w:r/>
            <w:r>
              <w:rPr>
                <w:rFonts w:hint="eastAsia"/>
                <w:color w:val="000000"/>
                <w:sz w:val="21"/>
              </w:rPr>
              <w:t>臻宝科技</w:t>
            </w:r>
          </w:p>
        </w:tc>
        <w:tc>
          <w:tcPr>
            <w:tcW w:w="699" w:type="pct"/>
            <w:tcBorders>
              <w:top w:val="single" w:sz="4" w:space="0" w:color="010000"/>
            </w:tcBorders>
            <w:vAlign w:val="center"/>
          </w:tcPr>
          <w:p>
            <w:pPr>
              <w:jc w:val="right"/>
            </w:pPr>
            <w:r/>
            <w:r>
              <w:rPr>
                <w:rFonts w:hint="eastAsia"/>
                <w:color w:val="000000"/>
                <w:sz w:val="21"/>
              </w:rPr>
              <w:t>49.85</w:t>
            </w:r>
          </w:p>
        </w:tc>
        <w:tc>
          <w:tcPr>
            <w:tcW w:w="699" w:type="pct"/>
            <w:tcBorders>
              <w:top w:val="single" w:sz="4" w:space="0" w:color="010000"/>
            </w:tcBorders>
            <w:vAlign w:val="center"/>
          </w:tcPr>
          <w:p>
            <w:pPr>
              <w:jc w:val="right"/>
            </w:pPr>
            <w:r/>
            <w:r>
              <w:rPr>
                <w:rFonts w:hint="eastAsia"/>
                <w:color w:val="000000"/>
                <w:sz w:val="21"/>
              </w:rPr>
              <w:t>48.05</w:t>
            </w:r>
          </w:p>
        </w:tc>
        <w:tc>
          <w:tcPr>
            <w:tcW w:w="699" w:type="pct"/>
            <w:tcBorders>
              <w:top w:val="single" w:sz="4" w:space="0" w:color="010000"/>
            </w:tcBorders>
            <w:vAlign w:val="center"/>
          </w:tcPr>
          <w:p>
            <w:pPr>
              <w:jc w:val="right"/>
            </w:pPr>
            <w:r/>
            <w:r>
              <w:rPr>
                <w:rFonts w:hint="eastAsia"/>
                <w:color w:val="000000"/>
                <w:sz w:val="21"/>
              </w:rPr>
              <w:t>42.56</w:t>
            </w:r>
          </w:p>
        </w:tc>
        <w:tc>
          <w:tcPr>
            <w:tcW w:w="2151" w:type="pct"/>
            <w:tcBorders>
              <w:top w:val="single" w:sz="4" w:space="0" w:color="010000"/>
            </w:tcBorders>
            <w:vAlign w:val="center"/>
          </w:tcPr>
          <w:p>
            <w:pPr>
              <w:jc w:val="left"/>
            </w:pPr>
            <w:r/>
            <w:r>
              <w:rPr>
                <w:rFonts w:hint="eastAsia"/>
                <w:color w:val="000000"/>
                <w:sz w:val="21"/>
              </w:rPr>
              <w:t>非金属，硅、石英、碳化硅、氧化铝陶瓷</w:t>
            </w:r>
          </w:p>
        </w:tc>
      </w:tr>
      <w:tr>
        <w:trPr>
          <w:cantSplit/>
          <w:jc w:val="center"/>
        </w:trPr>
        <w:tc>
          <w:tcPr>
            <w:tcW w:w="753" w:type="pct"/>
            <w:tcBorders>
              <w:top w:val="single" w:sz="4" w:space="0" w:color="010000"/>
            </w:tcBorders>
            <w:vAlign w:val="center"/>
          </w:tcPr>
          <w:p>
            <w:pPr>
              <w:jc w:val="center"/>
            </w:pPr>
            <w:r/>
            <w:r>
              <w:rPr>
                <w:rFonts w:hint="eastAsia"/>
                <w:color w:val="000000"/>
                <w:sz w:val="21"/>
              </w:rPr>
              <w:t>Ferrotec</w:t>
            </w:r>
          </w:p>
        </w:tc>
        <w:tc>
          <w:tcPr>
            <w:tcW w:w="699" w:type="pct"/>
            <w:tcBorders>
              <w:top w:val="single" w:sz="4" w:space="0" w:color="010000"/>
            </w:tcBorders>
            <w:vAlign w:val="center"/>
          </w:tcPr>
          <w:p>
            <w:pPr>
              <w:jc w:val="right"/>
            </w:pPr>
            <w:r/>
            <w:r>
              <w:rPr>
                <w:rFonts w:hint="eastAsia"/>
                <w:color w:val="000000"/>
                <w:sz w:val="21"/>
              </w:rPr>
              <w:t>29.95</w:t>
            </w:r>
          </w:p>
        </w:tc>
        <w:tc>
          <w:tcPr>
            <w:tcW w:w="699" w:type="pct"/>
            <w:tcBorders>
              <w:top w:val="single" w:sz="4" w:space="0" w:color="010000"/>
            </w:tcBorders>
            <w:vAlign w:val="center"/>
          </w:tcPr>
          <w:p>
            <w:pPr>
              <w:jc w:val="right"/>
            </w:pPr>
            <w:r/>
            <w:r>
              <w:rPr>
                <w:rFonts w:hint="eastAsia"/>
                <w:color w:val="000000"/>
                <w:sz w:val="21"/>
              </w:rPr>
              <w:t>26.74</w:t>
            </w:r>
          </w:p>
        </w:tc>
        <w:tc>
          <w:tcPr>
            <w:tcW w:w="699" w:type="pct"/>
            <w:tcBorders>
              <w:top w:val="single" w:sz="4" w:space="0" w:color="010000"/>
            </w:tcBorders>
            <w:vAlign w:val="center"/>
          </w:tcPr>
          <w:p>
            <w:pPr>
              <w:jc w:val="right"/>
            </w:pPr>
            <w:r/>
            <w:r>
              <w:rPr>
                <w:rFonts w:hint="eastAsia"/>
                <w:color w:val="000000"/>
                <w:sz w:val="21"/>
              </w:rPr>
              <w:t>31.41</w:t>
            </w:r>
          </w:p>
        </w:tc>
        <w:tc>
          <w:tcPr>
            <w:tcW w:w="2151" w:type="pct"/>
            <w:tcBorders>
              <w:top w:val="single" w:sz="4" w:space="0" w:color="010000"/>
            </w:tcBorders>
            <w:vAlign w:val="center"/>
          </w:tcPr>
          <w:p>
            <w:pPr>
              <w:jc w:val="left"/>
            </w:pPr>
            <w:r/>
            <w:r>
              <w:rPr>
                <w:rFonts w:hint="eastAsia"/>
                <w:color w:val="000000"/>
                <w:sz w:val="21"/>
              </w:rPr>
              <w:t>非金属为主，兼有结构零部件</w:t>
            </w:r>
          </w:p>
        </w:tc>
      </w:tr>
      <w:tr>
        <w:trPr>
          <w:cantSplit/>
          <w:jc w:val="center"/>
        </w:trPr>
        <w:tc>
          <w:tcPr>
            <w:tcW w:w="753" w:type="pct"/>
            <w:tcBorders>
              <w:top w:val="single" w:sz="4" w:space="0" w:color="010000"/>
            </w:tcBorders>
            <w:vAlign w:val="center"/>
          </w:tcPr>
          <w:p>
            <w:pPr>
              <w:jc w:val="center"/>
            </w:pPr>
            <w:r/>
            <w:r>
              <w:rPr>
                <w:rFonts w:hint="eastAsia"/>
                <w:color w:val="000000"/>
                <w:sz w:val="21"/>
              </w:rPr>
              <w:t>先锋精科</w:t>
            </w:r>
          </w:p>
        </w:tc>
        <w:tc>
          <w:tcPr>
            <w:tcW w:w="699" w:type="pct"/>
            <w:tcBorders>
              <w:top w:val="single" w:sz="4" w:space="0" w:color="010000"/>
            </w:tcBorders>
            <w:vAlign w:val="center"/>
          </w:tcPr>
          <w:p>
            <w:pPr>
              <w:jc w:val="right"/>
            </w:pPr>
            <w:r/>
            <w:r>
              <w:rPr>
                <w:rFonts w:hint="eastAsia"/>
                <w:color w:val="000000"/>
                <w:sz w:val="21"/>
              </w:rPr>
              <w:t>29.02</w:t>
            </w:r>
          </w:p>
        </w:tc>
        <w:tc>
          <w:tcPr>
            <w:tcW w:w="699" w:type="pct"/>
            <w:tcBorders>
              <w:top w:val="single" w:sz="4" w:space="0" w:color="010000"/>
            </w:tcBorders>
            <w:vAlign w:val="center"/>
          </w:tcPr>
          <w:p>
            <w:pPr>
              <w:jc w:val="right"/>
            </w:pPr>
            <w:r/>
            <w:r>
              <w:rPr>
                <w:rFonts w:hint="eastAsia"/>
                <w:color w:val="000000"/>
                <w:sz w:val="21"/>
              </w:rPr>
              <w:t>33.83</w:t>
            </w:r>
          </w:p>
        </w:tc>
        <w:tc>
          <w:tcPr>
            <w:tcW w:w="699" w:type="pct"/>
            <w:tcBorders>
              <w:top w:val="single" w:sz="4" w:space="0" w:color="010000"/>
            </w:tcBorders>
            <w:vAlign w:val="center"/>
          </w:tcPr>
          <w:p>
            <w:pPr>
              <w:jc w:val="right"/>
            </w:pPr>
            <w:r/>
            <w:r>
              <w:rPr>
                <w:rFonts w:hint="eastAsia"/>
                <w:color w:val="000000"/>
                <w:sz w:val="21"/>
              </w:rPr>
              <w:t>29.93</w:t>
            </w:r>
          </w:p>
        </w:tc>
        <w:tc>
          <w:tcPr>
            <w:tcW w:w="2151" w:type="pct"/>
            <w:tcBorders>
              <w:top w:val="single" w:sz="4" w:space="0" w:color="010000"/>
            </w:tcBorders>
            <w:vAlign w:val="center"/>
          </w:tcPr>
          <w:p>
            <w:pPr>
              <w:jc w:val="left"/>
            </w:pPr>
            <w:r/>
            <w:r>
              <w:rPr>
                <w:rFonts w:hint="eastAsia"/>
                <w:color w:val="000000"/>
                <w:sz w:val="21"/>
              </w:rPr>
              <w:t>金属，以腔体、内衬为主</w:t>
            </w:r>
          </w:p>
        </w:tc>
      </w:tr>
      <w:tr>
        <w:trPr>
          <w:cantSplit/>
          <w:jc w:val="center"/>
        </w:trPr>
        <w:tc>
          <w:tcPr>
            <w:tcW w:w="753" w:type="pct"/>
            <w:tcBorders>
              <w:top w:val="single" w:sz="4" w:space="0" w:color="010000"/>
            </w:tcBorders>
            <w:vAlign w:val="center"/>
          </w:tcPr>
          <w:p>
            <w:pPr>
              <w:jc w:val="center"/>
            </w:pPr>
            <w:r/>
            <w:r>
              <w:rPr>
                <w:rFonts w:hint="eastAsia"/>
                <w:color w:val="000000"/>
                <w:sz w:val="21"/>
              </w:rPr>
              <w:t>托伦斯</w:t>
            </w:r>
          </w:p>
        </w:tc>
        <w:tc>
          <w:tcPr>
            <w:tcW w:w="699" w:type="pct"/>
            <w:tcBorders>
              <w:top w:val="single" w:sz="4" w:space="0" w:color="010000"/>
            </w:tcBorders>
            <w:vAlign w:val="center"/>
          </w:tcPr>
          <w:p>
            <w:pPr>
              <w:jc w:val="right"/>
            </w:pPr>
            <w:r/>
            <w:r>
              <w:rPr>
                <w:rFonts w:hint="eastAsia"/>
                <w:color w:val="000000"/>
                <w:sz w:val="21"/>
              </w:rPr>
              <w:t>27.14</w:t>
            </w:r>
          </w:p>
        </w:tc>
        <w:tc>
          <w:tcPr>
            <w:tcW w:w="699" w:type="pct"/>
            <w:tcBorders>
              <w:top w:val="single" w:sz="4" w:space="0" w:color="010000"/>
            </w:tcBorders>
            <w:vAlign w:val="center"/>
          </w:tcPr>
          <w:p>
            <w:pPr>
              <w:jc w:val="right"/>
            </w:pPr>
            <w:r/>
            <w:r>
              <w:rPr>
                <w:rFonts w:hint="eastAsia"/>
                <w:color w:val="000000"/>
                <w:sz w:val="21"/>
              </w:rPr>
              <w:t>29.89</w:t>
            </w:r>
          </w:p>
        </w:tc>
        <w:tc>
          <w:tcPr>
            <w:tcW w:w="699" w:type="pct"/>
            <w:tcBorders>
              <w:top w:val="single" w:sz="4" w:space="0" w:color="010000"/>
            </w:tcBorders>
            <w:vAlign w:val="center"/>
          </w:tcPr>
          <w:p>
            <w:pPr>
              <w:jc w:val="right"/>
            </w:pPr>
            <w:r/>
            <w:r>
              <w:rPr>
                <w:rFonts w:hint="eastAsia"/>
                <w:color w:val="000000"/>
                <w:sz w:val="21"/>
              </w:rPr>
              <w:t>23.26</w:t>
            </w:r>
          </w:p>
        </w:tc>
        <w:tc>
          <w:tcPr>
            <w:tcW w:w="2151" w:type="pct"/>
            <w:tcBorders>
              <w:top w:val="single" w:sz="4" w:space="0" w:color="010000"/>
            </w:tcBorders>
            <w:vAlign w:val="center"/>
          </w:tcPr>
          <w:p>
            <w:pPr>
              <w:jc w:val="left"/>
            </w:pPr>
            <w:r/>
            <w:r>
              <w:rPr>
                <w:rFonts w:hint="eastAsia"/>
                <w:color w:val="000000"/>
                <w:sz w:val="21"/>
              </w:rPr>
              <w:t>金属</w:t>
            </w:r>
          </w:p>
        </w:tc>
      </w:tr>
      <w:tr>
        <w:trPr>
          <w:cantSplit/>
          <w:jc w:val="center"/>
        </w:trPr>
        <w:tc>
          <w:tcPr>
            <w:tcW w:w="753" w:type="pct"/>
            <w:tcBorders>
              <w:top w:val="single" w:sz="4" w:space="0" w:color="010000"/>
            </w:tcBorders>
            <w:vAlign w:val="center"/>
          </w:tcPr>
          <w:p>
            <w:pPr>
              <w:jc w:val="center"/>
            </w:pPr>
            <w:r/>
            <w:r>
              <w:rPr>
                <w:rFonts w:hint="eastAsia"/>
                <w:color w:val="000000"/>
                <w:sz w:val="21"/>
              </w:rPr>
              <w:t>京鼎精密</w:t>
            </w:r>
          </w:p>
        </w:tc>
        <w:tc>
          <w:tcPr>
            <w:tcW w:w="699" w:type="pct"/>
            <w:tcBorders>
              <w:top w:val="single" w:sz="4" w:space="0" w:color="010000"/>
            </w:tcBorders>
            <w:vAlign w:val="center"/>
          </w:tcPr>
          <w:p>
            <w:pPr>
              <w:jc w:val="right"/>
            </w:pPr>
            <w:r/>
            <w:r>
              <w:rPr>
                <w:rFonts w:hint="eastAsia"/>
                <w:color w:val="000000"/>
                <w:sz w:val="21"/>
              </w:rPr>
              <w:t>25.14</w:t>
            </w:r>
          </w:p>
        </w:tc>
        <w:tc>
          <w:tcPr>
            <w:tcW w:w="699" w:type="pct"/>
            <w:tcBorders>
              <w:top w:val="single" w:sz="4" w:space="0" w:color="010000"/>
            </w:tcBorders>
            <w:vAlign w:val="center"/>
          </w:tcPr>
          <w:p>
            <w:pPr>
              <w:jc w:val="right"/>
            </w:pPr>
            <w:r/>
            <w:r>
              <w:rPr>
                <w:rFonts w:hint="eastAsia"/>
                <w:color w:val="000000"/>
                <w:sz w:val="21"/>
              </w:rPr>
              <w:t>26.06</w:t>
            </w:r>
          </w:p>
        </w:tc>
        <w:tc>
          <w:tcPr>
            <w:tcW w:w="699" w:type="pct"/>
            <w:tcBorders>
              <w:top w:val="single" w:sz="4" w:space="0" w:color="010000"/>
            </w:tcBorders>
            <w:vAlign w:val="center"/>
          </w:tcPr>
          <w:p>
            <w:pPr>
              <w:jc w:val="right"/>
            </w:pPr>
            <w:r/>
            <w:r>
              <w:rPr>
                <w:rFonts w:hint="eastAsia"/>
                <w:color w:val="000000"/>
                <w:sz w:val="21"/>
              </w:rPr>
              <w:t>26.16</w:t>
            </w:r>
          </w:p>
        </w:tc>
        <w:tc>
          <w:tcPr>
            <w:tcW w:w="2151" w:type="pct"/>
            <w:tcBorders>
              <w:top w:val="single" w:sz="4" w:space="0" w:color="010000"/>
            </w:tcBorders>
            <w:vAlign w:val="center"/>
          </w:tcPr>
          <w:p>
            <w:pPr>
              <w:jc w:val="left"/>
            </w:pPr>
            <w:r/>
            <w:r>
              <w:rPr>
                <w:rFonts w:hint="eastAsia"/>
                <w:color w:val="000000"/>
                <w:sz w:val="21"/>
              </w:rPr>
              <w:t>金属，含模组类产品</w:t>
            </w:r>
          </w:p>
        </w:tc>
      </w:tr>
      <w:tr>
        <w:trPr>
          <w:cantSplit/>
          <w:jc w:val="center"/>
        </w:trPr>
        <w:tc>
          <w:tcPr>
            <w:tcW w:w="753" w:type="pct"/>
            <w:tcBorders>
              <w:top w:val="single" w:sz="4" w:space="0" w:color="010000"/>
            </w:tcBorders>
            <w:vAlign w:val="center"/>
          </w:tcPr>
          <w:p>
            <w:pPr>
              <w:jc w:val="center"/>
            </w:pPr>
            <w:r/>
            <w:r>
              <w:rPr>
                <w:rFonts w:hint="eastAsia"/>
                <w:color w:val="000000"/>
                <w:sz w:val="21"/>
              </w:rPr>
              <w:t>富创精密</w:t>
            </w:r>
          </w:p>
        </w:tc>
        <w:tc>
          <w:tcPr>
            <w:tcW w:w="699" w:type="pct"/>
            <w:tcBorders>
              <w:top w:val="single" w:sz="4" w:space="0" w:color="010000"/>
            </w:tcBorders>
            <w:vAlign w:val="center"/>
          </w:tcPr>
          <w:p>
            <w:pPr>
              <w:jc w:val="right"/>
            </w:pPr>
            <w:r/>
            <w:r>
              <w:rPr>
                <w:rFonts w:hint="eastAsia"/>
                <w:color w:val="000000"/>
                <w:sz w:val="21"/>
              </w:rPr>
              <w:t>24.94</w:t>
            </w:r>
          </w:p>
        </w:tc>
        <w:tc>
          <w:tcPr>
            <w:tcW w:w="699" w:type="pct"/>
            <w:tcBorders>
              <w:top w:val="single" w:sz="4" w:space="0" w:color="010000"/>
            </w:tcBorders>
            <w:vAlign w:val="center"/>
          </w:tcPr>
          <w:p>
            <w:pPr>
              <w:jc w:val="right"/>
            </w:pPr>
            <w:r/>
            <w:r>
              <w:rPr>
                <w:rFonts w:hint="eastAsia"/>
                <w:color w:val="000000"/>
                <w:sz w:val="21"/>
              </w:rPr>
              <w:t>25.80</w:t>
            </w:r>
          </w:p>
        </w:tc>
        <w:tc>
          <w:tcPr>
            <w:tcW w:w="699" w:type="pct"/>
            <w:tcBorders>
              <w:top w:val="single" w:sz="4" w:space="0" w:color="010000"/>
            </w:tcBorders>
            <w:vAlign w:val="center"/>
          </w:tcPr>
          <w:p>
            <w:pPr>
              <w:jc w:val="right"/>
            </w:pPr>
            <w:r/>
            <w:r>
              <w:rPr>
                <w:rFonts w:hint="eastAsia"/>
                <w:color w:val="000000"/>
                <w:sz w:val="21"/>
              </w:rPr>
              <w:t>25.20</w:t>
            </w:r>
          </w:p>
        </w:tc>
        <w:tc>
          <w:tcPr>
            <w:tcW w:w="2151" w:type="pct"/>
            <w:tcBorders>
              <w:top w:val="single" w:sz="4" w:space="0" w:color="010000"/>
            </w:tcBorders>
            <w:vAlign w:val="center"/>
          </w:tcPr>
          <w:p>
            <w:pPr>
              <w:jc w:val="left"/>
            </w:pPr>
            <w:r/>
            <w:r>
              <w:rPr>
                <w:rFonts w:hint="eastAsia"/>
                <w:color w:val="000000"/>
                <w:sz w:val="21"/>
              </w:rPr>
              <w:t>金属，含模组类产品</w:t>
            </w:r>
          </w:p>
        </w:tc>
      </w:tr>
      <w:tr>
        <w:trPr>
          <w:cantSplit/>
          <w:jc w:val="center"/>
        </w:trPr>
        <w:tc>
          <w:tcPr>
            <w:tcW w:w="753" w:type="pct"/>
            <w:tcBorders>
              <w:top w:val="single" w:sz="4" w:space="0" w:color="010000"/>
            </w:tcBorders>
            <w:vAlign w:val="center"/>
          </w:tcPr>
          <w:p>
            <w:pPr>
              <w:jc w:val="center"/>
            </w:pPr>
            <w:r/>
            <w:r>
              <w:rPr>
                <w:rFonts w:hint="eastAsia"/>
                <w:color w:val="000000"/>
                <w:sz w:val="21"/>
              </w:rPr>
              <w:t>超科林</w:t>
            </w:r>
          </w:p>
        </w:tc>
        <w:tc>
          <w:tcPr>
            <w:tcW w:w="699" w:type="pct"/>
            <w:tcBorders>
              <w:top w:val="single" w:sz="4" w:space="0" w:color="010000"/>
            </w:tcBorders>
            <w:vAlign w:val="center"/>
          </w:tcPr>
          <w:p>
            <w:pPr>
              <w:jc w:val="right"/>
            </w:pPr>
            <w:r/>
            <w:r>
              <w:rPr>
                <w:rFonts w:hint="eastAsia"/>
                <w:color w:val="000000"/>
                <w:sz w:val="21"/>
              </w:rPr>
              <w:t>15.72</w:t>
            </w:r>
          </w:p>
        </w:tc>
        <w:tc>
          <w:tcPr>
            <w:tcW w:w="699" w:type="pct"/>
            <w:tcBorders>
              <w:top w:val="single" w:sz="4" w:space="0" w:color="010000"/>
            </w:tcBorders>
            <w:vAlign w:val="center"/>
          </w:tcPr>
          <w:p>
            <w:pPr>
              <w:jc w:val="right"/>
            </w:pPr>
            <w:r/>
            <w:r>
              <w:rPr>
                <w:rFonts w:hint="eastAsia"/>
                <w:color w:val="000000"/>
                <w:sz w:val="21"/>
              </w:rPr>
              <w:t>16.99</w:t>
            </w:r>
          </w:p>
        </w:tc>
        <w:tc>
          <w:tcPr>
            <w:tcW w:w="699" w:type="pct"/>
            <w:tcBorders>
              <w:top w:val="single" w:sz="4" w:space="0" w:color="010000"/>
            </w:tcBorders>
            <w:vAlign w:val="center"/>
          </w:tcPr>
          <w:p>
            <w:pPr>
              <w:jc w:val="right"/>
            </w:pPr>
            <w:r/>
            <w:r>
              <w:rPr>
                <w:rFonts w:hint="eastAsia"/>
                <w:color w:val="000000"/>
                <w:sz w:val="21"/>
              </w:rPr>
              <w:t>15.99</w:t>
            </w:r>
          </w:p>
        </w:tc>
        <w:tc>
          <w:tcPr>
            <w:tcW w:w="2151" w:type="pct"/>
            <w:tcBorders>
              <w:top w:val="single" w:sz="4" w:space="0" w:color="010000"/>
            </w:tcBorders>
            <w:vAlign w:val="center"/>
          </w:tcPr>
          <w:p>
            <w:pPr>
              <w:jc w:val="left"/>
            </w:pPr>
            <w:r/>
            <w:r>
              <w:rPr>
                <w:rFonts w:hint="eastAsia"/>
                <w:color w:val="000000"/>
                <w:sz w:val="21"/>
              </w:rPr>
              <w:t>金属，含子系统与模组</w:t>
            </w:r>
          </w:p>
        </w:tc>
      </w:tr>
      <w:tr>
        <w:trPr>
          <w:cantSplit/>
          <w:jc w:val="center"/>
        </w:trPr>
        <w:tc>
          <w:tcPr>
            <w:tcW w:w="753" w:type="pct"/>
            <w:tcBorders>
              <w:top w:val="single" w:sz="4" w:space="0" w:color="010000"/>
            </w:tcBorders>
            <w:vAlign w:val="center"/>
          </w:tcPr>
          <w:p>
            <w:pPr>
              <w:jc w:val="center"/>
            </w:pPr>
            <w:r/>
            <w:r>
              <w:rPr>
                <w:rFonts w:hint="eastAsia"/>
                <w:color w:val="000000"/>
                <w:sz w:val="21"/>
              </w:rPr>
              <w:t>平均值</w:t>
            </w:r>
          </w:p>
        </w:tc>
        <w:tc>
          <w:tcPr>
            <w:tcW w:w="699" w:type="pct"/>
            <w:tcBorders>
              <w:top w:val="single" w:sz="4" w:space="0" w:color="010000"/>
            </w:tcBorders>
            <w:vAlign w:val="center"/>
          </w:tcPr>
          <w:p>
            <w:pPr>
              <w:jc w:val="right"/>
            </w:pPr>
            <w:r/>
            <w:r>
              <w:rPr>
                <w:rFonts w:hint="eastAsia"/>
                <w:color w:val="000000"/>
                <w:sz w:val="21"/>
              </w:rPr>
              <w:t>32.65</w:t>
            </w:r>
          </w:p>
        </w:tc>
        <w:tc>
          <w:tcPr>
            <w:tcW w:w="699" w:type="pct"/>
            <w:tcBorders>
              <w:top w:val="single" w:sz="4" w:space="0" w:color="010000"/>
            </w:tcBorders>
            <w:vAlign w:val="center"/>
          </w:tcPr>
          <w:p>
            <w:pPr>
              <w:jc w:val="right"/>
            </w:pPr>
            <w:r/>
            <w:r>
              <w:rPr>
                <w:rFonts w:hint="eastAsia"/>
                <w:color w:val="000000"/>
                <w:sz w:val="21"/>
              </w:rPr>
              <w:t>33.71</w:t>
            </w:r>
          </w:p>
        </w:tc>
        <w:tc>
          <w:tcPr>
            <w:tcW w:w="699" w:type="pct"/>
            <w:tcBorders>
              <w:top w:val="single" w:sz="4" w:space="0" w:color="010000"/>
            </w:tcBorders>
            <w:vAlign w:val="center"/>
          </w:tcPr>
          <w:p>
            <w:pPr>
              <w:jc w:val="right"/>
            </w:pPr>
            <w:r/>
            <w:r>
              <w:rPr>
                <w:rFonts w:hint="eastAsia"/>
                <w:color w:val="000000"/>
                <w:sz w:val="21"/>
              </w:rPr>
              <w:t>30.15</w:t>
            </w:r>
          </w:p>
        </w:tc>
        <w:tc>
          <w:tcPr>
            <w:tcW w:w="2151" w:type="pct"/>
            <w:tcBorders>
              <w:top w:val="single" w:sz="4" w:space="0" w:color="010000"/>
            </w:tcBorders>
            <w:vAlign w:val="center"/>
          </w:tcPr>
          <w:p>
            <w:pPr>
              <w:jc w:val="left"/>
            </w:pPr>
            <w:r/>
            <w:r>
              <w:rPr>
                <w:rFonts w:hint="eastAsia"/>
                <w:color w:val="000000"/>
                <w:sz w:val="21"/>
              </w:rPr>
              <w:t>—</w:t>
            </w:r>
          </w:p>
        </w:tc>
      </w:tr>
    </w:tbl>
    <w:p>
      <w:pPr>
        <w:pStyle w:val="a6"/>
        <w:jc w:val="center"/>
      </w:pPr>
      <w:r>
        <w:rPr>
          <w:rFonts w:hint="eastAsia"/>
          <w:sz w:val="11"/>
          <w:szCs w:val="11"/>
        </w:rPr>
        <w:t>资料来源：托伦斯招股说明书（注册稿），本报告整理。注：表中平均值为招股说明书列示的七家可比公司平均值，不含发行人托伦斯；2025年由于部分公司尚未披露年报，除先锋精科、臻宝科技、京鼎精密、超科林外采用前三季度毛利率；Ferrotec采用其财政年度口径。材料属性一列为本报告依据各公司主营产品描述归纳。</w:t>
      </w:r>
    </w:p>
    <w:p>
      <w:pPr>
        <w:keepNext/>
        <w:jc w:val="center"/>
      </w:pPr>
      <w:r>
        <w:drawing>
          <wp:inline xmlns:a="http://schemas.openxmlformats.org/drawingml/2006/main" xmlns:pic="http://schemas.openxmlformats.org/drawingml/2006/picture">
            <wp:extent cx="5074920" cy="2199132"/>
            <wp:docPr id="5" name="Picture 5"/>
            <wp:cNvGraphicFramePr>
              <a:graphicFrameLocks noChangeAspect="1"/>
            </wp:cNvGraphicFramePr>
            <a:graphic>
              <a:graphicData uri="http://schemas.openxmlformats.org/drawingml/2006/picture">
                <pic:pic>
                  <pic:nvPicPr>
                    <pic:cNvPr id="0" name="fig5_maolilv.png"/>
                    <pic:cNvPicPr/>
                  </pic:nvPicPr>
                  <pic:blipFill>
                    <a:blip r:embed="rId20"/>
                    <a:stretch>
                      <a:fillRect/>
                    </a:stretch>
                  </pic:blipFill>
                  <pic:spPr>
                    <a:xfrm>
                      <a:off x="0" y="0"/>
                      <a:ext cx="5074920" cy="2199132"/>
                    </a:xfrm>
                    <a:prstGeom prst="rect"/>
                  </pic:spPr>
                </pic:pic>
              </a:graphicData>
            </a:graphic>
          </wp:inline>
        </w:drawing>
      </w:r>
    </w:p>
    <w:p>
      <w:pPr>
        <w:jc w:val="center"/>
      </w:pPr>
      <w:r>
        <w:rPr>
          <w:rFonts w:hint="eastAsia"/>
          <w:b/>
          <w:sz w:val="21"/>
        </w:rPr>
        <w:t>图5  可比公司2025年主营业务毛利率（按材料路线分组）</w:t>
      </w:r>
    </w:p>
    <w:p>
      <w:pPr>
        <w:pStyle w:val="a6"/>
        <w:jc w:val="center"/>
      </w:pPr>
      <w:r>
        <w:rPr>
          <w:rFonts w:hint="eastAsia"/>
          <w:sz w:val="11"/>
          <w:szCs w:val="11"/>
        </w:rPr>
        <w:t>资料来源：托伦斯招股说明书（注册稿），本报告整理</w:t>
      </w:r>
    </w:p>
    <w:p>
      <w:pPr>
        <w:pStyle w:val="a0"/>
      </w:pPr>
      <w:r>
        <w:rPr>
          <w:rFonts w:hint="eastAsia"/>
        </w:rPr>
        <w:t>按公开披露，毛利率差异的原因为：珂玛科技和臻宝科技主营非金属类半导体设备零部件，加工过程中产生的附加值较原材料成本而言较高，因此毛利率较高；京鼎精密和超科林主营产品中包含半导体设备模组类产品，由于模组类产品外购零部件成本占比较大，因此毛利率较低；先锋精科销售占比较高的产品为腔体和内衬，大尺寸腔体毛利率相对较高、部分内衬作为备件亦具备较高毛利率；富创精密近年加大模组类产品销售，该类产品毛利率相对较低；Ferrotec产品类型较多，除零部件外还包括设备部件清洗服务与光伏设备制造。</w:t>
      </w:r>
    </w:p>
    <w:p>
      <w:pPr>
        <w:pStyle w:val="3"/>
        <w:numPr>
          <w:ilvl w:val="0"/>
          <w:numId w:val="0"/>
        </w:numPr>
        <w:spacing w:before="156" w:after="156"/>
      </w:pPr>
      <w:bookmarkStart w:id="1018" w:name="_Toc900018"/>
      <w:r>
        <w:rPr>
          <w:rFonts w:hint="eastAsia"/>
        </w:rPr>
        <w:t>4.3 研发投入水平</w:t>
      </w:r>
      <w:bookmarkEnd w:id="1018"/>
    </w:p>
    <w:p>
      <w:pPr>
        <w:keepNext/>
        <w:jc w:val="center"/>
      </w:pPr>
      <w:r>
        <w:rPr>
          <w:rFonts w:hint="eastAsia"/>
          <w:b/>
          <w:sz w:val="21"/>
        </w:rPr>
        <w:t>表7  可比公司研发费用率对比</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1571"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1143" w:type="pct"/>
            <w:tcBorders>
              <w:top w:val="single" w:sz="12" w:space="0" w:color="010000"/>
              <w:bottom w:val="single" w:sz="4" w:space="0" w:color="010000"/>
            </w:tcBorders>
            <w:vAlign w:val="center"/>
          </w:tcPr>
          <w:p>
            <w:pPr>
              <w:keepNext/>
              <w:jc w:val="center"/>
            </w:pPr>
            <w:r/>
            <w:r>
              <w:rPr>
                <w:rFonts w:hint="eastAsia"/>
                <w:b/>
                <w:color w:val="000000"/>
                <w:sz w:val="21"/>
              </w:rPr>
              <w:t>2025年（%）</w:t>
            </w:r>
          </w:p>
        </w:tc>
        <w:tc>
          <w:tcPr>
            <w:tcW w:w="1143" w:type="pct"/>
            <w:tcBorders>
              <w:top w:val="single" w:sz="12" w:space="0" w:color="010000"/>
              <w:bottom w:val="single" w:sz="4" w:space="0" w:color="010000"/>
            </w:tcBorders>
            <w:vAlign w:val="center"/>
          </w:tcPr>
          <w:p>
            <w:pPr>
              <w:keepNext/>
              <w:jc w:val="center"/>
            </w:pPr>
            <w:r/>
            <w:r>
              <w:rPr>
                <w:rFonts w:hint="eastAsia"/>
                <w:b/>
                <w:color w:val="000000"/>
                <w:sz w:val="21"/>
              </w:rPr>
              <w:t>2024年（%）</w:t>
            </w:r>
          </w:p>
        </w:tc>
        <w:tc>
          <w:tcPr>
            <w:tcW w:w="1143" w:type="pct"/>
            <w:tcBorders>
              <w:top w:val="single" w:sz="12" w:space="0" w:color="010000"/>
              <w:bottom w:val="single" w:sz="4" w:space="0" w:color="010000"/>
            </w:tcBorders>
            <w:vAlign w:val="center"/>
          </w:tcPr>
          <w:p>
            <w:pPr>
              <w:keepNext/>
              <w:jc w:val="center"/>
            </w:pPr>
            <w:r/>
            <w:r>
              <w:rPr>
                <w:rFonts w:hint="eastAsia"/>
                <w:b/>
                <w:color w:val="000000"/>
                <w:sz w:val="21"/>
              </w:rPr>
              <w:t>2023年（%）</w:t>
            </w:r>
          </w:p>
        </w:tc>
      </w:tr>
      <w:tr>
        <w:trPr>
          <w:cantSplit/>
          <w:jc w:val="center"/>
        </w:trPr>
        <w:tc>
          <w:tcPr>
            <w:tcW w:w="1571" w:type="pct"/>
            <w:tcBorders>
              <w:top w:val="single" w:sz="4" w:space="0" w:color="010000"/>
            </w:tcBorders>
            <w:vAlign w:val="center"/>
          </w:tcPr>
          <w:p>
            <w:pPr>
              <w:jc w:val="center"/>
            </w:pPr>
            <w:r/>
            <w:r>
              <w:rPr>
                <w:rFonts w:hint="eastAsia"/>
                <w:color w:val="000000"/>
                <w:sz w:val="21"/>
              </w:rPr>
              <w:t>珂玛科技</w:t>
            </w:r>
          </w:p>
        </w:tc>
        <w:tc>
          <w:tcPr>
            <w:tcW w:w="1143" w:type="pct"/>
            <w:tcBorders>
              <w:top w:val="single" w:sz="4" w:space="0" w:color="010000"/>
            </w:tcBorders>
            <w:vAlign w:val="center"/>
          </w:tcPr>
          <w:p>
            <w:pPr>
              <w:jc w:val="right"/>
            </w:pPr>
            <w:r/>
            <w:r>
              <w:rPr>
                <w:rFonts w:hint="eastAsia"/>
                <w:color w:val="000000"/>
                <w:sz w:val="21"/>
              </w:rPr>
              <w:t>9.32</w:t>
            </w:r>
          </w:p>
        </w:tc>
        <w:tc>
          <w:tcPr>
            <w:tcW w:w="1143" w:type="pct"/>
            <w:tcBorders>
              <w:top w:val="single" w:sz="4" w:space="0" w:color="010000"/>
            </w:tcBorders>
            <w:vAlign w:val="center"/>
          </w:tcPr>
          <w:p>
            <w:pPr>
              <w:jc w:val="right"/>
            </w:pPr>
            <w:r/>
            <w:r>
              <w:rPr>
                <w:rFonts w:hint="eastAsia"/>
                <w:color w:val="000000"/>
                <w:sz w:val="21"/>
              </w:rPr>
              <w:t>7.73</w:t>
            </w:r>
          </w:p>
        </w:tc>
        <w:tc>
          <w:tcPr>
            <w:tcW w:w="1143" w:type="pct"/>
            <w:tcBorders>
              <w:top w:val="single" w:sz="4" w:space="0" w:color="010000"/>
            </w:tcBorders>
            <w:vAlign w:val="center"/>
          </w:tcPr>
          <w:p>
            <w:pPr>
              <w:jc w:val="right"/>
            </w:pPr>
            <w:r/>
            <w:r>
              <w:rPr>
                <w:rFonts w:hint="eastAsia"/>
                <w:color w:val="000000"/>
                <w:sz w:val="21"/>
              </w:rPr>
              <w:t>9.69</w:t>
            </w:r>
          </w:p>
        </w:tc>
      </w:tr>
      <w:tr>
        <w:trPr>
          <w:cantSplit/>
          <w:jc w:val="center"/>
        </w:trPr>
        <w:tc>
          <w:tcPr>
            <w:tcW w:w="1571" w:type="pct"/>
            <w:tcBorders>
              <w:top w:val="single" w:sz="4" w:space="0" w:color="010000"/>
            </w:tcBorders>
            <w:vAlign w:val="center"/>
          </w:tcPr>
          <w:p>
            <w:pPr>
              <w:jc w:val="center"/>
            </w:pPr>
            <w:r/>
            <w:r>
              <w:rPr>
                <w:rFonts w:hint="eastAsia"/>
                <w:color w:val="000000"/>
                <w:sz w:val="21"/>
              </w:rPr>
              <w:t>富创精密</w:t>
            </w:r>
          </w:p>
        </w:tc>
        <w:tc>
          <w:tcPr>
            <w:tcW w:w="1143" w:type="pct"/>
            <w:tcBorders>
              <w:top w:val="single" w:sz="4" w:space="0" w:color="010000"/>
            </w:tcBorders>
            <w:vAlign w:val="center"/>
          </w:tcPr>
          <w:p>
            <w:pPr>
              <w:jc w:val="right"/>
            </w:pPr>
            <w:r/>
            <w:r>
              <w:rPr>
                <w:rFonts w:hint="eastAsia"/>
                <w:color w:val="000000"/>
                <w:sz w:val="21"/>
              </w:rPr>
              <w:t>7.15</w:t>
            </w:r>
          </w:p>
        </w:tc>
        <w:tc>
          <w:tcPr>
            <w:tcW w:w="1143" w:type="pct"/>
            <w:tcBorders>
              <w:top w:val="single" w:sz="4" w:space="0" w:color="010000"/>
            </w:tcBorders>
            <w:vAlign w:val="center"/>
          </w:tcPr>
          <w:p>
            <w:pPr>
              <w:jc w:val="right"/>
            </w:pPr>
            <w:r/>
            <w:r>
              <w:rPr>
                <w:rFonts w:hint="eastAsia"/>
                <w:color w:val="000000"/>
                <w:sz w:val="21"/>
              </w:rPr>
              <w:t>7.28</w:t>
            </w:r>
          </w:p>
        </w:tc>
        <w:tc>
          <w:tcPr>
            <w:tcW w:w="1143" w:type="pct"/>
            <w:tcBorders>
              <w:top w:val="single" w:sz="4" w:space="0" w:color="010000"/>
            </w:tcBorders>
            <w:vAlign w:val="center"/>
          </w:tcPr>
          <w:p>
            <w:pPr>
              <w:jc w:val="right"/>
            </w:pPr>
            <w:r/>
            <w:r>
              <w:rPr>
                <w:rFonts w:hint="eastAsia"/>
                <w:color w:val="000000"/>
                <w:sz w:val="21"/>
              </w:rPr>
              <w:t>9.97</w:t>
            </w:r>
          </w:p>
        </w:tc>
      </w:tr>
      <w:tr>
        <w:trPr>
          <w:cantSplit/>
          <w:jc w:val="center"/>
        </w:trPr>
        <w:tc>
          <w:tcPr>
            <w:tcW w:w="1571" w:type="pct"/>
            <w:tcBorders>
              <w:top w:val="single" w:sz="4" w:space="0" w:color="010000"/>
            </w:tcBorders>
            <w:vAlign w:val="center"/>
          </w:tcPr>
          <w:p>
            <w:pPr>
              <w:jc w:val="center"/>
            </w:pPr>
            <w:r/>
            <w:r>
              <w:rPr>
                <w:rFonts w:hint="eastAsia"/>
                <w:color w:val="000000"/>
                <w:sz w:val="21"/>
              </w:rPr>
              <w:t>臻宝科技</w:t>
            </w:r>
          </w:p>
        </w:tc>
        <w:tc>
          <w:tcPr>
            <w:tcW w:w="1143" w:type="pct"/>
            <w:tcBorders>
              <w:top w:val="single" w:sz="4" w:space="0" w:color="010000"/>
            </w:tcBorders>
            <w:vAlign w:val="center"/>
          </w:tcPr>
          <w:p>
            <w:pPr>
              <w:jc w:val="right"/>
            </w:pPr>
            <w:r/>
            <w:r>
              <w:rPr>
                <w:rFonts w:hint="eastAsia"/>
                <w:color w:val="000000"/>
                <w:sz w:val="21"/>
              </w:rPr>
              <w:t>7.05</w:t>
            </w:r>
          </w:p>
        </w:tc>
        <w:tc>
          <w:tcPr>
            <w:tcW w:w="1143" w:type="pct"/>
            <w:tcBorders>
              <w:top w:val="single" w:sz="4" w:space="0" w:color="010000"/>
            </w:tcBorders>
            <w:vAlign w:val="center"/>
          </w:tcPr>
          <w:p>
            <w:pPr>
              <w:jc w:val="right"/>
            </w:pPr>
            <w:r/>
            <w:r>
              <w:rPr>
                <w:rFonts w:hint="eastAsia"/>
                <w:color w:val="000000"/>
                <w:sz w:val="21"/>
              </w:rPr>
              <w:t>8.36</w:t>
            </w:r>
          </w:p>
        </w:tc>
        <w:tc>
          <w:tcPr>
            <w:tcW w:w="1143" w:type="pct"/>
            <w:tcBorders>
              <w:top w:val="single" w:sz="4" w:space="0" w:color="010000"/>
            </w:tcBorders>
            <w:vAlign w:val="center"/>
          </w:tcPr>
          <w:p>
            <w:pPr>
              <w:jc w:val="right"/>
            </w:pPr>
            <w:r/>
            <w:r>
              <w:rPr>
                <w:rFonts w:hint="eastAsia"/>
                <w:color w:val="000000"/>
                <w:sz w:val="21"/>
              </w:rPr>
              <w:t>5.91</w:t>
            </w:r>
          </w:p>
        </w:tc>
      </w:tr>
      <w:tr>
        <w:trPr>
          <w:cantSplit/>
          <w:jc w:val="center"/>
        </w:trPr>
        <w:tc>
          <w:tcPr>
            <w:tcW w:w="1571" w:type="pct"/>
            <w:tcBorders>
              <w:top w:val="single" w:sz="4" w:space="0" w:color="010000"/>
            </w:tcBorders>
            <w:vAlign w:val="center"/>
          </w:tcPr>
          <w:p>
            <w:pPr>
              <w:jc w:val="center"/>
            </w:pPr>
            <w:r/>
            <w:r>
              <w:rPr>
                <w:rFonts w:hint="eastAsia"/>
                <w:color w:val="000000"/>
                <w:sz w:val="21"/>
              </w:rPr>
              <w:t>先锋精科</w:t>
            </w:r>
          </w:p>
        </w:tc>
        <w:tc>
          <w:tcPr>
            <w:tcW w:w="1143" w:type="pct"/>
            <w:tcBorders>
              <w:top w:val="single" w:sz="4" w:space="0" w:color="010000"/>
            </w:tcBorders>
            <w:vAlign w:val="center"/>
          </w:tcPr>
          <w:p>
            <w:pPr>
              <w:jc w:val="right"/>
            </w:pPr>
            <w:r/>
            <w:r>
              <w:rPr>
                <w:rFonts w:hint="eastAsia"/>
                <w:color w:val="000000"/>
                <w:sz w:val="21"/>
              </w:rPr>
              <w:t>5.77</w:t>
            </w:r>
          </w:p>
        </w:tc>
        <w:tc>
          <w:tcPr>
            <w:tcW w:w="1143" w:type="pct"/>
            <w:tcBorders>
              <w:top w:val="single" w:sz="4" w:space="0" w:color="010000"/>
            </w:tcBorders>
            <w:vAlign w:val="center"/>
          </w:tcPr>
          <w:p>
            <w:pPr>
              <w:jc w:val="right"/>
            </w:pPr>
            <w:r/>
            <w:r>
              <w:rPr>
                <w:rFonts w:hint="eastAsia"/>
                <w:color w:val="000000"/>
                <w:sz w:val="21"/>
              </w:rPr>
              <w:t>5.64</w:t>
            </w:r>
          </w:p>
        </w:tc>
        <w:tc>
          <w:tcPr>
            <w:tcW w:w="1143" w:type="pct"/>
            <w:tcBorders>
              <w:top w:val="single" w:sz="4" w:space="0" w:color="010000"/>
            </w:tcBorders>
            <w:vAlign w:val="center"/>
          </w:tcPr>
          <w:p>
            <w:pPr>
              <w:jc w:val="right"/>
            </w:pPr>
            <w:r/>
            <w:r>
              <w:rPr>
                <w:rFonts w:hint="eastAsia"/>
                <w:color w:val="000000"/>
                <w:sz w:val="21"/>
              </w:rPr>
              <w:t>6.51</w:t>
            </w:r>
          </w:p>
        </w:tc>
      </w:tr>
      <w:tr>
        <w:trPr>
          <w:cantSplit/>
          <w:jc w:val="center"/>
        </w:trPr>
        <w:tc>
          <w:tcPr>
            <w:tcW w:w="1571" w:type="pct"/>
            <w:tcBorders>
              <w:top w:val="single" w:sz="4" w:space="0" w:color="010000"/>
            </w:tcBorders>
            <w:vAlign w:val="center"/>
          </w:tcPr>
          <w:p>
            <w:pPr>
              <w:jc w:val="center"/>
            </w:pPr>
            <w:r/>
            <w:r>
              <w:rPr>
                <w:rFonts w:hint="eastAsia"/>
                <w:color w:val="000000"/>
                <w:sz w:val="21"/>
              </w:rPr>
              <w:t>托伦斯</w:t>
            </w:r>
          </w:p>
        </w:tc>
        <w:tc>
          <w:tcPr>
            <w:tcW w:w="1143" w:type="pct"/>
            <w:tcBorders>
              <w:top w:val="single" w:sz="4" w:space="0" w:color="010000"/>
            </w:tcBorders>
            <w:vAlign w:val="center"/>
          </w:tcPr>
          <w:p>
            <w:pPr>
              <w:jc w:val="right"/>
            </w:pPr>
            <w:r/>
            <w:r>
              <w:rPr>
                <w:rFonts w:hint="eastAsia"/>
                <w:color w:val="000000"/>
                <w:sz w:val="21"/>
              </w:rPr>
              <w:t>4.44</w:t>
            </w:r>
          </w:p>
        </w:tc>
        <w:tc>
          <w:tcPr>
            <w:tcW w:w="1143" w:type="pct"/>
            <w:tcBorders>
              <w:top w:val="single" w:sz="4" w:space="0" w:color="010000"/>
            </w:tcBorders>
            <w:vAlign w:val="center"/>
          </w:tcPr>
          <w:p>
            <w:pPr>
              <w:jc w:val="right"/>
            </w:pPr>
            <w:r/>
            <w:r>
              <w:rPr>
                <w:rFonts w:hint="eastAsia"/>
                <w:color w:val="000000"/>
                <w:sz w:val="21"/>
              </w:rPr>
              <w:t>3.84</w:t>
            </w:r>
          </w:p>
        </w:tc>
        <w:tc>
          <w:tcPr>
            <w:tcW w:w="1143" w:type="pct"/>
            <w:tcBorders>
              <w:top w:val="single" w:sz="4" w:space="0" w:color="010000"/>
            </w:tcBorders>
            <w:vAlign w:val="center"/>
          </w:tcPr>
          <w:p>
            <w:pPr>
              <w:jc w:val="right"/>
            </w:pPr>
            <w:r/>
            <w:r>
              <w:rPr>
                <w:rFonts w:hint="eastAsia"/>
                <w:color w:val="000000"/>
                <w:sz w:val="21"/>
              </w:rPr>
              <w:t>3.97</w:t>
            </w:r>
          </w:p>
        </w:tc>
      </w:tr>
      <w:tr>
        <w:trPr>
          <w:cantSplit/>
          <w:jc w:val="center"/>
        </w:trPr>
        <w:tc>
          <w:tcPr>
            <w:tcW w:w="1571" w:type="pct"/>
            <w:tcBorders>
              <w:top w:val="single" w:sz="4" w:space="0" w:color="010000"/>
            </w:tcBorders>
            <w:vAlign w:val="center"/>
          </w:tcPr>
          <w:p>
            <w:pPr>
              <w:jc w:val="center"/>
            </w:pPr>
            <w:r/>
            <w:r>
              <w:rPr>
                <w:rFonts w:hint="eastAsia"/>
                <w:color w:val="000000"/>
                <w:sz w:val="21"/>
              </w:rPr>
              <w:t>京鼎精密</w:t>
            </w:r>
          </w:p>
        </w:tc>
        <w:tc>
          <w:tcPr>
            <w:tcW w:w="1143" w:type="pct"/>
            <w:tcBorders>
              <w:top w:val="single" w:sz="4" w:space="0" w:color="010000"/>
            </w:tcBorders>
            <w:vAlign w:val="center"/>
          </w:tcPr>
          <w:p>
            <w:pPr>
              <w:jc w:val="right"/>
            </w:pPr>
            <w:r/>
            <w:r>
              <w:rPr>
                <w:rFonts w:hint="eastAsia"/>
                <w:color w:val="000000"/>
                <w:sz w:val="21"/>
              </w:rPr>
              <w:t>3.38</w:t>
            </w:r>
          </w:p>
        </w:tc>
        <w:tc>
          <w:tcPr>
            <w:tcW w:w="1143" w:type="pct"/>
            <w:tcBorders>
              <w:top w:val="single" w:sz="4" w:space="0" w:color="010000"/>
            </w:tcBorders>
            <w:vAlign w:val="center"/>
          </w:tcPr>
          <w:p>
            <w:pPr>
              <w:jc w:val="right"/>
            </w:pPr>
            <w:r/>
            <w:r>
              <w:rPr>
                <w:rFonts w:hint="eastAsia"/>
                <w:color w:val="000000"/>
                <w:sz w:val="21"/>
              </w:rPr>
              <w:t>3.44</w:t>
            </w:r>
          </w:p>
        </w:tc>
        <w:tc>
          <w:tcPr>
            <w:tcW w:w="1143" w:type="pct"/>
            <w:tcBorders>
              <w:top w:val="single" w:sz="4" w:space="0" w:color="010000"/>
            </w:tcBorders>
            <w:vAlign w:val="center"/>
          </w:tcPr>
          <w:p>
            <w:pPr>
              <w:jc w:val="right"/>
            </w:pPr>
            <w:r/>
            <w:r>
              <w:rPr>
                <w:rFonts w:hint="eastAsia"/>
                <w:color w:val="000000"/>
                <w:sz w:val="21"/>
              </w:rPr>
              <w:t>3.90</w:t>
            </w:r>
          </w:p>
        </w:tc>
      </w:tr>
      <w:tr>
        <w:trPr>
          <w:cantSplit/>
          <w:jc w:val="center"/>
        </w:trPr>
        <w:tc>
          <w:tcPr>
            <w:tcW w:w="1571" w:type="pct"/>
            <w:tcBorders>
              <w:top w:val="single" w:sz="4" w:space="0" w:color="010000"/>
            </w:tcBorders>
            <w:vAlign w:val="center"/>
          </w:tcPr>
          <w:p>
            <w:pPr>
              <w:jc w:val="center"/>
            </w:pPr>
            <w:r/>
            <w:r>
              <w:rPr>
                <w:rFonts w:hint="eastAsia"/>
                <w:color w:val="000000"/>
                <w:sz w:val="21"/>
              </w:rPr>
              <w:t>超科林</w:t>
            </w:r>
          </w:p>
        </w:tc>
        <w:tc>
          <w:tcPr>
            <w:tcW w:w="1143" w:type="pct"/>
            <w:tcBorders>
              <w:top w:val="single" w:sz="4" w:space="0" w:color="010000"/>
            </w:tcBorders>
            <w:vAlign w:val="center"/>
          </w:tcPr>
          <w:p>
            <w:pPr>
              <w:jc w:val="right"/>
            </w:pPr>
            <w:r/>
            <w:r>
              <w:rPr>
                <w:rFonts w:hint="eastAsia"/>
                <w:color w:val="000000"/>
                <w:sz w:val="21"/>
              </w:rPr>
              <w:t>1.56</w:t>
            </w:r>
          </w:p>
        </w:tc>
        <w:tc>
          <w:tcPr>
            <w:tcW w:w="1143" w:type="pct"/>
            <w:tcBorders>
              <w:top w:val="single" w:sz="4" w:space="0" w:color="010000"/>
            </w:tcBorders>
            <w:vAlign w:val="center"/>
          </w:tcPr>
          <w:p>
            <w:pPr>
              <w:jc w:val="right"/>
            </w:pPr>
            <w:r/>
            <w:r>
              <w:rPr>
                <w:rFonts w:hint="eastAsia"/>
                <w:color w:val="000000"/>
                <w:sz w:val="21"/>
              </w:rPr>
              <w:t>1.35</w:t>
            </w:r>
          </w:p>
        </w:tc>
        <w:tc>
          <w:tcPr>
            <w:tcW w:w="1143" w:type="pct"/>
            <w:tcBorders>
              <w:top w:val="single" w:sz="4" w:space="0" w:color="010000"/>
            </w:tcBorders>
            <w:vAlign w:val="center"/>
          </w:tcPr>
          <w:p>
            <w:pPr>
              <w:jc w:val="right"/>
            </w:pPr>
            <w:r/>
            <w:r>
              <w:rPr>
                <w:rFonts w:hint="eastAsia"/>
                <w:color w:val="000000"/>
                <w:sz w:val="21"/>
              </w:rPr>
              <w:t>1.63</w:t>
            </w:r>
          </w:p>
        </w:tc>
      </w:tr>
      <w:tr>
        <w:trPr>
          <w:cantSplit/>
          <w:jc w:val="center"/>
        </w:trPr>
        <w:tc>
          <w:tcPr>
            <w:tcW w:w="1571" w:type="pct"/>
            <w:tcBorders>
              <w:top w:val="single" w:sz="4" w:space="0" w:color="010000"/>
            </w:tcBorders>
            <w:vAlign w:val="center"/>
          </w:tcPr>
          <w:p>
            <w:pPr>
              <w:jc w:val="center"/>
            </w:pPr>
            <w:r/>
            <w:r>
              <w:rPr>
                <w:rFonts w:hint="eastAsia"/>
                <w:color w:val="000000"/>
                <w:sz w:val="21"/>
              </w:rPr>
              <w:t>平均值</w:t>
            </w:r>
          </w:p>
        </w:tc>
        <w:tc>
          <w:tcPr>
            <w:tcW w:w="1143" w:type="pct"/>
            <w:tcBorders>
              <w:top w:val="single" w:sz="4" w:space="0" w:color="010000"/>
            </w:tcBorders>
            <w:vAlign w:val="center"/>
          </w:tcPr>
          <w:p>
            <w:pPr>
              <w:jc w:val="right"/>
            </w:pPr>
            <w:r/>
            <w:r>
              <w:rPr>
                <w:rFonts w:hint="eastAsia"/>
                <w:color w:val="000000"/>
                <w:sz w:val="21"/>
              </w:rPr>
              <w:t>5.71</w:t>
            </w:r>
          </w:p>
        </w:tc>
        <w:tc>
          <w:tcPr>
            <w:tcW w:w="1143" w:type="pct"/>
            <w:tcBorders>
              <w:top w:val="single" w:sz="4" w:space="0" w:color="010000"/>
            </w:tcBorders>
            <w:vAlign w:val="center"/>
          </w:tcPr>
          <w:p>
            <w:pPr>
              <w:jc w:val="right"/>
            </w:pPr>
            <w:r/>
            <w:r>
              <w:rPr>
                <w:rFonts w:hint="eastAsia"/>
                <w:color w:val="000000"/>
                <w:sz w:val="21"/>
              </w:rPr>
              <w:t>5.63</w:t>
            </w:r>
          </w:p>
        </w:tc>
        <w:tc>
          <w:tcPr>
            <w:tcW w:w="1143" w:type="pct"/>
            <w:tcBorders>
              <w:top w:val="single" w:sz="4" w:space="0" w:color="010000"/>
            </w:tcBorders>
            <w:vAlign w:val="center"/>
          </w:tcPr>
          <w:p>
            <w:pPr>
              <w:jc w:val="right"/>
            </w:pPr>
            <w:r/>
            <w:r>
              <w:rPr>
                <w:rFonts w:hint="eastAsia"/>
                <w:color w:val="000000"/>
                <w:sz w:val="21"/>
              </w:rPr>
              <w:t>6.27</w:t>
            </w:r>
          </w:p>
        </w:tc>
      </w:tr>
    </w:tbl>
    <w:p>
      <w:pPr>
        <w:pStyle w:val="a6"/>
        <w:jc w:val="center"/>
      </w:pPr>
      <w:r>
        <w:rPr>
          <w:rFonts w:hint="eastAsia"/>
          <w:sz w:val="11"/>
          <w:szCs w:val="11"/>
        </w:rPr>
        <w:t>资料来源：托伦斯招股说明书（注册稿），本报告整理。注：表中平均值为招股说明书列示的可比公司平均值，不含发行人托伦斯；数据来源于可比公司定期报告；富创精密及珂玛科技尚未披露2025年年度数据，列示2025年1—9月数据；Ferrotec未披露研发费用率。</w:t>
      </w:r>
    </w:p>
    <w:p>
      <w:pPr>
        <w:pStyle w:val="3"/>
        <w:numPr>
          <w:ilvl w:val="0"/>
          <w:numId w:val="0"/>
        </w:numPr>
        <w:spacing w:before="156" w:after="156"/>
      </w:pPr>
      <w:bookmarkStart w:id="1019" w:name="_Toc900019"/>
      <w:r>
        <w:rPr>
          <w:rFonts w:hint="eastAsia"/>
        </w:rPr>
        <w:t>4.4 单一产品的毛利率水平</w:t>
      </w:r>
      <w:bookmarkEnd w:id="1019"/>
    </w:p>
    <w:p>
      <w:pPr>
        <w:keepNext/>
        <w:jc w:val="center"/>
      </w:pPr>
      <w:r>
        <w:rPr>
          <w:rFonts w:hint="eastAsia"/>
          <w:b/>
          <w:sz w:val="21"/>
        </w:rPr>
        <w:t>表8  托伦斯分产品毛利率与收入占比</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1444" w:type="pct"/>
            <w:tcBorders>
              <w:top w:val="single" w:sz="12" w:space="0" w:color="010000"/>
              <w:bottom w:val="single" w:sz="4" w:space="0" w:color="010000"/>
            </w:tcBorders>
            <w:vAlign w:val="center"/>
          </w:tcPr>
          <w:p>
            <w:pPr>
              <w:keepNext/>
              <w:jc w:val="center"/>
            </w:pPr>
            <w:r/>
            <w:r>
              <w:rPr>
                <w:rFonts w:hint="eastAsia"/>
                <w:b/>
                <w:color w:val="000000"/>
                <w:sz w:val="21"/>
              </w:rPr>
              <w:t>产品</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2023年毛利率（%）</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2023年收入占比（%）</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2022年毛利率（%）</w:t>
            </w:r>
          </w:p>
        </w:tc>
        <w:tc>
          <w:tcPr>
            <w:tcW w:w="889" w:type="pct"/>
            <w:tcBorders>
              <w:top w:val="single" w:sz="12" w:space="0" w:color="010000"/>
              <w:bottom w:val="single" w:sz="4" w:space="0" w:color="010000"/>
            </w:tcBorders>
            <w:vAlign w:val="center"/>
          </w:tcPr>
          <w:p>
            <w:pPr>
              <w:keepNext/>
              <w:jc w:val="center"/>
            </w:pPr>
            <w:r/>
            <w:r>
              <w:rPr>
                <w:rFonts w:hint="eastAsia"/>
                <w:b/>
                <w:color w:val="000000"/>
                <w:sz w:val="21"/>
              </w:rPr>
              <w:t>2022年收入占比（%）</w:t>
            </w:r>
          </w:p>
        </w:tc>
      </w:tr>
      <w:tr>
        <w:trPr>
          <w:cantSplit/>
          <w:jc w:val="center"/>
        </w:trPr>
        <w:tc>
          <w:tcPr>
            <w:tcW w:w="1444" w:type="pct"/>
            <w:tcBorders>
              <w:top w:val="single" w:sz="4" w:space="0" w:color="010000"/>
            </w:tcBorders>
            <w:vAlign w:val="center"/>
          </w:tcPr>
          <w:p>
            <w:pPr>
              <w:jc w:val="left"/>
            </w:pPr>
            <w:r/>
            <w:r>
              <w:rPr>
                <w:rFonts w:hint="eastAsia"/>
                <w:color w:val="000000"/>
                <w:sz w:val="21"/>
              </w:rPr>
              <w:t>半导体关键工艺零部件（合计）</w:t>
            </w:r>
          </w:p>
        </w:tc>
        <w:tc>
          <w:tcPr>
            <w:tcW w:w="889" w:type="pct"/>
            <w:tcBorders>
              <w:top w:val="single" w:sz="4" w:space="0" w:color="010000"/>
            </w:tcBorders>
            <w:vAlign w:val="center"/>
          </w:tcPr>
          <w:p>
            <w:pPr>
              <w:jc w:val="right"/>
            </w:pPr>
            <w:r/>
            <w:r>
              <w:rPr>
                <w:rFonts w:hint="eastAsia"/>
                <w:color w:val="000000"/>
                <w:sz w:val="21"/>
              </w:rPr>
              <w:t>31.50</w:t>
            </w:r>
          </w:p>
        </w:tc>
        <w:tc>
          <w:tcPr>
            <w:tcW w:w="889" w:type="pct"/>
            <w:tcBorders>
              <w:top w:val="single" w:sz="4" w:space="0" w:color="010000"/>
            </w:tcBorders>
            <w:vAlign w:val="center"/>
          </w:tcPr>
          <w:p>
            <w:pPr>
              <w:jc w:val="right"/>
            </w:pPr>
            <w:r/>
            <w:r>
              <w:rPr>
                <w:rFonts w:hint="eastAsia"/>
                <w:color w:val="000000"/>
                <w:sz w:val="21"/>
              </w:rPr>
              <w:t>41.33</w:t>
            </w:r>
          </w:p>
        </w:tc>
        <w:tc>
          <w:tcPr>
            <w:tcW w:w="889" w:type="pct"/>
            <w:tcBorders>
              <w:top w:val="single" w:sz="4" w:space="0" w:color="010000"/>
            </w:tcBorders>
            <w:vAlign w:val="center"/>
          </w:tcPr>
          <w:p>
            <w:pPr>
              <w:jc w:val="right"/>
            </w:pPr>
            <w:r/>
            <w:r>
              <w:rPr>
                <w:rFonts w:hint="eastAsia"/>
                <w:color w:val="000000"/>
                <w:sz w:val="21"/>
              </w:rPr>
              <w:t>33.17</w:t>
            </w:r>
          </w:p>
        </w:tc>
        <w:tc>
          <w:tcPr>
            <w:tcW w:w="889" w:type="pct"/>
            <w:tcBorders>
              <w:top w:val="single" w:sz="4" w:space="0" w:color="010000"/>
            </w:tcBorders>
            <w:vAlign w:val="center"/>
          </w:tcPr>
          <w:p>
            <w:pPr>
              <w:jc w:val="right"/>
            </w:pPr>
            <w:r/>
            <w:r>
              <w:rPr>
                <w:rFonts w:hint="eastAsia"/>
                <w:color w:val="000000"/>
                <w:sz w:val="21"/>
              </w:rPr>
              <w:t>37.54</w:t>
            </w:r>
          </w:p>
        </w:tc>
      </w:tr>
      <w:tr>
        <w:trPr>
          <w:cantSplit/>
          <w:jc w:val="center"/>
        </w:trPr>
        <w:tc>
          <w:tcPr>
            <w:tcW w:w="1444" w:type="pct"/>
            <w:tcBorders>
              <w:top w:val="single" w:sz="4" w:space="0" w:color="010000"/>
            </w:tcBorders>
            <w:vAlign w:val="center"/>
          </w:tcPr>
          <w:p>
            <w:pPr>
              <w:jc w:val="left"/>
            </w:pPr>
            <w:r/>
            <w:r>
              <w:rPr>
                <w:rFonts w:hint="eastAsia"/>
                <w:color w:val="000000"/>
                <w:sz w:val="21"/>
              </w:rPr>
              <w:t>其中：内衬</w:t>
            </w:r>
          </w:p>
        </w:tc>
        <w:tc>
          <w:tcPr>
            <w:tcW w:w="889" w:type="pct"/>
            <w:tcBorders>
              <w:top w:val="single" w:sz="4" w:space="0" w:color="010000"/>
            </w:tcBorders>
            <w:vAlign w:val="center"/>
          </w:tcPr>
          <w:p>
            <w:pPr>
              <w:jc w:val="right"/>
            </w:pPr>
            <w:r/>
            <w:r>
              <w:rPr>
                <w:rFonts w:hint="eastAsia"/>
                <w:color w:val="000000"/>
                <w:sz w:val="21"/>
              </w:rPr>
              <w:t>44.96</w:t>
            </w:r>
          </w:p>
        </w:tc>
        <w:tc>
          <w:tcPr>
            <w:tcW w:w="889" w:type="pct"/>
            <w:tcBorders>
              <w:top w:val="single" w:sz="4" w:space="0" w:color="010000"/>
            </w:tcBorders>
            <w:vAlign w:val="center"/>
          </w:tcPr>
          <w:p>
            <w:pPr>
              <w:jc w:val="right"/>
            </w:pPr>
            <w:r/>
            <w:r>
              <w:rPr>
                <w:rFonts w:hint="eastAsia"/>
                <w:color w:val="000000"/>
                <w:sz w:val="21"/>
              </w:rPr>
              <w:t>11.63</w:t>
            </w:r>
          </w:p>
        </w:tc>
        <w:tc>
          <w:tcPr>
            <w:tcW w:w="889" w:type="pct"/>
            <w:tcBorders>
              <w:top w:val="single" w:sz="4" w:space="0" w:color="010000"/>
            </w:tcBorders>
            <w:vAlign w:val="center"/>
          </w:tcPr>
          <w:p>
            <w:pPr>
              <w:jc w:val="right"/>
            </w:pPr>
            <w:r/>
            <w:r>
              <w:rPr>
                <w:rFonts w:hint="eastAsia"/>
                <w:color w:val="000000"/>
                <w:sz w:val="21"/>
              </w:rPr>
              <w:t>44.63</w:t>
            </w:r>
          </w:p>
        </w:tc>
        <w:tc>
          <w:tcPr>
            <w:tcW w:w="889" w:type="pct"/>
            <w:tcBorders>
              <w:top w:val="single" w:sz="4" w:space="0" w:color="010000"/>
            </w:tcBorders>
            <w:vAlign w:val="center"/>
          </w:tcPr>
          <w:p>
            <w:pPr>
              <w:jc w:val="right"/>
            </w:pPr>
            <w:r/>
            <w:r>
              <w:rPr>
                <w:rFonts w:hint="eastAsia"/>
                <w:color w:val="000000"/>
                <w:sz w:val="21"/>
              </w:rPr>
              <w:t>11.55</w:t>
            </w:r>
          </w:p>
        </w:tc>
      </w:tr>
      <w:tr>
        <w:trPr>
          <w:cantSplit/>
          <w:jc w:val="center"/>
        </w:trPr>
        <w:tc>
          <w:tcPr>
            <w:tcW w:w="1444" w:type="pct"/>
            <w:tcBorders>
              <w:top w:val="single" w:sz="4" w:space="0" w:color="010000"/>
            </w:tcBorders>
            <w:vAlign w:val="center"/>
          </w:tcPr>
          <w:p>
            <w:pPr>
              <w:jc w:val="left"/>
            </w:pPr>
            <w:r/>
            <w:r>
              <w:rPr>
                <w:rFonts w:hint="eastAsia"/>
                <w:color w:val="000000"/>
                <w:sz w:val="21"/>
              </w:rPr>
              <w:t>冷盘</w:t>
            </w:r>
          </w:p>
        </w:tc>
        <w:tc>
          <w:tcPr>
            <w:tcW w:w="889" w:type="pct"/>
            <w:tcBorders>
              <w:top w:val="single" w:sz="4" w:space="0" w:color="010000"/>
            </w:tcBorders>
            <w:vAlign w:val="center"/>
          </w:tcPr>
          <w:p>
            <w:pPr>
              <w:jc w:val="right"/>
            </w:pPr>
            <w:r/>
            <w:r>
              <w:rPr>
                <w:rFonts w:hint="eastAsia"/>
                <w:color w:val="000000"/>
                <w:sz w:val="21"/>
              </w:rPr>
              <w:t>70.89</w:t>
            </w:r>
          </w:p>
        </w:tc>
        <w:tc>
          <w:tcPr>
            <w:tcW w:w="889" w:type="pct"/>
            <w:tcBorders>
              <w:top w:val="single" w:sz="4" w:space="0" w:color="010000"/>
            </w:tcBorders>
            <w:vAlign w:val="center"/>
          </w:tcPr>
          <w:p>
            <w:pPr>
              <w:jc w:val="right"/>
            </w:pPr>
            <w:r/>
            <w:r>
              <w:rPr>
                <w:rFonts w:hint="eastAsia"/>
                <w:color w:val="000000"/>
                <w:sz w:val="21"/>
              </w:rPr>
              <w:t>2.41</w:t>
            </w:r>
          </w:p>
        </w:tc>
        <w:tc>
          <w:tcPr>
            <w:tcW w:w="889" w:type="pct"/>
            <w:tcBorders>
              <w:top w:val="single" w:sz="4" w:space="0" w:color="010000"/>
            </w:tcBorders>
            <w:vAlign w:val="center"/>
          </w:tcPr>
          <w:p>
            <w:pPr>
              <w:jc w:val="right"/>
            </w:pPr>
            <w:r/>
            <w:r>
              <w:rPr>
                <w:rFonts w:hint="eastAsia"/>
                <w:color w:val="000000"/>
                <w:sz w:val="21"/>
              </w:rPr>
              <w:t>33.95</w:t>
            </w:r>
          </w:p>
        </w:tc>
        <w:tc>
          <w:tcPr>
            <w:tcW w:w="889" w:type="pct"/>
            <w:tcBorders>
              <w:top w:val="single" w:sz="4" w:space="0" w:color="010000"/>
            </w:tcBorders>
            <w:vAlign w:val="center"/>
          </w:tcPr>
          <w:p>
            <w:pPr>
              <w:jc w:val="right"/>
            </w:pPr>
            <w:r/>
            <w:r>
              <w:rPr>
                <w:rFonts w:hint="eastAsia"/>
                <w:color w:val="000000"/>
                <w:sz w:val="21"/>
              </w:rPr>
              <w:t>0.50</w:t>
            </w:r>
          </w:p>
        </w:tc>
      </w:tr>
      <w:tr>
        <w:trPr>
          <w:cantSplit/>
          <w:jc w:val="center"/>
        </w:trPr>
        <w:tc>
          <w:tcPr>
            <w:tcW w:w="1444" w:type="pct"/>
            <w:tcBorders>
              <w:top w:val="single" w:sz="4" w:space="0" w:color="010000"/>
            </w:tcBorders>
            <w:vAlign w:val="center"/>
          </w:tcPr>
          <w:p>
            <w:pPr>
              <w:jc w:val="left"/>
            </w:pPr>
            <w:r/>
            <w:r>
              <w:rPr>
                <w:rFonts w:hint="eastAsia"/>
                <w:color w:val="000000"/>
                <w:sz w:val="21"/>
              </w:rPr>
              <w:t>多管式加热反射罩</w:t>
            </w:r>
          </w:p>
        </w:tc>
        <w:tc>
          <w:tcPr>
            <w:tcW w:w="889" w:type="pct"/>
            <w:tcBorders>
              <w:top w:val="single" w:sz="4" w:space="0" w:color="010000"/>
            </w:tcBorders>
            <w:vAlign w:val="center"/>
          </w:tcPr>
          <w:p>
            <w:pPr>
              <w:jc w:val="right"/>
            </w:pPr>
            <w:r/>
            <w:r>
              <w:rPr>
                <w:rFonts w:hint="eastAsia"/>
                <w:color w:val="000000"/>
                <w:sz w:val="21"/>
              </w:rPr>
              <w:t>33.83</w:t>
            </w:r>
          </w:p>
        </w:tc>
        <w:tc>
          <w:tcPr>
            <w:tcW w:w="889" w:type="pct"/>
            <w:tcBorders>
              <w:top w:val="single" w:sz="4" w:space="0" w:color="010000"/>
            </w:tcBorders>
            <w:vAlign w:val="center"/>
          </w:tcPr>
          <w:p>
            <w:pPr>
              <w:jc w:val="right"/>
            </w:pPr>
            <w:r/>
            <w:r>
              <w:rPr>
                <w:rFonts w:hint="eastAsia"/>
                <w:color w:val="000000"/>
                <w:sz w:val="21"/>
              </w:rPr>
              <w:t>0.94</w:t>
            </w:r>
          </w:p>
        </w:tc>
        <w:tc>
          <w:tcPr>
            <w:tcW w:w="889" w:type="pct"/>
            <w:tcBorders>
              <w:top w:val="single" w:sz="4" w:space="0" w:color="010000"/>
            </w:tcBorders>
            <w:vAlign w:val="center"/>
          </w:tcPr>
          <w:p>
            <w:pPr>
              <w:jc w:val="right"/>
            </w:pPr>
            <w:r/>
            <w:r>
              <w:rPr>
                <w:rFonts w:hint="eastAsia"/>
                <w:color w:val="000000"/>
                <w:sz w:val="21"/>
              </w:rPr>
              <w:t>55.36</w:t>
            </w:r>
          </w:p>
        </w:tc>
        <w:tc>
          <w:tcPr>
            <w:tcW w:w="889" w:type="pct"/>
            <w:tcBorders>
              <w:top w:val="single" w:sz="4" w:space="0" w:color="010000"/>
            </w:tcBorders>
            <w:vAlign w:val="center"/>
          </w:tcPr>
          <w:p>
            <w:pPr>
              <w:jc w:val="right"/>
            </w:pPr>
            <w:r/>
            <w:r>
              <w:rPr>
                <w:rFonts w:hint="eastAsia"/>
                <w:color w:val="000000"/>
                <w:sz w:val="21"/>
              </w:rPr>
              <w:t>1.06</w:t>
            </w:r>
          </w:p>
        </w:tc>
      </w:tr>
      <w:tr>
        <w:trPr>
          <w:cantSplit/>
          <w:jc w:val="center"/>
        </w:trPr>
        <w:tc>
          <w:tcPr>
            <w:tcW w:w="1444" w:type="pct"/>
            <w:tcBorders>
              <w:top w:val="single" w:sz="4" w:space="0" w:color="010000"/>
            </w:tcBorders>
            <w:vAlign w:val="center"/>
          </w:tcPr>
          <w:p>
            <w:pPr>
              <w:jc w:val="left"/>
            </w:pPr>
            <w:r/>
            <w:r>
              <w:rPr>
                <w:rFonts w:hint="eastAsia"/>
                <w:color w:val="000000"/>
                <w:sz w:val="21"/>
              </w:rPr>
              <w:t>静电卡盘基体</w:t>
            </w:r>
          </w:p>
        </w:tc>
        <w:tc>
          <w:tcPr>
            <w:tcW w:w="889" w:type="pct"/>
            <w:tcBorders>
              <w:top w:val="single" w:sz="4" w:space="0" w:color="010000"/>
            </w:tcBorders>
            <w:vAlign w:val="center"/>
          </w:tcPr>
          <w:p>
            <w:pPr>
              <w:jc w:val="right"/>
            </w:pPr>
            <w:r/>
            <w:r>
              <w:rPr>
                <w:rFonts w:hint="eastAsia"/>
                <w:color w:val="000000"/>
                <w:sz w:val="21"/>
              </w:rPr>
              <w:t>30.77</w:t>
            </w:r>
          </w:p>
        </w:tc>
        <w:tc>
          <w:tcPr>
            <w:tcW w:w="889" w:type="pct"/>
            <w:tcBorders>
              <w:top w:val="single" w:sz="4" w:space="0" w:color="010000"/>
            </w:tcBorders>
            <w:vAlign w:val="center"/>
          </w:tcPr>
          <w:p>
            <w:pPr>
              <w:jc w:val="right"/>
            </w:pPr>
            <w:r/>
            <w:r>
              <w:rPr>
                <w:rFonts w:hint="eastAsia"/>
                <w:color w:val="000000"/>
                <w:sz w:val="21"/>
              </w:rPr>
              <w:t>0.38</w:t>
            </w:r>
          </w:p>
        </w:tc>
        <w:tc>
          <w:tcPr>
            <w:tcW w:w="889" w:type="pct"/>
            <w:tcBorders>
              <w:top w:val="single" w:sz="4" w:space="0" w:color="010000"/>
            </w:tcBorders>
            <w:vAlign w:val="center"/>
          </w:tcPr>
          <w:p>
            <w:pPr>
              <w:jc w:val="right"/>
            </w:pPr>
            <w:r/>
            <w:r>
              <w:rPr>
                <w:rFonts w:hint="eastAsia"/>
                <w:color w:val="000000"/>
                <w:sz w:val="21"/>
              </w:rPr>
              <w:t>31.99</w:t>
            </w:r>
          </w:p>
        </w:tc>
        <w:tc>
          <w:tcPr>
            <w:tcW w:w="889" w:type="pct"/>
            <w:tcBorders>
              <w:top w:val="single" w:sz="4" w:space="0" w:color="010000"/>
            </w:tcBorders>
            <w:vAlign w:val="center"/>
          </w:tcPr>
          <w:p>
            <w:pPr>
              <w:jc w:val="right"/>
            </w:pPr>
            <w:r/>
            <w:r>
              <w:rPr>
                <w:rFonts w:hint="eastAsia"/>
                <w:color w:val="000000"/>
                <w:sz w:val="21"/>
              </w:rPr>
              <w:t>0.07</w:t>
            </w:r>
          </w:p>
        </w:tc>
      </w:tr>
      <w:tr>
        <w:trPr>
          <w:cantSplit/>
          <w:jc w:val="center"/>
        </w:trPr>
        <w:tc>
          <w:tcPr>
            <w:tcW w:w="1444" w:type="pct"/>
            <w:tcBorders>
              <w:top w:val="single" w:sz="4" w:space="0" w:color="010000"/>
            </w:tcBorders>
            <w:vAlign w:val="center"/>
          </w:tcPr>
          <w:p>
            <w:pPr>
              <w:jc w:val="left"/>
            </w:pPr>
            <w:r/>
            <w:r>
              <w:rPr>
                <w:rFonts w:hint="eastAsia"/>
                <w:color w:val="000000"/>
                <w:sz w:val="21"/>
              </w:rPr>
              <w:t>匀气盘</w:t>
            </w:r>
          </w:p>
        </w:tc>
        <w:tc>
          <w:tcPr>
            <w:tcW w:w="889" w:type="pct"/>
            <w:tcBorders>
              <w:top w:val="single" w:sz="4" w:space="0" w:color="010000"/>
            </w:tcBorders>
            <w:vAlign w:val="center"/>
          </w:tcPr>
          <w:p>
            <w:pPr>
              <w:jc w:val="right"/>
            </w:pPr>
            <w:r/>
            <w:r>
              <w:rPr>
                <w:rFonts w:hint="eastAsia"/>
                <w:color w:val="000000"/>
                <w:sz w:val="21"/>
              </w:rPr>
              <w:t>27.44</w:t>
            </w:r>
          </w:p>
        </w:tc>
        <w:tc>
          <w:tcPr>
            <w:tcW w:w="889" w:type="pct"/>
            <w:tcBorders>
              <w:top w:val="single" w:sz="4" w:space="0" w:color="010000"/>
            </w:tcBorders>
            <w:vAlign w:val="center"/>
          </w:tcPr>
          <w:p>
            <w:pPr>
              <w:jc w:val="right"/>
            </w:pPr>
            <w:r/>
            <w:r>
              <w:rPr>
                <w:rFonts w:hint="eastAsia"/>
                <w:color w:val="000000"/>
                <w:sz w:val="21"/>
              </w:rPr>
              <w:t>4.29</w:t>
            </w:r>
          </w:p>
        </w:tc>
        <w:tc>
          <w:tcPr>
            <w:tcW w:w="889" w:type="pct"/>
            <w:tcBorders>
              <w:top w:val="single" w:sz="4" w:space="0" w:color="010000"/>
            </w:tcBorders>
            <w:vAlign w:val="center"/>
          </w:tcPr>
          <w:p>
            <w:pPr>
              <w:jc w:val="right"/>
            </w:pPr>
            <w:r/>
            <w:r>
              <w:rPr>
                <w:rFonts w:hint="eastAsia"/>
                <w:color w:val="000000"/>
                <w:sz w:val="21"/>
              </w:rPr>
              <w:t>26.72</w:t>
            </w:r>
          </w:p>
        </w:tc>
        <w:tc>
          <w:tcPr>
            <w:tcW w:w="889" w:type="pct"/>
            <w:tcBorders>
              <w:top w:val="single" w:sz="4" w:space="0" w:color="010000"/>
            </w:tcBorders>
            <w:vAlign w:val="center"/>
          </w:tcPr>
          <w:p>
            <w:pPr>
              <w:jc w:val="right"/>
            </w:pPr>
            <w:r/>
            <w:r>
              <w:rPr>
                <w:rFonts w:hint="eastAsia"/>
                <w:color w:val="000000"/>
                <w:sz w:val="21"/>
              </w:rPr>
              <w:t>4.87</w:t>
            </w:r>
          </w:p>
        </w:tc>
      </w:tr>
      <w:tr>
        <w:trPr>
          <w:cantSplit/>
          <w:jc w:val="center"/>
        </w:trPr>
        <w:tc>
          <w:tcPr>
            <w:tcW w:w="1444" w:type="pct"/>
            <w:tcBorders>
              <w:top w:val="single" w:sz="4" w:space="0" w:color="010000"/>
            </w:tcBorders>
            <w:vAlign w:val="center"/>
          </w:tcPr>
          <w:p>
            <w:pPr>
              <w:jc w:val="left"/>
            </w:pPr>
            <w:r/>
            <w:r>
              <w:rPr>
                <w:rFonts w:hint="eastAsia"/>
                <w:color w:val="000000"/>
                <w:sz w:val="21"/>
              </w:rPr>
              <w:t>腔体</w:t>
            </w:r>
          </w:p>
        </w:tc>
        <w:tc>
          <w:tcPr>
            <w:tcW w:w="889" w:type="pct"/>
            <w:tcBorders>
              <w:top w:val="single" w:sz="4" w:space="0" w:color="010000"/>
            </w:tcBorders>
            <w:vAlign w:val="center"/>
          </w:tcPr>
          <w:p>
            <w:pPr>
              <w:jc w:val="right"/>
            </w:pPr>
            <w:r/>
            <w:r>
              <w:rPr>
                <w:rFonts w:hint="eastAsia"/>
                <w:color w:val="000000"/>
                <w:sz w:val="21"/>
              </w:rPr>
              <w:t>21.35</w:t>
            </w:r>
          </w:p>
        </w:tc>
        <w:tc>
          <w:tcPr>
            <w:tcW w:w="889" w:type="pct"/>
            <w:tcBorders>
              <w:top w:val="single" w:sz="4" w:space="0" w:color="010000"/>
            </w:tcBorders>
            <w:vAlign w:val="center"/>
          </w:tcPr>
          <w:p>
            <w:pPr>
              <w:jc w:val="right"/>
            </w:pPr>
            <w:r/>
            <w:r>
              <w:rPr>
                <w:rFonts w:hint="eastAsia"/>
                <w:color w:val="000000"/>
                <w:sz w:val="21"/>
              </w:rPr>
              <w:t>9.70</w:t>
            </w:r>
          </w:p>
        </w:tc>
        <w:tc>
          <w:tcPr>
            <w:tcW w:w="889" w:type="pct"/>
            <w:tcBorders>
              <w:top w:val="single" w:sz="4" w:space="0" w:color="010000"/>
            </w:tcBorders>
            <w:vAlign w:val="center"/>
          </w:tcPr>
          <w:p>
            <w:pPr>
              <w:jc w:val="right"/>
            </w:pPr>
            <w:r/>
            <w:r>
              <w:rPr>
                <w:rFonts w:hint="eastAsia"/>
                <w:color w:val="000000"/>
                <w:sz w:val="21"/>
              </w:rPr>
              <w:t>24.77</w:t>
            </w:r>
          </w:p>
        </w:tc>
        <w:tc>
          <w:tcPr>
            <w:tcW w:w="889" w:type="pct"/>
            <w:tcBorders>
              <w:top w:val="single" w:sz="4" w:space="0" w:color="010000"/>
            </w:tcBorders>
            <w:vAlign w:val="center"/>
          </w:tcPr>
          <w:p>
            <w:pPr>
              <w:jc w:val="right"/>
            </w:pPr>
            <w:r/>
            <w:r>
              <w:rPr>
                <w:rFonts w:hint="eastAsia"/>
                <w:color w:val="000000"/>
                <w:sz w:val="21"/>
              </w:rPr>
              <w:t>8.51</w:t>
            </w:r>
          </w:p>
        </w:tc>
      </w:tr>
      <w:tr>
        <w:trPr>
          <w:cantSplit/>
          <w:jc w:val="center"/>
        </w:trPr>
        <w:tc>
          <w:tcPr>
            <w:tcW w:w="1444" w:type="pct"/>
            <w:tcBorders>
              <w:top w:val="single" w:sz="4" w:space="0" w:color="010000"/>
            </w:tcBorders>
            <w:vAlign w:val="center"/>
          </w:tcPr>
          <w:p>
            <w:pPr>
              <w:jc w:val="left"/>
            </w:pPr>
            <w:r/>
            <w:r>
              <w:rPr>
                <w:rFonts w:hint="eastAsia"/>
                <w:color w:val="000000"/>
                <w:sz w:val="21"/>
              </w:rPr>
              <w:t>匀气环</w:t>
            </w:r>
          </w:p>
        </w:tc>
        <w:tc>
          <w:tcPr>
            <w:tcW w:w="889" w:type="pct"/>
            <w:tcBorders>
              <w:top w:val="single" w:sz="4" w:space="0" w:color="010000"/>
            </w:tcBorders>
            <w:vAlign w:val="center"/>
          </w:tcPr>
          <w:p>
            <w:pPr>
              <w:jc w:val="right"/>
            </w:pPr>
            <w:r/>
            <w:r>
              <w:rPr>
                <w:rFonts w:hint="eastAsia"/>
                <w:color w:val="000000"/>
                <w:sz w:val="21"/>
              </w:rPr>
              <w:t>21.08</w:t>
            </w:r>
          </w:p>
        </w:tc>
        <w:tc>
          <w:tcPr>
            <w:tcW w:w="889" w:type="pct"/>
            <w:tcBorders>
              <w:top w:val="single" w:sz="4" w:space="0" w:color="010000"/>
            </w:tcBorders>
            <w:vAlign w:val="center"/>
          </w:tcPr>
          <w:p>
            <w:pPr>
              <w:jc w:val="right"/>
            </w:pPr>
            <w:r/>
            <w:r>
              <w:rPr>
                <w:rFonts w:hint="eastAsia"/>
                <w:color w:val="000000"/>
                <w:sz w:val="21"/>
              </w:rPr>
              <w:t>6.01</w:t>
            </w:r>
          </w:p>
        </w:tc>
        <w:tc>
          <w:tcPr>
            <w:tcW w:w="889" w:type="pct"/>
            <w:tcBorders>
              <w:top w:val="single" w:sz="4" w:space="0" w:color="010000"/>
            </w:tcBorders>
            <w:vAlign w:val="center"/>
          </w:tcPr>
          <w:p>
            <w:pPr>
              <w:jc w:val="right"/>
            </w:pPr>
            <w:r/>
            <w:r>
              <w:rPr>
                <w:rFonts w:hint="eastAsia"/>
                <w:color w:val="000000"/>
                <w:sz w:val="21"/>
              </w:rPr>
              <w:t>23.66</w:t>
            </w:r>
          </w:p>
        </w:tc>
        <w:tc>
          <w:tcPr>
            <w:tcW w:w="889" w:type="pct"/>
            <w:tcBorders>
              <w:top w:val="single" w:sz="4" w:space="0" w:color="010000"/>
            </w:tcBorders>
            <w:vAlign w:val="center"/>
          </w:tcPr>
          <w:p>
            <w:pPr>
              <w:jc w:val="right"/>
            </w:pPr>
            <w:r/>
            <w:r>
              <w:rPr>
                <w:rFonts w:hint="eastAsia"/>
                <w:color w:val="000000"/>
                <w:sz w:val="21"/>
              </w:rPr>
              <w:t>6.92</w:t>
            </w:r>
          </w:p>
        </w:tc>
      </w:tr>
      <w:tr>
        <w:trPr>
          <w:cantSplit/>
          <w:jc w:val="center"/>
        </w:trPr>
        <w:tc>
          <w:tcPr>
            <w:tcW w:w="1444" w:type="pct"/>
            <w:tcBorders>
              <w:top w:val="single" w:sz="4" w:space="0" w:color="010000"/>
            </w:tcBorders>
            <w:vAlign w:val="center"/>
          </w:tcPr>
          <w:p>
            <w:pPr>
              <w:jc w:val="left"/>
            </w:pPr>
            <w:r/>
            <w:r>
              <w:rPr>
                <w:rFonts w:hint="eastAsia"/>
                <w:color w:val="000000"/>
                <w:sz w:val="21"/>
              </w:rPr>
              <w:t>气体分布盘</w:t>
            </w:r>
          </w:p>
        </w:tc>
        <w:tc>
          <w:tcPr>
            <w:tcW w:w="889" w:type="pct"/>
            <w:tcBorders>
              <w:top w:val="single" w:sz="4" w:space="0" w:color="010000"/>
            </w:tcBorders>
            <w:vAlign w:val="center"/>
          </w:tcPr>
          <w:p>
            <w:pPr>
              <w:jc w:val="right"/>
            </w:pPr>
            <w:r/>
            <w:r>
              <w:rPr>
                <w:rFonts w:hint="eastAsia"/>
                <w:color w:val="000000"/>
                <w:sz w:val="21"/>
              </w:rPr>
              <w:t>20.05</w:t>
            </w:r>
          </w:p>
        </w:tc>
        <w:tc>
          <w:tcPr>
            <w:tcW w:w="889" w:type="pct"/>
            <w:tcBorders>
              <w:top w:val="single" w:sz="4" w:space="0" w:color="010000"/>
            </w:tcBorders>
            <w:vAlign w:val="center"/>
          </w:tcPr>
          <w:p>
            <w:pPr>
              <w:jc w:val="right"/>
            </w:pPr>
            <w:r/>
            <w:r>
              <w:rPr>
                <w:rFonts w:hint="eastAsia"/>
                <w:color w:val="000000"/>
                <w:sz w:val="21"/>
              </w:rPr>
              <w:t>4.78</w:t>
            </w:r>
          </w:p>
        </w:tc>
        <w:tc>
          <w:tcPr>
            <w:tcW w:w="889" w:type="pct"/>
            <w:tcBorders>
              <w:top w:val="single" w:sz="4" w:space="0" w:color="010000"/>
            </w:tcBorders>
            <w:vAlign w:val="center"/>
          </w:tcPr>
          <w:p>
            <w:pPr>
              <w:jc w:val="right"/>
            </w:pPr>
            <w:r/>
            <w:r>
              <w:rPr>
                <w:rFonts w:hint="eastAsia"/>
                <w:color w:val="000000"/>
                <w:sz w:val="21"/>
              </w:rPr>
              <w:t>40.93</w:t>
            </w:r>
          </w:p>
        </w:tc>
        <w:tc>
          <w:tcPr>
            <w:tcW w:w="889" w:type="pct"/>
            <w:tcBorders>
              <w:top w:val="single" w:sz="4" w:space="0" w:color="010000"/>
            </w:tcBorders>
            <w:vAlign w:val="center"/>
          </w:tcPr>
          <w:p>
            <w:pPr>
              <w:jc w:val="right"/>
            </w:pPr>
            <w:r/>
            <w:r>
              <w:rPr>
                <w:rFonts w:hint="eastAsia"/>
                <w:color w:val="000000"/>
                <w:sz w:val="21"/>
              </w:rPr>
              <w:t>3.75</w:t>
            </w:r>
          </w:p>
        </w:tc>
      </w:tr>
      <w:tr>
        <w:trPr>
          <w:cantSplit/>
          <w:jc w:val="center"/>
        </w:trPr>
        <w:tc>
          <w:tcPr>
            <w:tcW w:w="1444" w:type="pct"/>
            <w:tcBorders>
              <w:top w:val="single" w:sz="4" w:space="0" w:color="010000"/>
            </w:tcBorders>
            <w:vAlign w:val="center"/>
          </w:tcPr>
          <w:p>
            <w:pPr>
              <w:jc w:val="left"/>
            </w:pPr>
            <w:r/>
            <w:r>
              <w:rPr>
                <w:rFonts w:hint="eastAsia"/>
                <w:color w:val="000000"/>
                <w:sz w:val="21"/>
              </w:rPr>
              <w:t>加热器</w:t>
            </w:r>
          </w:p>
        </w:tc>
        <w:tc>
          <w:tcPr>
            <w:tcW w:w="889" w:type="pct"/>
            <w:tcBorders>
              <w:top w:val="single" w:sz="4" w:space="0" w:color="010000"/>
            </w:tcBorders>
            <w:vAlign w:val="center"/>
          </w:tcPr>
          <w:p>
            <w:pPr>
              <w:jc w:val="right"/>
            </w:pPr>
            <w:r/>
            <w:r>
              <w:rPr>
                <w:rFonts w:hint="eastAsia"/>
                <w:color w:val="000000"/>
                <w:sz w:val="21"/>
              </w:rPr>
              <w:t>14.39</w:t>
            </w:r>
          </w:p>
        </w:tc>
        <w:tc>
          <w:tcPr>
            <w:tcW w:w="889" w:type="pct"/>
            <w:tcBorders>
              <w:top w:val="single" w:sz="4" w:space="0" w:color="010000"/>
            </w:tcBorders>
            <w:vAlign w:val="center"/>
          </w:tcPr>
          <w:p>
            <w:pPr>
              <w:jc w:val="right"/>
            </w:pPr>
            <w:r/>
            <w:r>
              <w:rPr>
                <w:rFonts w:hint="eastAsia"/>
                <w:color w:val="000000"/>
                <w:sz w:val="21"/>
              </w:rPr>
              <w:t>1.18</w:t>
            </w:r>
          </w:p>
        </w:tc>
        <w:tc>
          <w:tcPr>
            <w:tcW w:w="889" w:type="pct"/>
            <w:tcBorders>
              <w:top w:val="single" w:sz="4" w:space="0" w:color="010000"/>
            </w:tcBorders>
            <w:vAlign w:val="center"/>
          </w:tcPr>
          <w:p>
            <w:pPr>
              <w:jc w:val="right"/>
            </w:pPr>
            <w:r/>
            <w:r>
              <w:rPr>
                <w:rFonts w:hint="eastAsia"/>
                <w:color w:val="000000"/>
                <w:sz w:val="21"/>
              </w:rPr>
              <w:t>-18.68</w:t>
            </w:r>
          </w:p>
        </w:tc>
        <w:tc>
          <w:tcPr>
            <w:tcW w:w="889" w:type="pct"/>
            <w:tcBorders>
              <w:top w:val="single" w:sz="4" w:space="0" w:color="010000"/>
            </w:tcBorders>
            <w:vAlign w:val="center"/>
          </w:tcPr>
          <w:p>
            <w:pPr>
              <w:jc w:val="right"/>
            </w:pPr>
            <w:r/>
            <w:r>
              <w:rPr>
                <w:rFonts w:hint="eastAsia"/>
                <w:color w:val="000000"/>
                <w:sz w:val="21"/>
              </w:rPr>
              <w:t>0.32</w:t>
            </w:r>
          </w:p>
        </w:tc>
      </w:tr>
      <w:tr>
        <w:trPr>
          <w:cantSplit/>
          <w:jc w:val="center"/>
        </w:trPr>
        <w:tc>
          <w:tcPr>
            <w:tcW w:w="1444" w:type="pct"/>
            <w:tcBorders>
              <w:top w:val="single" w:sz="4" w:space="0" w:color="010000"/>
            </w:tcBorders>
            <w:vAlign w:val="center"/>
          </w:tcPr>
          <w:p>
            <w:pPr>
              <w:jc w:val="left"/>
            </w:pPr>
            <w:r/>
            <w:r>
              <w:rPr>
                <w:rFonts w:hint="eastAsia"/>
                <w:color w:val="000000"/>
                <w:sz w:val="21"/>
              </w:rPr>
              <w:t>半导体结构零部件</w:t>
            </w:r>
          </w:p>
        </w:tc>
        <w:tc>
          <w:tcPr>
            <w:tcW w:w="889" w:type="pct"/>
            <w:tcBorders>
              <w:top w:val="single" w:sz="4" w:space="0" w:color="010000"/>
            </w:tcBorders>
            <w:vAlign w:val="center"/>
          </w:tcPr>
          <w:p>
            <w:pPr>
              <w:jc w:val="right"/>
            </w:pPr>
            <w:r/>
            <w:r>
              <w:rPr>
                <w:rFonts w:hint="eastAsia"/>
                <w:color w:val="000000"/>
                <w:sz w:val="21"/>
              </w:rPr>
              <w:t>20.82</w:t>
            </w:r>
          </w:p>
        </w:tc>
        <w:tc>
          <w:tcPr>
            <w:tcW w:w="889" w:type="pct"/>
            <w:tcBorders>
              <w:top w:val="single" w:sz="4" w:space="0" w:color="010000"/>
            </w:tcBorders>
            <w:vAlign w:val="center"/>
          </w:tcPr>
          <w:p>
            <w:pPr>
              <w:jc w:val="right"/>
            </w:pPr>
            <w:r/>
            <w:r>
              <w:rPr>
                <w:rFonts w:hint="eastAsia"/>
                <w:color w:val="000000"/>
                <w:sz w:val="21"/>
              </w:rPr>
              <w:t>28.66</w:t>
            </w:r>
          </w:p>
        </w:tc>
        <w:tc>
          <w:tcPr>
            <w:tcW w:w="889" w:type="pct"/>
            <w:tcBorders>
              <w:top w:val="single" w:sz="4" w:space="0" w:color="010000"/>
            </w:tcBorders>
            <w:vAlign w:val="center"/>
          </w:tcPr>
          <w:p>
            <w:pPr>
              <w:jc w:val="right"/>
            </w:pPr>
            <w:r/>
            <w:r>
              <w:rPr>
                <w:rFonts w:hint="eastAsia"/>
                <w:color w:val="000000"/>
                <w:sz w:val="21"/>
              </w:rPr>
              <w:t>30.37</w:t>
            </w:r>
          </w:p>
        </w:tc>
        <w:tc>
          <w:tcPr>
            <w:tcW w:w="889" w:type="pct"/>
            <w:tcBorders>
              <w:top w:val="single" w:sz="4" w:space="0" w:color="010000"/>
            </w:tcBorders>
            <w:vAlign w:val="center"/>
          </w:tcPr>
          <w:p>
            <w:pPr>
              <w:jc w:val="right"/>
            </w:pPr>
            <w:r/>
            <w:r>
              <w:rPr>
                <w:rFonts w:hint="eastAsia"/>
                <w:color w:val="000000"/>
                <w:sz w:val="21"/>
              </w:rPr>
              <w:t>26.78</w:t>
            </w:r>
          </w:p>
        </w:tc>
      </w:tr>
      <w:tr>
        <w:trPr>
          <w:cantSplit/>
          <w:jc w:val="center"/>
        </w:trPr>
        <w:tc>
          <w:tcPr>
            <w:tcW w:w="1444" w:type="pct"/>
            <w:tcBorders>
              <w:top w:val="single" w:sz="4" w:space="0" w:color="010000"/>
            </w:tcBorders>
            <w:vAlign w:val="center"/>
          </w:tcPr>
          <w:p>
            <w:pPr>
              <w:jc w:val="left"/>
            </w:pPr>
            <w:r/>
            <w:r>
              <w:rPr>
                <w:rFonts w:hint="eastAsia"/>
                <w:color w:val="000000"/>
                <w:sz w:val="21"/>
              </w:rPr>
              <w:t>半导体工艺零部件</w:t>
            </w:r>
          </w:p>
        </w:tc>
        <w:tc>
          <w:tcPr>
            <w:tcW w:w="889" w:type="pct"/>
            <w:tcBorders>
              <w:top w:val="single" w:sz="4" w:space="0" w:color="010000"/>
            </w:tcBorders>
            <w:vAlign w:val="center"/>
          </w:tcPr>
          <w:p>
            <w:pPr>
              <w:jc w:val="right"/>
            </w:pPr>
            <w:r/>
            <w:r>
              <w:rPr>
                <w:rFonts w:hint="eastAsia"/>
                <w:color w:val="000000"/>
                <w:sz w:val="21"/>
              </w:rPr>
              <w:t>14.43</w:t>
            </w:r>
          </w:p>
        </w:tc>
        <w:tc>
          <w:tcPr>
            <w:tcW w:w="889" w:type="pct"/>
            <w:tcBorders>
              <w:top w:val="single" w:sz="4" w:space="0" w:color="010000"/>
            </w:tcBorders>
            <w:vAlign w:val="center"/>
          </w:tcPr>
          <w:p>
            <w:pPr>
              <w:jc w:val="right"/>
            </w:pPr>
            <w:r/>
            <w:r>
              <w:rPr>
                <w:rFonts w:hint="eastAsia"/>
                <w:color w:val="000000"/>
                <w:sz w:val="21"/>
              </w:rPr>
              <w:t>14.92</w:t>
            </w:r>
          </w:p>
        </w:tc>
        <w:tc>
          <w:tcPr>
            <w:tcW w:w="889" w:type="pct"/>
            <w:tcBorders>
              <w:top w:val="single" w:sz="4" w:space="0" w:color="010000"/>
            </w:tcBorders>
            <w:vAlign w:val="center"/>
          </w:tcPr>
          <w:p>
            <w:pPr>
              <w:jc w:val="right"/>
            </w:pPr>
            <w:r/>
            <w:r>
              <w:rPr>
                <w:rFonts w:hint="eastAsia"/>
                <w:color w:val="000000"/>
                <w:sz w:val="21"/>
              </w:rPr>
              <w:t>27.98</w:t>
            </w:r>
          </w:p>
        </w:tc>
        <w:tc>
          <w:tcPr>
            <w:tcW w:w="889" w:type="pct"/>
            <w:tcBorders>
              <w:top w:val="single" w:sz="4" w:space="0" w:color="010000"/>
            </w:tcBorders>
            <w:vAlign w:val="center"/>
          </w:tcPr>
          <w:p>
            <w:pPr>
              <w:jc w:val="right"/>
            </w:pPr>
            <w:r/>
            <w:r>
              <w:rPr>
                <w:rFonts w:hint="eastAsia"/>
                <w:color w:val="000000"/>
                <w:sz w:val="21"/>
              </w:rPr>
              <w:t>17.36</w:t>
            </w:r>
          </w:p>
        </w:tc>
      </w:tr>
    </w:tbl>
    <w:p>
      <w:pPr>
        <w:pStyle w:val="a6"/>
        <w:jc w:val="center"/>
      </w:pPr>
      <w:r>
        <w:rPr>
          <w:rFonts w:hint="eastAsia"/>
          <w:sz w:val="11"/>
          <w:szCs w:val="11"/>
        </w:rPr>
        <w:t>资料来源：托伦斯关于第二轮审核问询函的回复意见，本报告整理。注：按2023年毛利率降序排列；本表仅列示半导体类产品，原表另列激光设备零部件（2023年毛利率9.61%、收入占比13.63%）与其他（-4.13%、1.46%），故各行收入占比之和不为100%。</w:t>
      </w:r>
    </w:p>
    <w:p>
      <w:pPr>
        <w:pStyle w:val="a0"/>
      </w:pPr>
      <w:r>
        <w:rPr>
          <w:rFonts w:hint="eastAsia"/>
        </w:rPr>
        <w:t>单一产品的毛利率波动幅度大于公司整体。加热器2022年毛利率为-18.68%，2023年为14.39%；气体分布盘由2022年的40.93%降至2023年的20.05%；冷盘则由33.95%升至70.89%。</w:t>
      </w:r>
    </w:p>
    <w:p>
      <w:pPr>
        <w:pStyle w:val="2"/>
        <w:spacing w:before="156" w:after="156"/>
      </w:pPr>
      <w:bookmarkStart w:id="1020" w:name="_Toc900020"/>
      <w:r>
        <w:rPr>
          <w:rFonts w:hint="eastAsia"/>
          <w:b/>
        </w:rPr>
        <w:t>产业链代表性企业</w:t>
      </w:r>
      <w:bookmarkEnd w:id="1020"/>
    </w:p>
    <w:p>
      <w:pPr>
        <w:pStyle w:val="3"/>
        <w:numPr>
          <w:ilvl w:val="0"/>
          <w:numId w:val="0"/>
        </w:numPr>
        <w:spacing w:before="156" w:after="156"/>
      </w:pPr>
      <w:bookmarkStart w:id="1021" w:name="_Toc900021"/>
      <w:r>
        <w:rPr>
          <w:rFonts w:hint="eastAsia"/>
        </w:rPr>
        <w:t>5.1 珂玛科技</w:t>
      </w:r>
      <w:bookmarkEnd w:id="1021"/>
    </w:p>
    <w:p>
      <w:pPr>
        <w:pStyle w:val="a0"/>
      </w:pPr>
      <w:r>
        <w:rPr>
          <w:rFonts w:hint="eastAsia"/>
        </w:rPr>
        <w:t>苏州珂玛材料科技股份有限公司（301611.SZ）于2024年8月16日在深圳证券交易所创业板上市，发行价格8.00元／股，保荐机构为中信证券。主营先进陶瓷材料零部件、表面处理服务与金属结构零部件，客户包括半导体、面板及光伏设备厂商，其中半导体设备客户包括北方华创、中微公司、拓荆科技。公司2025年营业收入10.73亿元、同比增长25.19%，归母净利润2.89亿元，主营业务毛利率53.94%，为可比公司中最高。</w:t>
      </w:r>
    </w:p>
    <w:p>
      <w:pPr>
        <w:pStyle w:val="3"/>
        <w:numPr>
          <w:ilvl w:val="0"/>
          <w:numId w:val="0"/>
        </w:numPr>
        <w:spacing w:before="156" w:after="156"/>
      </w:pPr>
      <w:bookmarkStart w:id="1022" w:name="_Toc900022"/>
      <w:r>
        <w:rPr>
          <w:rFonts w:hint="eastAsia"/>
        </w:rPr>
        <w:t>5.2 臻宝科技</w:t>
      </w:r>
      <w:bookmarkEnd w:id="1022"/>
    </w:p>
    <w:p>
      <w:pPr>
        <w:pStyle w:val="a0"/>
      </w:pPr>
      <w:r>
        <w:rPr>
          <w:rFonts w:hint="eastAsia"/>
        </w:rPr>
        <w:t>重庆臻宝科技股份有限公司（688797.SH）于2026年6月24日在上海证券交易所科创板上市，发行价格44.56元／股，实际募集资金总额172,993.51万元，保荐机构为中信证券。主营硅、石英、碳化硅和氧化铝陶瓷等设备零部件，并提供熔射再生、阳极氧化、精密清洗等表面处理服务。公司2025年营业收入8.68亿元，归母净利润2.26亿元，主营业务毛利率49.85%。在本报告所列可比公司中，其客户结构为集成电路制造厂商与显示面板厂商，与以设备厂商为主要客户的其他公司不同。</w:t>
      </w:r>
    </w:p>
    <w:p>
      <w:pPr>
        <w:pStyle w:val="3"/>
        <w:numPr>
          <w:ilvl w:val="0"/>
          <w:numId w:val="0"/>
        </w:numPr>
        <w:spacing w:before="156" w:after="156"/>
      </w:pPr>
      <w:bookmarkStart w:id="1023" w:name="_Toc900023"/>
      <w:r>
        <w:rPr>
          <w:rFonts w:hint="eastAsia"/>
        </w:rPr>
        <w:t>5.3 托伦斯</w:t>
      </w:r>
      <w:bookmarkEnd w:id="1023"/>
    </w:p>
    <w:p>
      <w:pPr>
        <w:pStyle w:val="a0"/>
      </w:pPr>
      <w:r>
        <w:rPr>
          <w:rFonts w:hint="eastAsia"/>
        </w:rPr>
        <w:t>托伦斯精密制造（江苏）股份有限公司（301583.SZ）于2025年12月23日获深圳证券交易所受理，2026年4月25日提交注册，发行价格22.60元／股，募投项目拟投入募集资金合计115,616.05万元，保荐机构为中金公司。主营半导体关键工艺零部件、工艺零部件、结构零部件及激光设备零部件，产品包括内衬、匀气环、腔体、气体分布盘、冷盘、匀气盘、多管式加热反射罩、加热器、静电卡盘基体等。客户包括北方华创、中微公司、宸微科技、稷以科技、无锡尚积与博智航，激光设备客户为Lumentum。公司2025年营业收入7.20亿元、同比增长18.00%，归母净利润0.98亿元，主营业务毛利率27.14%。</w:t>
      </w:r>
    </w:p>
    <w:p>
      <w:pPr>
        <w:pStyle w:val="3"/>
        <w:numPr>
          <w:ilvl w:val="0"/>
          <w:numId w:val="0"/>
        </w:numPr>
        <w:spacing w:before="156" w:after="156"/>
      </w:pPr>
      <w:bookmarkStart w:id="1024" w:name="_Toc900024"/>
      <w:r>
        <w:rPr>
          <w:rFonts w:hint="eastAsia"/>
        </w:rPr>
        <w:t>5.4 富创精密与先锋精科</w:t>
      </w:r>
      <w:bookmarkEnd w:id="1024"/>
    </w:p>
    <w:p>
      <w:pPr>
        <w:pStyle w:val="a0"/>
      </w:pPr>
      <w:r>
        <w:rPr>
          <w:rFonts w:hint="eastAsia"/>
        </w:rPr>
        <w:t>富创精密（688409.SH）于2022年10月10日在科创板上市，保荐机构为中信证券，主营半导体设备工艺零部件、结构零部件、模组产品与气体管路，客户以半导体设备厂商为主，包括北方华创、中微公司、拓荆科技。公司2025年营业收入35.43亿元、同比增长16.58%，归母净利润为亏损861.15万元，主营业务毛利率24.94%。</w:t>
      </w:r>
    </w:p>
    <w:p>
      <w:pPr>
        <w:pStyle w:val="a0"/>
      </w:pPr>
      <w:r>
        <w:rPr>
          <w:rFonts w:hint="eastAsia"/>
        </w:rPr>
        <w:t>江苏先锋精密科技股份有限公司（先锋精科，688605.SH）于2024年12月12日在科创板上市，保荐机构为华泰联合证券，注册地为江苏省靖江市，主营半导体设备关键工艺零部件、工艺零部件与结构零部件，主要应用于刻蚀设备与薄膜沉积设备，客户包括中微公司、北方华创、中芯国际、华海清科、拓荆科技与屹唐股份。公司2025年营业收入12.38亿元，归母净利润1.90亿元，主营业务毛利率29.02%。</w:t>
      </w:r>
    </w:p>
    <w:p>
      <w:pPr>
        <w:pStyle w:val="3"/>
        <w:numPr>
          <w:ilvl w:val="0"/>
          <w:numId w:val="0"/>
        </w:numPr>
        <w:spacing w:before="156" w:after="156"/>
      </w:pPr>
      <w:bookmarkStart w:id="1025" w:name="_Toc900025"/>
      <w:r>
        <w:rPr>
          <w:rFonts w:hint="eastAsia"/>
        </w:rPr>
        <w:t>5.5 境外对照企业</w:t>
      </w:r>
      <w:bookmarkEnd w:id="1025"/>
    </w:p>
    <w:p>
      <w:pPr>
        <w:pStyle w:val="a0"/>
      </w:pPr>
      <w:r>
        <w:rPr>
          <w:rFonts w:hint="eastAsia"/>
        </w:rPr>
        <w:t>Ferrotec以石英、陶瓷、硅、碳化硅等非精密金属零部件与结构零部件为主，客户为国际及部分国内半导体设备企业，除零部件外还提供设备部件清洗服务并从事光伏设备制造。该公司采用财政年度口径，与境内公司会计年度不一致。</w:t>
      </w:r>
    </w:p>
    <w:p>
      <w:pPr>
        <w:pStyle w:val="a0"/>
      </w:pPr>
      <w:r>
        <w:rPr>
          <w:rFonts w:hint="eastAsia"/>
        </w:rPr>
        <w:t>京鼎精密以半导体设备金属零部件为主，客户以国际性半导体设备企业为主，2024年美洲区域收入占比84.67%，2025年营业收入45.18亿元、归母净利润5.24亿元。超科林主营关键气体和流体输送子系统、组件和部件以及超高纯度清洁和分析服务，2024年新加坡、美国、澳大利亚及韩国地区收入占比超70%，2025年营业收入144.37亿元、归母净利润为亏损12.74亿元。按公开披露，服务于国际半导体设备厂商的企业销售规模相对较高，主要系全球半导体设备市场目前仍由国际性企业主导。</w:t>
      </w:r>
    </w:p>
    <w:p>
      <w:pPr>
        <w:pStyle w:val="3"/>
        <w:numPr>
          <w:ilvl w:val="0"/>
          <w:numId w:val="0"/>
        </w:numPr>
        <w:spacing w:before="156" w:after="156"/>
      </w:pPr>
      <w:bookmarkStart w:id="1026" w:name="_Toc900026"/>
      <w:r>
        <w:rPr>
          <w:rFonts w:hint="eastAsia"/>
        </w:rPr>
        <w:t>5.6 两类客户结构的对照</w:t>
      </w:r>
      <w:bookmarkEnd w:id="1026"/>
    </w:p>
    <w:p>
      <w:pPr>
        <w:pStyle w:val="a0"/>
      </w:pPr>
      <w:r>
        <w:rPr>
          <w:rFonts w:hint="eastAsia"/>
        </w:rPr>
        <w:t>按客户结构，上述企业分为两类。第一类以设备厂商为主要客户，包括富创精密、先锋精科、珂玛科技、托伦斯，其订单与设备厂商的出货节奏相关；第二类以晶圆厂与面板厂为主要客户，臻宝科技属于此类，其订单与晶圆厂的产能运行相关。两类模式在客户认证周期、订单连续性与价格形成机制上存在差异，在比较经营数据时需先区分模式。</w:t>
      </w:r>
    </w:p>
    <w:p>
      <w:pPr>
        <w:pStyle w:val="2"/>
        <w:spacing w:before="156" w:after="156"/>
      </w:pPr>
      <w:bookmarkStart w:id="1027" w:name="_Toc900027"/>
      <w:r>
        <w:rPr>
          <w:rFonts w:hint="eastAsia"/>
          <w:b/>
        </w:rPr>
        <w:t>产业链企业资本化进度</w:t>
      </w:r>
      <w:bookmarkEnd w:id="1027"/>
    </w:p>
    <w:p>
      <w:pPr>
        <w:pStyle w:val="3"/>
        <w:numPr>
          <w:ilvl w:val="0"/>
          <w:numId w:val="0"/>
        </w:numPr>
        <w:spacing w:before="156" w:after="156"/>
      </w:pPr>
      <w:bookmarkStart w:id="1028" w:name="_Toc900028"/>
      <w:r>
        <w:rPr>
          <w:rFonts w:hint="eastAsia"/>
        </w:rPr>
        <w:t>6.1 零部件与耗材环节的境内上市与在审企业</w:t>
      </w:r>
      <w:bookmarkEnd w:id="1028"/>
    </w:p>
    <w:p>
      <w:pPr>
        <w:keepNext/>
        <w:jc w:val="center"/>
      </w:pPr>
      <w:r>
        <w:rPr>
          <w:rFonts w:hint="eastAsia"/>
          <w:b/>
          <w:sz w:val="21"/>
        </w:rPr>
        <w:t>表9  半导体设备零部件与耗材环节境内上市与在审企业</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565"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478"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478" w:type="pct"/>
            <w:tcBorders>
              <w:top w:val="single" w:sz="12" w:space="0" w:color="010000"/>
              <w:bottom w:val="single" w:sz="4" w:space="0" w:color="010000"/>
            </w:tcBorders>
            <w:vAlign w:val="center"/>
          </w:tcPr>
          <w:p>
            <w:pPr>
              <w:keepNext/>
              <w:jc w:val="center"/>
            </w:pPr>
            <w:r/>
            <w:r>
              <w:rPr>
                <w:rFonts w:hint="eastAsia"/>
                <w:b/>
                <w:color w:val="000000"/>
                <w:sz w:val="21"/>
              </w:rPr>
              <w:t>上市板块</w:t>
            </w:r>
          </w:p>
        </w:tc>
        <w:tc>
          <w:tcPr>
            <w:tcW w:w="870" w:type="pct"/>
            <w:tcBorders>
              <w:top w:val="single" w:sz="12" w:space="0" w:color="010000"/>
              <w:bottom w:val="single" w:sz="4" w:space="0" w:color="010000"/>
            </w:tcBorders>
            <w:vAlign w:val="center"/>
          </w:tcPr>
          <w:p>
            <w:pPr>
              <w:keepNext/>
              <w:jc w:val="center"/>
            </w:pPr>
            <w:r/>
            <w:r>
              <w:rPr>
                <w:rFonts w:hint="eastAsia"/>
                <w:b/>
                <w:color w:val="000000"/>
                <w:sz w:val="21"/>
              </w:rPr>
              <w:t>上市或审核进度</w:t>
            </w:r>
          </w:p>
        </w:tc>
        <w:tc>
          <w:tcPr>
            <w:tcW w:w="522" w:type="pct"/>
            <w:tcBorders>
              <w:top w:val="single" w:sz="12" w:space="0" w:color="010000"/>
              <w:bottom w:val="single" w:sz="4" w:space="0" w:color="010000"/>
            </w:tcBorders>
            <w:vAlign w:val="center"/>
          </w:tcPr>
          <w:p>
            <w:pPr>
              <w:keepNext/>
              <w:jc w:val="center"/>
            </w:pPr>
            <w:r/>
            <w:r>
              <w:rPr>
                <w:rFonts w:hint="eastAsia"/>
                <w:b/>
                <w:color w:val="000000"/>
                <w:sz w:val="21"/>
              </w:rPr>
              <w:t>保荐机构</w:t>
            </w:r>
          </w:p>
        </w:tc>
        <w:tc>
          <w:tcPr>
            <w:tcW w:w="2087" w:type="pct"/>
            <w:tcBorders>
              <w:top w:val="single" w:sz="12" w:space="0" w:color="010000"/>
              <w:bottom w:val="single" w:sz="4" w:space="0" w:color="010000"/>
            </w:tcBorders>
            <w:vAlign w:val="center"/>
          </w:tcPr>
          <w:p>
            <w:pPr>
              <w:keepNext/>
              <w:jc w:val="center"/>
            </w:pPr>
            <w:r/>
            <w:r>
              <w:rPr>
                <w:rFonts w:hint="eastAsia"/>
                <w:b/>
                <w:color w:val="000000"/>
                <w:sz w:val="21"/>
              </w:rPr>
              <w:t>核心业务与公开财务信息</w:t>
            </w:r>
          </w:p>
        </w:tc>
      </w:tr>
      <w:tr>
        <w:trPr>
          <w:cantSplit/>
          <w:jc w:val="center"/>
        </w:trPr>
        <w:tc>
          <w:tcPr>
            <w:tcW w:w="565" w:type="pct"/>
            <w:tcBorders>
              <w:top w:val="single" w:sz="4" w:space="0" w:color="010000"/>
            </w:tcBorders>
            <w:vAlign w:val="center"/>
          </w:tcPr>
          <w:p>
            <w:pPr>
              <w:jc w:val="left"/>
            </w:pPr>
            <w:r/>
            <w:r>
              <w:rPr>
                <w:rFonts w:hint="eastAsia"/>
                <w:color w:val="000000"/>
                <w:sz w:val="21"/>
              </w:rPr>
              <w:t>富创精密</w:t>
            </w:r>
          </w:p>
        </w:tc>
        <w:tc>
          <w:tcPr>
            <w:tcW w:w="478" w:type="pct"/>
            <w:tcBorders>
              <w:top w:val="single" w:sz="4" w:space="0" w:color="010000"/>
            </w:tcBorders>
            <w:vAlign w:val="center"/>
          </w:tcPr>
          <w:p>
            <w:pPr>
              <w:jc w:val="center"/>
            </w:pPr>
            <w:r/>
            <w:r>
              <w:rPr>
                <w:rFonts w:hint="eastAsia"/>
                <w:color w:val="000000"/>
                <w:sz w:val="21"/>
              </w:rPr>
              <w:t>688409.SH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2022年10月10日上市</w:t>
            </w:r>
          </w:p>
        </w:tc>
        <w:tc>
          <w:tcPr>
            <w:tcW w:w="522" w:type="pct"/>
            <w:tcBorders>
              <w:top w:val="single" w:sz="4" w:space="0" w:color="010000"/>
            </w:tcBorders>
            <w:vAlign w:val="center"/>
          </w:tcPr>
          <w:p>
            <w:pPr>
              <w:jc w:val="center"/>
            </w:pPr>
            <w:r/>
            <w:r>
              <w:rPr>
                <w:rFonts w:hint="eastAsia"/>
                <w:color w:val="000000"/>
                <w:sz w:val="21"/>
              </w:rPr>
              <w:t>中信证券</w:t>
            </w:r>
          </w:p>
        </w:tc>
        <w:tc>
          <w:tcPr>
            <w:tcW w:w="2087" w:type="pct"/>
            <w:tcBorders>
              <w:top w:val="single" w:sz="4" w:space="0" w:color="010000"/>
            </w:tcBorders>
            <w:vAlign w:val="center"/>
          </w:tcPr>
          <w:p>
            <w:pPr>
              <w:jc w:val="left"/>
            </w:pPr>
            <w:r/>
            <w:r>
              <w:rPr>
                <w:rFonts w:hint="eastAsia"/>
                <w:color w:val="000000"/>
                <w:sz w:val="21"/>
              </w:rPr>
              <w:t>半导体设备工艺零部件、结构零部件、模组产品和气体管路。2025年营业收入35.43亿元、同比增长16.58%，归母净利润-861.15万元</w:t>
            </w:r>
          </w:p>
        </w:tc>
      </w:tr>
      <w:tr>
        <w:trPr>
          <w:cantSplit/>
          <w:jc w:val="center"/>
        </w:trPr>
        <w:tc>
          <w:tcPr>
            <w:tcW w:w="565" w:type="pct"/>
            <w:tcBorders>
              <w:top w:val="single" w:sz="4" w:space="0" w:color="010000"/>
            </w:tcBorders>
            <w:vAlign w:val="center"/>
          </w:tcPr>
          <w:p>
            <w:pPr>
              <w:jc w:val="left"/>
            </w:pPr>
            <w:r/>
            <w:r>
              <w:rPr>
                <w:rFonts w:hint="eastAsia"/>
                <w:color w:val="000000"/>
                <w:sz w:val="21"/>
              </w:rPr>
              <w:t>先锋精科</w:t>
            </w:r>
          </w:p>
        </w:tc>
        <w:tc>
          <w:tcPr>
            <w:tcW w:w="478" w:type="pct"/>
            <w:tcBorders>
              <w:top w:val="single" w:sz="4" w:space="0" w:color="010000"/>
            </w:tcBorders>
            <w:vAlign w:val="center"/>
          </w:tcPr>
          <w:p>
            <w:pPr>
              <w:jc w:val="center"/>
            </w:pPr>
            <w:r/>
            <w:r>
              <w:rPr>
                <w:rFonts w:hint="eastAsia"/>
                <w:color w:val="000000"/>
                <w:sz w:val="21"/>
              </w:rPr>
              <w:t>688605.SH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2024年12月12日上市</w:t>
            </w:r>
          </w:p>
        </w:tc>
        <w:tc>
          <w:tcPr>
            <w:tcW w:w="522" w:type="pct"/>
            <w:tcBorders>
              <w:top w:val="single" w:sz="4" w:space="0" w:color="010000"/>
            </w:tcBorders>
            <w:vAlign w:val="center"/>
          </w:tcPr>
          <w:p>
            <w:pPr>
              <w:jc w:val="center"/>
            </w:pPr>
            <w:r/>
            <w:r>
              <w:rPr>
                <w:rFonts w:hint="eastAsia"/>
                <w:color w:val="000000"/>
                <w:sz w:val="21"/>
              </w:rPr>
              <w:t>华泰联合证券</w:t>
            </w:r>
          </w:p>
        </w:tc>
        <w:tc>
          <w:tcPr>
            <w:tcW w:w="2087" w:type="pct"/>
            <w:tcBorders>
              <w:top w:val="single" w:sz="4" w:space="0" w:color="010000"/>
            </w:tcBorders>
            <w:vAlign w:val="center"/>
          </w:tcPr>
          <w:p>
            <w:pPr>
              <w:jc w:val="left"/>
            </w:pPr>
            <w:r/>
            <w:r>
              <w:rPr>
                <w:rFonts w:hint="eastAsia"/>
                <w:color w:val="000000"/>
                <w:sz w:val="21"/>
              </w:rPr>
              <w:t>半导体设备关键工艺零部件、工艺零部件、结构零部件，主要应用于刻蚀设备与薄膜沉积设备。2025年营业收入12.38亿元、同比增长8.99%，归母净利润1.90亿元</w:t>
            </w:r>
          </w:p>
        </w:tc>
      </w:tr>
      <w:tr>
        <w:trPr>
          <w:cantSplit/>
          <w:jc w:val="center"/>
        </w:trPr>
        <w:tc>
          <w:tcPr>
            <w:tcW w:w="565" w:type="pct"/>
            <w:tcBorders>
              <w:top w:val="single" w:sz="4" w:space="0" w:color="010000"/>
            </w:tcBorders>
            <w:vAlign w:val="center"/>
          </w:tcPr>
          <w:p>
            <w:pPr>
              <w:jc w:val="left"/>
            </w:pPr>
            <w:r/>
            <w:r>
              <w:rPr>
                <w:rFonts w:hint="eastAsia"/>
                <w:color w:val="000000"/>
                <w:sz w:val="21"/>
              </w:rPr>
              <w:t>珂玛科技</w:t>
            </w:r>
          </w:p>
        </w:tc>
        <w:tc>
          <w:tcPr>
            <w:tcW w:w="478" w:type="pct"/>
            <w:tcBorders>
              <w:top w:val="single" w:sz="4" w:space="0" w:color="010000"/>
            </w:tcBorders>
            <w:vAlign w:val="center"/>
          </w:tcPr>
          <w:p>
            <w:pPr>
              <w:jc w:val="center"/>
            </w:pPr>
            <w:r/>
            <w:r>
              <w:rPr>
                <w:rFonts w:hint="eastAsia"/>
                <w:color w:val="000000"/>
                <w:sz w:val="21"/>
              </w:rPr>
              <w:t>301611.SZ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2024年8月16日上市</w:t>
            </w:r>
          </w:p>
        </w:tc>
        <w:tc>
          <w:tcPr>
            <w:tcW w:w="522" w:type="pct"/>
            <w:tcBorders>
              <w:top w:val="single" w:sz="4" w:space="0" w:color="010000"/>
            </w:tcBorders>
            <w:vAlign w:val="center"/>
          </w:tcPr>
          <w:p>
            <w:pPr>
              <w:jc w:val="center"/>
            </w:pPr>
            <w:r/>
            <w:r>
              <w:rPr>
                <w:rFonts w:hint="eastAsia"/>
                <w:color w:val="000000"/>
                <w:sz w:val="21"/>
              </w:rPr>
              <w:t>中信证券</w:t>
            </w:r>
          </w:p>
        </w:tc>
        <w:tc>
          <w:tcPr>
            <w:tcW w:w="2087" w:type="pct"/>
            <w:tcBorders>
              <w:top w:val="single" w:sz="4" w:space="0" w:color="010000"/>
            </w:tcBorders>
            <w:vAlign w:val="center"/>
          </w:tcPr>
          <w:p>
            <w:pPr>
              <w:jc w:val="left"/>
            </w:pPr>
            <w:r/>
            <w:r>
              <w:rPr>
                <w:rFonts w:hint="eastAsia"/>
                <w:color w:val="000000"/>
                <w:sz w:val="21"/>
              </w:rPr>
              <w:t>先进陶瓷材料零部件、表面处理服务和金属结构零部件。2025年营业收入10.73亿元、同比增长25.19%，归母净利润2.89亿元</w:t>
            </w:r>
          </w:p>
        </w:tc>
      </w:tr>
      <w:tr>
        <w:trPr>
          <w:cantSplit/>
          <w:jc w:val="center"/>
        </w:trPr>
        <w:tc>
          <w:tcPr>
            <w:tcW w:w="565" w:type="pct"/>
            <w:tcBorders>
              <w:top w:val="single" w:sz="4" w:space="0" w:color="010000"/>
            </w:tcBorders>
            <w:vAlign w:val="center"/>
          </w:tcPr>
          <w:p>
            <w:pPr>
              <w:jc w:val="left"/>
            </w:pPr>
            <w:r/>
            <w:r>
              <w:rPr>
                <w:rFonts w:hint="eastAsia"/>
                <w:color w:val="000000"/>
                <w:sz w:val="21"/>
              </w:rPr>
              <w:t>臻宝科技</w:t>
            </w:r>
          </w:p>
        </w:tc>
        <w:tc>
          <w:tcPr>
            <w:tcW w:w="478" w:type="pct"/>
            <w:tcBorders>
              <w:top w:val="single" w:sz="4" w:space="0" w:color="010000"/>
            </w:tcBorders>
            <w:vAlign w:val="center"/>
          </w:tcPr>
          <w:p>
            <w:pPr>
              <w:jc w:val="center"/>
            </w:pPr>
            <w:r/>
            <w:r>
              <w:rPr>
                <w:rFonts w:hint="eastAsia"/>
                <w:color w:val="000000"/>
                <w:sz w:val="21"/>
              </w:rPr>
              <w:t>688797.SH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2026年6月24日上市</w:t>
            </w:r>
          </w:p>
        </w:tc>
        <w:tc>
          <w:tcPr>
            <w:tcW w:w="522" w:type="pct"/>
            <w:tcBorders>
              <w:top w:val="single" w:sz="4" w:space="0" w:color="010000"/>
            </w:tcBorders>
            <w:vAlign w:val="center"/>
          </w:tcPr>
          <w:p>
            <w:pPr>
              <w:jc w:val="center"/>
            </w:pPr>
            <w:r/>
            <w:r>
              <w:rPr>
                <w:rFonts w:hint="eastAsia"/>
                <w:color w:val="000000"/>
                <w:sz w:val="21"/>
              </w:rPr>
              <w:t>中信证券</w:t>
            </w:r>
          </w:p>
        </w:tc>
        <w:tc>
          <w:tcPr>
            <w:tcW w:w="2087" w:type="pct"/>
            <w:tcBorders>
              <w:top w:val="single" w:sz="4" w:space="0" w:color="010000"/>
            </w:tcBorders>
            <w:vAlign w:val="center"/>
          </w:tcPr>
          <w:p>
            <w:pPr>
              <w:jc w:val="left"/>
            </w:pPr>
            <w:r/>
            <w:r>
              <w:rPr>
                <w:rFonts w:hint="eastAsia"/>
                <w:color w:val="000000"/>
                <w:sz w:val="21"/>
              </w:rPr>
              <w:t>硅、石英、碳化硅和氧化铝陶瓷等设备零部件，并提供熔射再生、阳极氧化、精密清洗等表面处理服务。2025年营业收入8.68亿元，归母净利润2.26亿元</w:t>
            </w:r>
          </w:p>
        </w:tc>
      </w:tr>
      <w:tr>
        <w:trPr>
          <w:cantSplit/>
          <w:jc w:val="center"/>
        </w:trPr>
        <w:tc>
          <w:tcPr>
            <w:tcW w:w="565" w:type="pct"/>
            <w:tcBorders>
              <w:top w:val="single" w:sz="4" w:space="0" w:color="010000"/>
            </w:tcBorders>
            <w:vAlign w:val="center"/>
          </w:tcPr>
          <w:p>
            <w:pPr>
              <w:jc w:val="left"/>
            </w:pPr>
            <w:r/>
            <w:r>
              <w:rPr>
                <w:rFonts w:hint="eastAsia"/>
                <w:color w:val="000000"/>
                <w:sz w:val="21"/>
              </w:rPr>
              <w:t>神工股份</w:t>
            </w:r>
          </w:p>
        </w:tc>
        <w:tc>
          <w:tcPr>
            <w:tcW w:w="478" w:type="pct"/>
            <w:tcBorders>
              <w:top w:val="single" w:sz="4" w:space="0" w:color="010000"/>
            </w:tcBorders>
            <w:vAlign w:val="center"/>
          </w:tcPr>
          <w:p>
            <w:pPr>
              <w:jc w:val="center"/>
            </w:pPr>
            <w:r/>
            <w:r>
              <w:rPr>
                <w:rFonts w:hint="eastAsia"/>
                <w:color w:val="000000"/>
                <w:sz w:val="21"/>
              </w:rPr>
              <w:t>688233.SH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2020年2月21日上市</w:t>
            </w:r>
          </w:p>
        </w:tc>
        <w:tc>
          <w:tcPr>
            <w:tcW w:w="522" w:type="pct"/>
            <w:tcBorders>
              <w:top w:val="single" w:sz="4" w:space="0" w:color="010000"/>
            </w:tcBorders>
            <w:vAlign w:val="center"/>
          </w:tcPr>
          <w:p>
            <w:pPr>
              <w:jc w:val="center"/>
            </w:pPr>
            <w:r/>
            <w:r>
              <w:rPr>
                <w:rFonts w:hint="eastAsia"/>
                <w:color w:val="000000"/>
                <w:sz w:val="21"/>
              </w:rPr>
              <w:t>国泰君安证券</w:t>
            </w:r>
          </w:p>
        </w:tc>
        <w:tc>
          <w:tcPr>
            <w:tcW w:w="2087" w:type="pct"/>
            <w:tcBorders>
              <w:top w:val="single" w:sz="4" w:space="0" w:color="010000"/>
            </w:tcBorders>
            <w:vAlign w:val="center"/>
          </w:tcPr>
          <w:p>
            <w:pPr>
              <w:jc w:val="left"/>
            </w:pPr>
            <w:r/>
            <w:r>
              <w:rPr>
                <w:rFonts w:hint="eastAsia"/>
                <w:color w:val="000000"/>
                <w:sz w:val="21"/>
              </w:rPr>
              <w:t>集成电路刻蚀用单晶硅材料，产品包括单晶硅硅料、刻蚀用硅电极（即硅气体分配盘）与芯片用硅片。2025年营业收入4.38亿元、同比增长44.68%，归母净利润1.02亿元、同比增长147.96%，其中硅零部件收入2.37亿元</w:t>
            </w:r>
          </w:p>
        </w:tc>
      </w:tr>
      <w:tr>
        <w:trPr>
          <w:cantSplit/>
          <w:jc w:val="center"/>
        </w:trPr>
        <w:tc>
          <w:tcPr>
            <w:tcW w:w="565" w:type="pct"/>
            <w:tcBorders>
              <w:top w:val="single" w:sz="4" w:space="0" w:color="010000"/>
            </w:tcBorders>
            <w:vAlign w:val="center"/>
          </w:tcPr>
          <w:p>
            <w:pPr>
              <w:jc w:val="left"/>
            </w:pPr>
            <w:r/>
            <w:r>
              <w:rPr>
                <w:rFonts w:hint="eastAsia"/>
                <w:color w:val="000000"/>
                <w:sz w:val="21"/>
              </w:rPr>
              <w:t>有研硅</w:t>
            </w:r>
          </w:p>
        </w:tc>
        <w:tc>
          <w:tcPr>
            <w:tcW w:w="478" w:type="pct"/>
            <w:tcBorders>
              <w:top w:val="single" w:sz="4" w:space="0" w:color="010000"/>
            </w:tcBorders>
            <w:vAlign w:val="center"/>
          </w:tcPr>
          <w:p>
            <w:pPr>
              <w:jc w:val="center"/>
            </w:pPr>
            <w:r/>
            <w:r>
              <w:rPr>
                <w:rFonts w:hint="eastAsia"/>
                <w:color w:val="000000"/>
                <w:sz w:val="21"/>
              </w:rPr>
              <w:t>688432.SH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2022年11月10日上市</w:t>
            </w:r>
          </w:p>
        </w:tc>
        <w:tc>
          <w:tcPr>
            <w:tcW w:w="522" w:type="pct"/>
            <w:tcBorders>
              <w:top w:val="single" w:sz="4" w:space="0" w:color="010000"/>
            </w:tcBorders>
            <w:vAlign w:val="center"/>
          </w:tcPr>
          <w:p>
            <w:pPr>
              <w:jc w:val="center"/>
            </w:pPr>
            <w:r/>
            <w:r>
              <w:rPr>
                <w:rFonts w:hint="eastAsia"/>
                <w:color w:val="000000"/>
                <w:sz w:val="21"/>
              </w:rPr>
              <w:t>中信证券</w:t>
            </w:r>
          </w:p>
        </w:tc>
        <w:tc>
          <w:tcPr>
            <w:tcW w:w="2087" w:type="pct"/>
            <w:tcBorders>
              <w:top w:val="single" w:sz="4" w:space="0" w:color="010000"/>
            </w:tcBorders>
            <w:vAlign w:val="center"/>
          </w:tcPr>
          <w:p>
            <w:pPr>
              <w:jc w:val="left"/>
            </w:pPr>
            <w:r/>
            <w:r>
              <w:rPr>
                <w:rFonts w:hint="eastAsia"/>
                <w:color w:val="000000"/>
                <w:sz w:val="21"/>
              </w:rPr>
              <w:t>半导体硅材料与刻蚀用硅部件。2025年营业收入10.05亿元、同比增长0.93%，归母净利润2.09亿元</w:t>
            </w:r>
          </w:p>
        </w:tc>
      </w:tr>
      <w:tr>
        <w:trPr>
          <w:cantSplit/>
          <w:jc w:val="center"/>
        </w:trPr>
        <w:tc>
          <w:tcPr>
            <w:tcW w:w="565" w:type="pct"/>
            <w:tcBorders>
              <w:top w:val="single" w:sz="4" w:space="0" w:color="010000"/>
            </w:tcBorders>
            <w:vAlign w:val="center"/>
          </w:tcPr>
          <w:p>
            <w:pPr>
              <w:jc w:val="left"/>
            </w:pPr>
            <w:r/>
            <w:r>
              <w:rPr>
                <w:rFonts w:hint="eastAsia"/>
                <w:color w:val="000000"/>
                <w:sz w:val="21"/>
              </w:rPr>
              <w:t>菲利华</w:t>
            </w:r>
          </w:p>
        </w:tc>
        <w:tc>
          <w:tcPr>
            <w:tcW w:w="478" w:type="pct"/>
            <w:tcBorders>
              <w:top w:val="single" w:sz="4" w:space="0" w:color="010000"/>
            </w:tcBorders>
            <w:vAlign w:val="center"/>
          </w:tcPr>
          <w:p>
            <w:pPr>
              <w:jc w:val="center"/>
            </w:pPr>
            <w:r/>
            <w:r>
              <w:rPr>
                <w:rFonts w:hint="eastAsia"/>
                <w:color w:val="000000"/>
                <w:sz w:val="21"/>
              </w:rPr>
              <w:t>300395.SZ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2014年9月10日上市</w:t>
            </w:r>
          </w:p>
        </w:tc>
        <w:tc>
          <w:tcPr>
            <w:tcW w:w="522" w:type="pct"/>
            <w:tcBorders>
              <w:top w:val="single" w:sz="4" w:space="0" w:color="010000"/>
            </w:tcBorders>
            <w:vAlign w:val="center"/>
          </w:tcPr>
          <w:p>
            <w:pPr>
              <w:jc w:val="center"/>
            </w:pPr>
            <w:r/>
            <w:r>
              <w:rPr>
                <w:rFonts w:hint="eastAsia"/>
                <w:color w:val="000000"/>
                <w:sz w:val="21"/>
              </w:rPr>
              <w:t>中银国际证券</w:t>
            </w:r>
          </w:p>
        </w:tc>
        <w:tc>
          <w:tcPr>
            <w:tcW w:w="2087" w:type="pct"/>
            <w:tcBorders>
              <w:top w:val="single" w:sz="4" w:space="0" w:color="010000"/>
            </w:tcBorders>
            <w:vAlign w:val="center"/>
          </w:tcPr>
          <w:p>
            <w:pPr>
              <w:jc w:val="left"/>
            </w:pPr>
            <w:r/>
            <w:r>
              <w:rPr>
                <w:rFonts w:hint="eastAsia"/>
                <w:color w:val="000000"/>
                <w:sz w:val="21"/>
              </w:rPr>
              <w:t>石英玻璃材料及制品，子公司上海菲利华石创从事半导体石英零部件精密加工。2025年营业收入20.16亿元，归母净利润4.26亿元</w:t>
            </w:r>
          </w:p>
        </w:tc>
      </w:tr>
      <w:tr>
        <w:trPr>
          <w:cantSplit/>
          <w:jc w:val="center"/>
        </w:trPr>
        <w:tc>
          <w:tcPr>
            <w:tcW w:w="565" w:type="pct"/>
            <w:tcBorders>
              <w:top w:val="single" w:sz="4" w:space="0" w:color="010000"/>
            </w:tcBorders>
            <w:vAlign w:val="center"/>
          </w:tcPr>
          <w:p>
            <w:pPr>
              <w:jc w:val="left"/>
            </w:pPr>
            <w:r/>
            <w:r>
              <w:rPr>
                <w:rFonts w:hint="eastAsia"/>
                <w:color w:val="000000"/>
                <w:sz w:val="21"/>
              </w:rPr>
              <w:t>石英股份</w:t>
            </w:r>
          </w:p>
        </w:tc>
        <w:tc>
          <w:tcPr>
            <w:tcW w:w="478" w:type="pct"/>
            <w:tcBorders>
              <w:top w:val="single" w:sz="4" w:space="0" w:color="010000"/>
            </w:tcBorders>
            <w:vAlign w:val="center"/>
          </w:tcPr>
          <w:p>
            <w:pPr>
              <w:jc w:val="center"/>
            </w:pPr>
            <w:r/>
            <w:r>
              <w:rPr>
                <w:rFonts w:hint="eastAsia"/>
                <w:color w:val="000000"/>
                <w:sz w:val="21"/>
              </w:rPr>
              <w:t>603688.SH</w:t>
            </w:r>
          </w:p>
        </w:tc>
        <w:tc>
          <w:tcPr>
            <w:tcW w:w="478" w:type="pct"/>
            <w:tcBorders>
              <w:top w:val="single" w:sz="4" w:space="0" w:color="010000"/>
            </w:tcBorders>
            <w:vAlign w:val="center"/>
          </w:tcPr>
          <w:p>
            <w:pPr>
              <w:jc w:val="center"/>
            </w:pPr>
            <w:r/>
            <w:r>
              <w:rPr>
                <w:rFonts w:hint="eastAsia"/>
                <w:color w:val="000000"/>
                <w:sz w:val="21"/>
              </w:rPr>
              <w:t>上交所主板</w:t>
            </w:r>
          </w:p>
        </w:tc>
        <w:tc>
          <w:tcPr>
            <w:tcW w:w="870" w:type="pct"/>
            <w:tcBorders>
              <w:top w:val="single" w:sz="4" w:space="0" w:color="010000"/>
            </w:tcBorders>
            <w:vAlign w:val="center"/>
          </w:tcPr>
          <w:p>
            <w:pPr>
              <w:jc w:val="left"/>
            </w:pPr>
            <w:r/>
            <w:r>
              <w:rPr>
                <w:rFonts w:hint="eastAsia"/>
                <w:color w:val="000000"/>
                <w:sz w:val="21"/>
              </w:rPr>
              <w:t>2014年10月31日上市</w:t>
            </w:r>
          </w:p>
        </w:tc>
        <w:tc>
          <w:tcPr>
            <w:tcW w:w="522" w:type="pct"/>
            <w:tcBorders>
              <w:top w:val="single" w:sz="4" w:space="0" w:color="010000"/>
            </w:tcBorders>
            <w:vAlign w:val="center"/>
          </w:tcPr>
          <w:p>
            <w:pPr>
              <w:jc w:val="center"/>
            </w:pPr>
            <w:r/>
            <w:r>
              <w:rPr>
                <w:rFonts w:hint="eastAsia"/>
                <w:color w:val="000000"/>
                <w:sz w:val="21"/>
              </w:rPr>
              <w:t>中信证券</w:t>
            </w:r>
          </w:p>
        </w:tc>
        <w:tc>
          <w:tcPr>
            <w:tcW w:w="2087" w:type="pct"/>
            <w:tcBorders>
              <w:top w:val="single" w:sz="4" w:space="0" w:color="010000"/>
            </w:tcBorders>
            <w:vAlign w:val="center"/>
          </w:tcPr>
          <w:p>
            <w:pPr>
              <w:jc w:val="left"/>
            </w:pPr>
            <w:r/>
            <w:r>
              <w:rPr>
                <w:rFonts w:hint="eastAsia"/>
                <w:color w:val="000000"/>
                <w:sz w:val="21"/>
              </w:rPr>
              <w:t>高纯石英砂与石英制品。2025年营业收入10.08亿元、同比下降16.71%，归母净利润1.53亿元、同比下降54.03%</w:t>
            </w:r>
          </w:p>
        </w:tc>
      </w:tr>
      <w:tr>
        <w:trPr>
          <w:cantSplit/>
          <w:jc w:val="center"/>
        </w:trPr>
        <w:tc>
          <w:tcPr>
            <w:tcW w:w="565" w:type="pct"/>
            <w:tcBorders>
              <w:top w:val="single" w:sz="4" w:space="0" w:color="010000"/>
            </w:tcBorders>
            <w:vAlign w:val="center"/>
          </w:tcPr>
          <w:p>
            <w:pPr>
              <w:jc w:val="left"/>
            </w:pPr>
            <w:r/>
            <w:r>
              <w:rPr>
                <w:rFonts w:hint="eastAsia"/>
                <w:color w:val="000000"/>
                <w:sz w:val="21"/>
              </w:rPr>
              <w:t>凯德石英</w:t>
            </w:r>
          </w:p>
        </w:tc>
        <w:tc>
          <w:tcPr>
            <w:tcW w:w="478" w:type="pct"/>
            <w:tcBorders>
              <w:top w:val="single" w:sz="4" w:space="0" w:color="010000"/>
            </w:tcBorders>
            <w:vAlign w:val="center"/>
          </w:tcPr>
          <w:p>
            <w:pPr>
              <w:jc w:val="center"/>
            </w:pPr>
            <w:r/>
            <w:r>
              <w:rPr>
                <w:rFonts w:hint="eastAsia"/>
                <w:color w:val="000000"/>
                <w:sz w:val="21"/>
              </w:rPr>
              <w:t>920179.BJ</w:t>
            </w:r>
          </w:p>
        </w:tc>
        <w:tc>
          <w:tcPr>
            <w:tcW w:w="478" w:type="pct"/>
            <w:tcBorders>
              <w:top w:val="single" w:sz="4" w:space="0" w:color="010000"/>
            </w:tcBorders>
            <w:vAlign w:val="center"/>
          </w:tcPr>
          <w:p>
            <w:pPr>
              <w:jc w:val="center"/>
            </w:pPr>
            <w:r/>
            <w:r>
              <w:rPr>
                <w:rFonts w:hint="eastAsia"/>
                <w:color w:val="000000"/>
                <w:sz w:val="21"/>
              </w:rPr>
              <w:t>北交所</w:t>
            </w:r>
          </w:p>
        </w:tc>
        <w:tc>
          <w:tcPr>
            <w:tcW w:w="870" w:type="pct"/>
            <w:tcBorders>
              <w:top w:val="single" w:sz="4" w:space="0" w:color="010000"/>
            </w:tcBorders>
            <w:vAlign w:val="center"/>
          </w:tcPr>
          <w:p>
            <w:pPr>
              <w:jc w:val="left"/>
            </w:pPr>
            <w:r/>
            <w:r>
              <w:rPr>
                <w:rFonts w:hint="eastAsia"/>
                <w:color w:val="000000"/>
                <w:sz w:val="21"/>
              </w:rPr>
              <w:t>2022年3月4日上市</w:t>
            </w:r>
          </w:p>
        </w:tc>
        <w:tc>
          <w:tcPr>
            <w:tcW w:w="522" w:type="pct"/>
            <w:tcBorders>
              <w:top w:val="single" w:sz="4" w:space="0" w:color="010000"/>
            </w:tcBorders>
            <w:vAlign w:val="center"/>
          </w:tcPr>
          <w:p>
            <w:pPr>
              <w:jc w:val="center"/>
            </w:pPr>
            <w:r/>
            <w:r>
              <w:rPr>
                <w:rFonts w:hint="eastAsia"/>
                <w:color w:val="000000"/>
                <w:sz w:val="21"/>
              </w:rPr>
              <w:t>天风证券</w:t>
            </w:r>
          </w:p>
        </w:tc>
        <w:tc>
          <w:tcPr>
            <w:tcW w:w="2087" w:type="pct"/>
            <w:tcBorders>
              <w:top w:val="single" w:sz="4" w:space="0" w:color="010000"/>
            </w:tcBorders>
            <w:vAlign w:val="center"/>
          </w:tcPr>
          <w:p>
            <w:pPr>
              <w:jc w:val="left"/>
            </w:pPr>
            <w:r/>
            <w:r>
              <w:rPr>
                <w:rFonts w:hint="eastAsia"/>
                <w:color w:val="000000"/>
                <w:sz w:val="21"/>
              </w:rPr>
              <w:t>石英仪器、石英管道、石英舟等半导体用石英玻璃制品。2025年营业收入2.80亿元、同比下降8.46%，归母净利润2,414.74万元</w:t>
            </w:r>
          </w:p>
        </w:tc>
      </w:tr>
      <w:tr>
        <w:trPr>
          <w:cantSplit/>
          <w:jc w:val="center"/>
        </w:trPr>
        <w:tc>
          <w:tcPr>
            <w:tcW w:w="565" w:type="pct"/>
            <w:tcBorders>
              <w:top w:val="single" w:sz="4" w:space="0" w:color="010000"/>
            </w:tcBorders>
            <w:vAlign w:val="center"/>
          </w:tcPr>
          <w:p>
            <w:pPr>
              <w:jc w:val="left"/>
            </w:pPr>
            <w:r/>
            <w:r>
              <w:rPr>
                <w:rFonts w:hint="eastAsia"/>
                <w:color w:val="000000"/>
                <w:sz w:val="21"/>
              </w:rPr>
              <w:t>华亚智能</w:t>
            </w:r>
          </w:p>
        </w:tc>
        <w:tc>
          <w:tcPr>
            <w:tcW w:w="478" w:type="pct"/>
            <w:tcBorders>
              <w:top w:val="single" w:sz="4" w:space="0" w:color="010000"/>
            </w:tcBorders>
            <w:vAlign w:val="center"/>
          </w:tcPr>
          <w:p>
            <w:pPr>
              <w:jc w:val="center"/>
            </w:pPr>
            <w:r/>
            <w:r>
              <w:rPr>
                <w:rFonts w:hint="eastAsia"/>
                <w:color w:val="000000"/>
                <w:sz w:val="21"/>
              </w:rPr>
              <w:t>003043.SZ</w:t>
            </w:r>
          </w:p>
        </w:tc>
        <w:tc>
          <w:tcPr>
            <w:tcW w:w="478" w:type="pct"/>
            <w:tcBorders>
              <w:top w:val="single" w:sz="4" w:space="0" w:color="010000"/>
            </w:tcBorders>
            <w:vAlign w:val="center"/>
          </w:tcPr>
          <w:p>
            <w:pPr>
              <w:jc w:val="center"/>
            </w:pPr>
            <w:r/>
            <w:r>
              <w:rPr>
                <w:rFonts w:hint="eastAsia"/>
                <w:color w:val="000000"/>
                <w:sz w:val="21"/>
              </w:rPr>
              <w:t>深交所主板</w:t>
            </w:r>
          </w:p>
        </w:tc>
        <w:tc>
          <w:tcPr>
            <w:tcW w:w="870" w:type="pct"/>
            <w:tcBorders>
              <w:top w:val="single" w:sz="4" w:space="0" w:color="010000"/>
            </w:tcBorders>
            <w:vAlign w:val="center"/>
          </w:tcPr>
          <w:p>
            <w:pPr>
              <w:jc w:val="left"/>
            </w:pPr>
            <w:r/>
            <w:r>
              <w:rPr>
                <w:rFonts w:hint="eastAsia"/>
                <w:color w:val="000000"/>
                <w:sz w:val="21"/>
              </w:rPr>
              <w:t>2021年4月6日上市</w:t>
            </w:r>
          </w:p>
        </w:tc>
        <w:tc>
          <w:tcPr>
            <w:tcW w:w="522" w:type="pct"/>
            <w:tcBorders>
              <w:top w:val="single" w:sz="4" w:space="0" w:color="010000"/>
            </w:tcBorders>
            <w:vAlign w:val="center"/>
          </w:tcPr>
          <w:p>
            <w:pPr>
              <w:jc w:val="center"/>
            </w:pPr>
            <w:r/>
            <w:r>
              <w:rPr>
                <w:rFonts w:hint="eastAsia"/>
                <w:color w:val="000000"/>
                <w:sz w:val="21"/>
              </w:rPr>
              <w:t>东吴证券</w:t>
            </w:r>
          </w:p>
        </w:tc>
        <w:tc>
          <w:tcPr>
            <w:tcW w:w="2087" w:type="pct"/>
            <w:tcBorders>
              <w:top w:val="single" w:sz="4" w:space="0" w:color="010000"/>
            </w:tcBorders>
            <w:vAlign w:val="center"/>
          </w:tcPr>
          <w:p>
            <w:pPr>
              <w:jc w:val="left"/>
            </w:pPr>
            <w:r/>
            <w:r>
              <w:rPr>
                <w:rFonts w:hint="eastAsia"/>
                <w:color w:val="000000"/>
                <w:sz w:val="21"/>
              </w:rPr>
              <w:t>精密金属结构件，应用于半导体设备等领域。2025年营业收入10.02亿元、同比增长59.82%，归母净利润8,459.07万元</w:t>
            </w:r>
          </w:p>
        </w:tc>
      </w:tr>
      <w:tr>
        <w:trPr>
          <w:cantSplit/>
          <w:jc w:val="center"/>
        </w:trPr>
        <w:tc>
          <w:tcPr>
            <w:tcW w:w="565" w:type="pct"/>
            <w:tcBorders>
              <w:top w:val="single" w:sz="4" w:space="0" w:color="010000"/>
            </w:tcBorders>
            <w:vAlign w:val="center"/>
          </w:tcPr>
          <w:p>
            <w:pPr>
              <w:jc w:val="left"/>
            </w:pPr>
            <w:r/>
            <w:r>
              <w:rPr>
                <w:rFonts w:hint="eastAsia"/>
                <w:color w:val="000000"/>
                <w:sz w:val="21"/>
              </w:rPr>
              <w:t>江丰电子</w:t>
            </w:r>
          </w:p>
        </w:tc>
        <w:tc>
          <w:tcPr>
            <w:tcW w:w="478" w:type="pct"/>
            <w:tcBorders>
              <w:top w:val="single" w:sz="4" w:space="0" w:color="010000"/>
            </w:tcBorders>
            <w:vAlign w:val="center"/>
          </w:tcPr>
          <w:p>
            <w:pPr>
              <w:jc w:val="center"/>
            </w:pPr>
            <w:r/>
            <w:r>
              <w:rPr>
                <w:rFonts w:hint="eastAsia"/>
                <w:color w:val="000000"/>
                <w:sz w:val="21"/>
              </w:rPr>
              <w:t>300666.SZ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2017年6月15日上市</w:t>
            </w:r>
          </w:p>
        </w:tc>
        <w:tc>
          <w:tcPr>
            <w:tcW w:w="522" w:type="pct"/>
            <w:tcBorders>
              <w:top w:val="single" w:sz="4" w:space="0" w:color="010000"/>
            </w:tcBorders>
            <w:vAlign w:val="center"/>
          </w:tcPr>
          <w:p>
            <w:pPr>
              <w:jc w:val="center"/>
            </w:pPr>
            <w:r/>
            <w:r>
              <w:rPr>
                <w:rFonts w:hint="eastAsia"/>
                <w:color w:val="000000"/>
                <w:sz w:val="21"/>
              </w:rPr>
              <w:t>国信证券</w:t>
            </w:r>
          </w:p>
        </w:tc>
        <w:tc>
          <w:tcPr>
            <w:tcW w:w="2087" w:type="pct"/>
            <w:tcBorders>
              <w:top w:val="single" w:sz="4" w:space="0" w:color="010000"/>
            </w:tcBorders>
            <w:vAlign w:val="center"/>
          </w:tcPr>
          <w:p>
            <w:pPr>
              <w:jc w:val="left"/>
            </w:pPr>
            <w:r/>
            <w:r>
              <w:rPr>
                <w:rFonts w:hint="eastAsia"/>
                <w:color w:val="000000"/>
                <w:sz w:val="21"/>
              </w:rPr>
              <w:t>超高纯金属溅射靶材与半导体设备精密零部件。2025年营业收入46.04亿元、同比增长27.72%，归母净利润5.00亿元、同比增长24.70%</w:t>
            </w:r>
          </w:p>
        </w:tc>
      </w:tr>
      <w:tr>
        <w:trPr>
          <w:cantSplit/>
          <w:jc w:val="center"/>
        </w:trPr>
        <w:tc>
          <w:tcPr>
            <w:tcW w:w="565" w:type="pct"/>
            <w:tcBorders>
              <w:top w:val="single" w:sz="4" w:space="0" w:color="010000"/>
            </w:tcBorders>
            <w:vAlign w:val="center"/>
          </w:tcPr>
          <w:p>
            <w:pPr>
              <w:jc w:val="left"/>
            </w:pPr>
            <w:r/>
            <w:r>
              <w:rPr>
                <w:rFonts w:hint="eastAsia"/>
                <w:color w:val="000000"/>
                <w:sz w:val="21"/>
              </w:rPr>
              <w:t>富乐德</w:t>
            </w:r>
          </w:p>
        </w:tc>
        <w:tc>
          <w:tcPr>
            <w:tcW w:w="478" w:type="pct"/>
            <w:tcBorders>
              <w:top w:val="single" w:sz="4" w:space="0" w:color="010000"/>
            </w:tcBorders>
            <w:vAlign w:val="center"/>
          </w:tcPr>
          <w:p>
            <w:pPr>
              <w:jc w:val="center"/>
            </w:pPr>
            <w:r/>
            <w:r>
              <w:rPr>
                <w:rFonts w:hint="eastAsia"/>
                <w:color w:val="000000"/>
                <w:sz w:val="21"/>
              </w:rPr>
              <w:t>301297.SZ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2022年12月30日上市</w:t>
            </w:r>
          </w:p>
        </w:tc>
        <w:tc>
          <w:tcPr>
            <w:tcW w:w="522" w:type="pct"/>
            <w:tcBorders>
              <w:top w:val="single" w:sz="4" w:space="0" w:color="010000"/>
            </w:tcBorders>
            <w:vAlign w:val="center"/>
          </w:tcPr>
          <w:p>
            <w:pPr>
              <w:jc w:val="center"/>
            </w:pPr>
            <w:r/>
            <w:r>
              <w:rPr>
                <w:rFonts w:hint="eastAsia"/>
                <w:color w:val="000000"/>
                <w:sz w:val="21"/>
              </w:rPr>
              <w:t>光大证券</w:t>
            </w:r>
          </w:p>
        </w:tc>
        <w:tc>
          <w:tcPr>
            <w:tcW w:w="2087" w:type="pct"/>
            <w:tcBorders>
              <w:top w:val="single" w:sz="4" w:space="0" w:color="010000"/>
            </w:tcBorders>
            <w:vAlign w:val="center"/>
          </w:tcPr>
          <w:p>
            <w:pPr>
              <w:jc w:val="left"/>
            </w:pPr>
            <w:r/>
            <w:r>
              <w:rPr>
                <w:rFonts w:hint="eastAsia"/>
                <w:color w:val="000000"/>
                <w:sz w:val="21"/>
              </w:rPr>
              <w:t>泛半导体设备精密洗净与零部件再生服务。2025年营业收入28.67亿元、同比增长7.46%，归母净利润4.03亿元、同比增长58.54%</w:t>
            </w:r>
          </w:p>
        </w:tc>
      </w:tr>
      <w:tr>
        <w:trPr>
          <w:cantSplit/>
          <w:jc w:val="center"/>
        </w:trPr>
        <w:tc>
          <w:tcPr>
            <w:tcW w:w="565" w:type="pct"/>
            <w:tcBorders>
              <w:top w:val="single" w:sz="4" w:space="0" w:color="010000"/>
            </w:tcBorders>
            <w:vAlign w:val="center"/>
          </w:tcPr>
          <w:p>
            <w:pPr>
              <w:jc w:val="left"/>
            </w:pPr>
            <w:r/>
            <w:r>
              <w:rPr>
                <w:rFonts w:hint="eastAsia"/>
                <w:color w:val="000000"/>
                <w:sz w:val="21"/>
              </w:rPr>
              <w:t>正帆科技</w:t>
            </w:r>
          </w:p>
        </w:tc>
        <w:tc>
          <w:tcPr>
            <w:tcW w:w="478" w:type="pct"/>
            <w:tcBorders>
              <w:top w:val="single" w:sz="4" w:space="0" w:color="010000"/>
            </w:tcBorders>
            <w:vAlign w:val="center"/>
          </w:tcPr>
          <w:p>
            <w:pPr>
              <w:jc w:val="center"/>
            </w:pPr>
            <w:r/>
            <w:r>
              <w:rPr>
                <w:rFonts w:hint="eastAsia"/>
                <w:color w:val="000000"/>
                <w:sz w:val="21"/>
              </w:rPr>
              <w:t>688596.SH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2020年8月20日上市</w:t>
            </w:r>
          </w:p>
        </w:tc>
        <w:tc>
          <w:tcPr>
            <w:tcW w:w="522" w:type="pct"/>
            <w:tcBorders>
              <w:top w:val="single" w:sz="4" w:space="0" w:color="010000"/>
            </w:tcBorders>
            <w:vAlign w:val="center"/>
          </w:tcPr>
          <w:p>
            <w:pPr>
              <w:jc w:val="center"/>
            </w:pPr>
            <w:r/>
            <w:r>
              <w:rPr>
                <w:rFonts w:hint="eastAsia"/>
                <w:color w:val="000000"/>
                <w:sz w:val="21"/>
              </w:rPr>
              <w:t>国泰君安证券</w:t>
            </w:r>
          </w:p>
        </w:tc>
        <w:tc>
          <w:tcPr>
            <w:tcW w:w="2087" w:type="pct"/>
            <w:tcBorders>
              <w:top w:val="single" w:sz="4" w:space="0" w:color="010000"/>
            </w:tcBorders>
            <w:vAlign w:val="center"/>
          </w:tcPr>
          <w:p>
            <w:pPr>
              <w:jc w:val="left"/>
            </w:pPr>
            <w:r/>
            <w:r>
              <w:rPr>
                <w:rFonts w:hint="eastAsia"/>
                <w:color w:val="000000"/>
                <w:sz w:val="21"/>
              </w:rPr>
              <w:t>电子工艺设备与气体输送系统，含气柜、气体管路及电子特气。2025年营业收入49.16亿元、同比下降10.11%，归母净利润1.36亿元、同比下降74.17%</w:t>
            </w:r>
          </w:p>
        </w:tc>
      </w:tr>
      <w:tr>
        <w:trPr>
          <w:cantSplit/>
          <w:jc w:val="center"/>
        </w:trPr>
        <w:tc>
          <w:tcPr>
            <w:tcW w:w="565" w:type="pct"/>
            <w:tcBorders>
              <w:top w:val="single" w:sz="4" w:space="0" w:color="010000"/>
            </w:tcBorders>
            <w:vAlign w:val="center"/>
          </w:tcPr>
          <w:p>
            <w:pPr>
              <w:jc w:val="left"/>
            </w:pPr>
            <w:r/>
            <w:r>
              <w:rPr>
                <w:rFonts w:hint="eastAsia"/>
                <w:color w:val="000000"/>
                <w:sz w:val="21"/>
              </w:rPr>
              <w:t>新莱应材</w:t>
            </w:r>
          </w:p>
        </w:tc>
        <w:tc>
          <w:tcPr>
            <w:tcW w:w="478" w:type="pct"/>
            <w:tcBorders>
              <w:top w:val="single" w:sz="4" w:space="0" w:color="010000"/>
            </w:tcBorders>
            <w:vAlign w:val="center"/>
          </w:tcPr>
          <w:p>
            <w:pPr>
              <w:jc w:val="center"/>
            </w:pPr>
            <w:r/>
            <w:r>
              <w:rPr>
                <w:rFonts w:hint="eastAsia"/>
                <w:color w:val="000000"/>
                <w:sz w:val="21"/>
              </w:rPr>
              <w:t>300260.SZ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2011年9月6日上市</w:t>
            </w:r>
          </w:p>
        </w:tc>
        <w:tc>
          <w:tcPr>
            <w:tcW w:w="522" w:type="pct"/>
            <w:tcBorders>
              <w:top w:val="single" w:sz="4" w:space="0" w:color="010000"/>
            </w:tcBorders>
            <w:vAlign w:val="center"/>
          </w:tcPr>
          <w:p>
            <w:pPr>
              <w:jc w:val="center"/>
            </w:pPr>
            <w:r/>
            <w:r>
              <w:rPr>
                <w:rFonts w:hint="eastAsia"/>
                <w:color w:val="000000"/>
                <w:sz w:val="21"/>
              </w:rPr>
              <w:t>长江证券承销保荐</w:t>
            </w:r>
          </w:p>
        </w:tc>
        <w:tc>
          <w:tcPr>
            <w:tcW w:w="2087" w:type="pct"/>
            <w:tcBorders>
              <w:top w:val="single" w:sz="4" w:space="0" w:color="010000"/>
            </w:tcBorders>
            <w:vAlign w:val="center"/>
          </w:tcPr>
          <w:p>
            <w:pPr>
              <w:jc w:val="left"/>
            </w:pPr>
            <w:r/>
            <w:r>
              <w:rPr>
                <w:rFonts w:hint="eastAsia"/>
                <w:color w:val="000000"/>
                <w:sz w:val="21"/>
              </w:rPr>
              <w:t>洁净应用材料与高纯应用材料，含半导体用真空及流体管阀件。2025年营业收入29.98亿元、同比增长5.22%，净利润1.75亿元</w:t>
            </w:r>
          </w:p>
        </w:tc>
      </w:tr>
      <w:tr>
        <w:trPr>
          <w:cantSplit/>
          <w:jc w:val="center"/>
        </w:trPr>
        <w:tc>
          <w:tcPr>
            <w:tcW w:w="565" w:type="pct"/>
            <w:tcBorders>
              <w:top w:val="single" w:sz="4" w:space="0" w:color="010000"/>
            </w:tcBorders>
            <w:vAlign w:val="center"/>
          </w:tcPr>
          <w:p>
            <w:pPr>
              <w:jc w:val="left"/>
            </w:pPr>
            <w:r/>
            <w:r>
              <w:rPr>
                <w:rFonts w:hint="eastAsia"/>
                <w:color w:val="000000"/>
                <w:sz w:val="21"/>
              </w:rPr>
              <w:t>恒运昌</w:t>
            </w:r>
          </w:p>
        </w:tc>
        <w:tc>
          <w:tcPr>
            <w:tcW w:w="478" w:type="pct"/>
            <w:tcBorders>
              <w:top w:val="single" w:sz="4" w:space="0" w:color="010000"/>
            </w:tcBorders>
            <w:vAlign w:val="center"/>
          </w:tcPr>
          <w:p>
            <w:pPr>
              <w:jc w:val="center"/>
            </w:pPr>
            <w:r/>
            <w:r>
              <w:rPr>
                <w:rFonts w:hint="eastAsia"/>
                <w:color w:val="000000"/>
                <w:sz w:val="21"/>
              </w:rPr>
              <w:t>688785.SH</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2026年1月28日上市</w:t>
            </w:r>
          </w:p>
        </w:tc>
        <w:tc>
          <w:tcPr>
            <w:tcW w:w="522" w:type="pct"/>
            <w:tcBorders>
              <w:top w:val="single" w:sz="4" w:space="0" w:color="010000"/>
            </w:tcBorders>
            <w:vAlign w:val="center"/>
          </w:tcPr>
          <w:p>
            <w:pPr>
              <w:jc w:val="center"/>
            </w:pPr>
            <w:r/>
            <w:r>
              <w:rPr>
                <w:rFonts w:hint="eastAsia"/>
                <w:color w:val="000000"/>
                <w:sz w:val="21"/>
              </w:rPr>
              <w:t>中信证券</w:t>
            </w:r>
          </w:p>
        </w:tc>
        <w:tc>
          <w:tcPr>
            <w:tcW w:w="2087" w:type="pct"/>
            <w:tcBorders>
              <w:top w:val="single" w:sz="4" w:space="0" w:color="010000"/>
            </w:tcBorders>
            <w:vAlign w:val="center"/>
          </w:tcPr>
          <w:p>
            <w:pPr>
              <w:jc w:val="left"/>
            </w:pPr>
            <w:r/>
            <w:r>
              <w:rPr>
                <w:rFonts w:hint="eastAsia"/>
                <w:color w:val="000000"/>
                <w:sz w:val="21"/>
              </w:rPr>
              <w:t>半导体射频电源与真空技术产品。2025年营业收入5.30亿元，归母净利润1.14亿元、同比下降19.19%</w:t>
            </w:r>
          </w:p>
        </w:tc>
      </w:tr>
      <w:tr>
        <w:trPr>
          <w:cantSplit/>
          <w:jc w:val="center"/>
        </w:trPr>
        <w:tc>
          <w:tcPr>
            <w:tcW w:w="565" w:type="pct"/>
            <w:tcBorders>
              <w:top w:val="single" w:sz="4" w:space="0" w:color="010000"/>
            </w:tcBorders>
            <w:vAlign w:val="center"/>
          </w:tcPr>
          <w:p>
            <w:pPr>
              <w:jc w:val="left"/>
            </w:pPr>
            <w:r/>
            <w:r>
              <w:rPr>
                <w:rFonts w:hint="eastAsia"/>
                <w:color w:val="000000"/>
                <w:sz w:val="21"/>
              </w:rPr>
              <w:t>英杰电气</w:t>
            </w:r>
          </w:p>
        </w:tc>
        <w:tc>
          <w:tcPr>
            <w:tcW w:w="478" w:type="pct"/>
            <w:tcBorders>
              <w:top w:val="single" w:sz="4" w:space="0" w:color="010000"/>
            </w:tcBorders>
            <w:vAlign w:val="center"/>
          </w:tcPr>
          <w:p>
            <w:pPr>
              <w:jc w:val="center"/>
            </w:pPr>
            <w:r/>
            <w:r>
              <w:rPr>
                <w:rFonts w:hint="eastAsia"/>
                <w:color w:val="000000"/>
                <w:sz w:val="21"/>
              </w:rPr>
              <w:t>300820.SZ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2020年2月13日上市</w:t>
            </w:r>
          </w:p>
        </w:tc>
        <w:tc>
          <w:tcPr>
            <w:tcW w:w="522" w:type="pct"/>
            <w:tcBorders>
              <w:top w:val="single" w:sz="4" w:space="0" w:color="010000"/>
            </w:tcBorders>
            <w:vAlign w:val="center"/>
          </w:tcPr>
          <w:p>
            <w:pPr>
              <w:jc w:val="center"/>
            </w:pPr>
            <w:r/>
            <w:r>
              <w:rPr>
                <w:rFonts w:hint="eastAsia"/>
                <w:color w:val="000000"/>
                <w:sz w:val="21"/>
              </w:rPr>
              <w:t>国金证券</w:t>
            </w:r>
          </w:p>
        </w:tc>
        <w:tc>
          <w:tcPr>
            <w:tcW w:w="2087" w:type="pct"/>
            <w:tcBorders>
              <w:top w:val="single" w:sz="4" w:space="0" w:color="010000"/>
            </w:tcBorders>
            <w:vAlign w:val="center"/>
          </w:tcPr>
          <w:p>
            <w:pPr>
              <w:jc w:val="left"/>
            </w:pPr>
            <w:r/>
            <w:r>
              <w:rPr>
                <w:rFonts w:hint="eastAsia"/>
                <w:color w:val="000000"/>
                <w:sz w:val="21"/>
              </w:rPr>
              <w:t>工业电源，含半导体设备用电源产品。2025年营业收入15.02亿元，归母净利润2.23亿元</w:t>
            </w:r>
          </w:p>
        </w:tc>
      </w:tr>
      <w:tr>
        <w:trPr>
          <w:cantSplit/>
          <w:jc w:val="center"/>
        </w:trPr>
        <w:tc>
          <w:tcPr>
            <w:tcW w:w="565" w:type="pct"/>
            <w:tcBorders>
              <w:top w:val="single" w:sz="4" w:space="0" w:color="010000"/>
            </w:tcBorders>
            <w:vAlign w:val="center"/>
          </w:tcPr>
          <w:p>
            <w:pPr>
              <w:jc w:val="left"/>
            </w:pPr>
            <w:r/>
            <w:r>
              <w:rPr>
                <w:rFonts w:hint="eastAsia"/>
                <w:color w:val="000000"/>
                <w:sz w:val="21"/>
              </w:rPr>
              <w:t>唯万密封</w:t>
            </w:r>
          </w:p>
        </w:tc>
        <w:tc>
          <w:tcPr>
            <w:tcW w:w="478" w:type="pct"/>
            <w:tcBorders>
              <w:top w:val="single" w:sz="4" w:space="0" w:color="010000"/>
            </w:tcBorders>
            <w:vAlign w:val="center"/>
          </w:tcPr>
          <w:p>
            <w:pPr>
              <w:jc w:val="center"/>
            </w:pPr>
            <w:r/>
            <w:r>
              <w:rPr>
                <w:rFonts w:hint="eastAsia"/>
                <w:color w:val="000000"/>
                <w:sz w:val="21"/>
              </w:rPr>
              <w:t>301161.SZ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2022年9月14日上市</w:t>
            </w:r>
          </w:p>
        </w:tc>
        <w:tc>
          <w:tcPr>
            <w:tcW w:w="522" w:type="pct"/>
            <w:tcBorders>
              <w:top w:val="single" w:sz="4" w:space="0" w:color="010000"/>
            </w:tcBorders>
            <w:vAlign w:val="center"/>
          </w:tcPr>
          <w:p>
            <w:pPr>
              <w:jc w:val="center"/>
            </w:pPr>
            <w:r/>
            <w:r>
              <w:rPr>
                <w:rFonts w:hint="eastAsia"/>
                <w:color w:val="000000"/>
                <w:sz w:val="21"/>
              </w:rPr>
              <w:t>国信证券</w:t>
            </w:r>
          </w:p>
        </w:tc>
        <w:tc>
          <w:tcPr>
            <w:tcW w:w="2087" w:type="pct"/>
            <w:tcBorders>
              <w:top w:val="single" w:sz="4" w:space="0" w:color="010000"/>
            </w:tcBorders>
            <w:vAlign w:val="center"/>
          </w:tcPr>
          <w:p>
            <w:pPr>
              <w:jc w:val="left"/>
            </w:pPr>
            <w:r/>
            <w:r>
              <w:rPr>
                <w:rFonts w:hint="eastAsia"/>
                <w:color w:val="000000"/>
                <w:sz w:val="21"/>
              </w:rPr>
              <w:t>液压气动密封产品，子公司涉及半导体用全氟醚橡胶密封件。2025年营业收入7.69亿元、同比增长7.46%，归母净利润8,703.93万元</w:t>
            </w:r>
          </w:p>
        </w:tc>
      </w:tr>
      <w:tr>
        <w:trPr>
          <w:cantSplit/>
          <w:jc w:val="center"/>
        </w:trPr>
        <w:tc>
          <w:tcPr>
            <w:tcW w:w="565" w:type="pct"/>
            <w:tcBorders>
              <w:top w:val="single" w:sz="4" w:space="0" w:color="010000"/>
            </w:tcBorders>
            <w:vAlign w:val="center"/>
          </w:tcPr>
          <w:p>
            <w:pPr>
              <w:jc w:val="left"/>
            </w:pPr>
            <w:r/>
            <w:r>
              <w:rPr>
                <w:rFonts w:hint="eastAsia"/>
                <w:color w:val="000000"/>
                <w:sz w:val="21"/>
              </w:rPr>
              <w:t>中密控股</w:t>
            </w:r>
          </w:p>
        </w:tc>
        <w:tc>
          <w:tcPr>
            <w:tcW w:w="478" w:type="pct"/>
            <w:tcBorders>
              <w:top w:val="single" w:sz="4" w:space="0" w:color="010000"/>
            </w:tcBorders>
            <w:vAlign w:val="center"/>
          </w:tcPr>
          <w:p>
            <w:pPr>
              <w:jc w:val="center"/>
            </w:pPr>
            <w:r/>
            <w:r>
              <w:rPr>
                <w:rFonts w:hint="eastAsia"/>
                <w:color w:val="000000"/>
                <w:sz w:val="21"/>
              </w:rPr>
              <w:t>300470.SZ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2015年6月12日上市</w:t>
            </w:r>
          </w:p>
        </w:tc>
        <w:tc>
          <w:tcPr>
            <w:tcW w:w="522" w:type="pct"/>
            <w:tcBorders>
              <w:top w:val="single" w:sz="4" w:space="0" w:color="010000"/>
            </w:tcBorders>
            <w:vAlign w:val="center"/>
          </w:tcPr>
          <w:p>
            <w:pPr>
              <w:jc w:val="center"/>
            </w:pPr>
            <w:r/>
            <w:r>
              <w:rPr>
                <w:rFonts w:hint="eastAsia"/>
                <w:color w:val="000000"/>
                <w:sz w:val="21"/>
              </w:rPr>
              <w:t>国金证券</w:t>
            </w:r>
          </w:p>
        </w:tc>
        <w:tc>
          <w:tcPr>
            <w:tcW w:w="2087" w:type="pct"/>
            <w:tcBorders>
              <w:top w:val="single" w:sz="4" w:space="0" w:color="010000"/>
            </w:tcBorders>
            <w:vAlign w:val="center"/>
          </w:tcPr>
          <w:p>
            <w:pPr>
              <w:jc w:val="left"/>
            </w:pPr>
            <w:r/>
            <w:r>
              <w:rPr>
                <w:rFonts w:hint="eastAsia"/>
                <w:color w:val="000000"/>
                <w:sz w:val="21"/>
              </w:rPr>
              <w:t>机械密封、干气密封及密封辅助系统。2025年营业收入17.69亿元、同比增长12.91%，归母净利润3.85亿元</w:t>
            </w:r>
          </w:p>
        </w:tc>
      </w:tr>
      <w:tr>
        <w:trPr>
          <w:cantSplit/>
          <w:jc w:val="center"/>
        </w:trPr>
        <w:tc>
          <w:tcPr>
            <w:tcW w:w="565" w:type="pct"/>
            <w:tcBorders>
              <w:top w:val="single" w:sz="4" w:space="0" w:color="010000"/>
            </w:tcBorders>
            <w:vAlign w:val="center"/>
          </w:tcPr>
          <w:p>
            <w:pPr>
              <w:jc w:val="left"/>
            </w:pPr>
            <w:r/>
            <w:r>
              <w:rPr>
                <w:rFonts w:hint="eastAsia"/>
                <w:color w:val="000000"/>
                <w:sz w:val="21"/>
              </w:rPr>
              <w:t>托伦斯</w:t>
            </w:r>
          </w:p>
        </w:tc>
        <w:tc>
          <w:tcPr>
            <w:tcW w:w="478" w:type="pct"/>
            <w:tcBorders>
              <w:top w:val="single" w:sz="4" w:space="0" w:color="010000"/>
            </w:tcBorders>
            <w:vAlign w:val="center"/>
          </w:tcPr>
          <w:p>
            <w:pPr>
              <w:jc w:val="center"/>
            </w:pPr>
            <w:r/>
            <w:r>
              <w:rPr>
                <w:rFonts w:hint="eastAsia"/>
                <w:color w:val="000000"/>
                <w:sz w:val="21"/>
              </w:rPr>
              <w:t>301583.SZ</w:t>
            </w:r>
          </w:p>
        </w:tc>
        <w:tc>
          <w:tcPr>
            <w:tcW w:w="478" w:type="pct"/>
            <w:tcBorders>
              <w:top w:val="single" w:sz="4" w:space="0" w:color="010000"/>
            </w:tcBorders>
            <w:vAlign w:val="center"/>
          </w:tcPr>
          <w:p>
            <w:pPr>
              <w:jc w:val="center"/>
            </w:pPr>
            <w:r/>
            <w:r>
              <w:rPr>
                <w:rFonts w:hint="eastAsia"/>
                <w:color w:val="000000"/>
                <w:sz w:val="21"/>
              </w:rPr>
              <w:t>创业板</w:t>
            </w:r>
          </w:p>
        </w:tc>
        <w:tc>
          <w:tcPr>
            <w:tcW w:w="870" w:type="pct"/>
            <w:tcBorders>
              <w:top w:val="single" w:sz="4" w:space="0" w:color="010000"/>
            </w:tcBorders>
            <w:vAlign w:val="center"/>
          </w:tcPr>
          <w:p>
            <w:pPr>
              <w:jc w:val="left"/>
            </w:pPr>
            <w:r/>
            <w:r>
              <w:rPr>
                <w:rFonts w:hint="eastAsia"/>
                <w:color w:val="000000"/>
                <w:sz w:val="21"/>
              </w:rPr>
              <w:t>2025年12月23日受理，2026年4月25日提交注册</w:t>
            </w:r>
          </w:p>
        </w:tc>
        <w:tc>
          <w:tcPr>
            <w:tcW w:w="522" w:type="pct"/>
            <w:tcBorders>
              <w:top w:val="single" w:sz="4" w:space="0" w:color="010000"/>
            </w:tcBorders>
            <w:vAlign w:val="center"/>
          </w:tcPr>
          <w:p>
            <w:pPr>
              <w:jc w:val="center"/>
            </w:pPr>
            <w:r/>
            <w:r>
              <w:rPr>
                <w:rFonts w:hint="eastAsia"/>
                <w:color w:val="000000"/>
                <w:sz w:val="21"/>
              </w:rPr>
              <w:t>中金公司</w:t>
            </w:r>
          </w:p>
        </w:tc>
        <w:tc>
          <w:tcPr>
            <w:tcW w:w="2087" w:type="pct"/>
            <w:tcBorders>
              <w:top w:val="single" w:sz="4" w:space="0" w:color="010000"/>
            </w:tcBorders>
            <w:vAlign w:val="center"/>
          </w:tcPr>
          <w:p>
            <w:pPr>
              <w:jc w:val="left"/>
            </w:pPr>
            <w:r/>
            <w:r>
              <w:rPr>
                <w:rFonts w:hint="eastAsia"/>
                <w:color w:val="000000"/>
                <w:sz w:val="21"/>
              </w:rPr>
              <w:t>半导体关键工艺零部件、工艺零部件、结构零部件及激光设备零部件。2025年营业收入7.20亿元、同比增长18.00%，归母净利润9,817.56万元</w:t>
            </w:r>
          </w:p>
        </w:tc>
      </w:tr>
      <w:tr>
        <w:trPr>
          <w:cantSplit/>
          <w:jc w:val="center"/>
        </w:trPr>
        <w:tc>
          <w:tcPr>
            <w:tcW w:w="565" w:type="pct"/>
            <w:tcBorders>
              <w:top w:val="single" w:sz="4" w:space="0" w:color="010000"/>
            </w:tcBorders>
            <w:vAlign w:val="center"/>
          </w:tcPr>
          <w:p>
            <w:pPr>
              <w:jc w:val="left"/>
            </w:pPr>
            <w:r/>
            <w:r>
              <w:rPr>
                <w:rFonts w:hint="eastAsia"/>
                <w:color w:val="000000"/>
                <w:sz w:val="21"/>
              </w:rPr>
              <w:t>江苏神州半导体科技</w:t>
            </w:r>
          </w:p>
        </w:tc>
        <w:tc>
          <w:tcPr>
            <w:tcW w:w="478" w:type="pct"/>
            <w:tcBorders>
              <w:top w:val="single" w:sz="4" w:space="0" w:color="010000"/>
            </w:tcBorders>
            <w:vAlign w:val="center"/>
          </w:tcPr>
          <w:p>
            <w:pPr>
              <w:jc w:val="center"/>
            </w:pPr>
            <w:r/>
            <w:r>
              <w:rPr>
                <w:rFonts w:hint="eastAsia"/>
                <w:color w:val="000000"/>
                <w:sz w:val="21"/>
              </w:rPr>
              <w:t>—</w:t>
            </w:r>
          </w:p>
        </w:tc>
        <w:tc>
          <w:tcPr>
            <w:tcW w:w="478" w:type="pct"/>
            <w:tcBorders>
              <w:top w:val="single" w:sz="4" w:space="0" w:color="010000"/>
            </w:tcBorders>
            <w:vAlign w:val="center"/>
          </w:tcPr>
          <w:p>
            <w:pPr>
              <w:jc w:val="center"/>
            </w:pPr>
            <w:r/>
            <w:r>
              <w:rPr>
                <w:rFonts w:hint="eastAsia"/>
                <w:color w:val="000000"/>
                <w:sz w:val="21"/>
              </w:rPr>
              <w:t>科创板</w:t>
            </w:r>
          </w:p>
        </w:tc>
        <w:tc>
          <w:tcPr>
            <w:tcW w:w="870" w:type="pct"/>
            <w:tcBorders>
              <w:top w:val="single" w:sz="4" w:space="0" w:color="010000"/>
            </w:tcBorders>
            <w:vAlign w:val="center"/>
          </w:tcPr>
          <w:p>
            <w:pPr>
              <w:jc w:val="left"/>
            </w:pPr>
            <w:r/>
            <w:r>
              <w:rPr>
                <w:rFonts w:hint="eastAsia"/>
                <w:color w:val="000000"/>
                <w:sz w:val="21"/>
              </w:rPr>
              <w:t>2026年6月30日递交申报稿，状态为已问询</w:t>
            </w:r>
          </w:p>
        </w:tc>
        <w:tc>
          <w:tcPr>
            <w:tcW w:w="522" w:type="pct"/>
            <w:tcBorders>
              <w:top w:val="single" w:sz="4" w:space="0" w:color="010000"/>
            </w:tcBorders>
            <w:vAlign w:val="center"/>
          </w:tcPr>
          <w:p>
            <w:pPr>
              <w:jc w:val="center"/>
            </w:pPr>
            <w:r/>
            <w:r>
              <w:rPr>
                <w:rFonts w:hint="eastAsia"/>
                <w:color w:val="000000"/>
                <w:sz w:val="21"/>
              </w:rPr>
              <w:t>国泰海通证券</w:t>
            </w:r>
          </w:p>
        </w:tc>
        <w:tc>
          <w:tcPr>
            <w:tcW w:w="2087" w:type="pct"/>
            <w:tcBorders>
              <w:top w:val="single" w:sz="4" w:space="0" w:color="010000"/>
            </w:tcBorders>
            <w:vAlign w:val="center"/>
          </w:tcPr>
          <w:p>
            <w:pPr>
              <w:jc w:val="left"/>
            </w:pPr>
            <w:r/>
            <w:r>
              <w:rPr>
                <w:rFonts w:hint="eastAsia"/>
                <w:color w:val="000000"/>
                <w:sz w:val="21"/>
              </w:rPr>
              <w:t>半导体等离子体电源系统，包括远程等离子源发生系统与射频电源，应用于刻蚀设备、化学薄膜设备等</w:t>
            </w:r>
          </w:p>
        </w:tc>
      </w:tr>
    </w:tbl>
    <w:p>
      <w:pPr>
        <w:pStyle w:val="a6"/>
        <w:jc w:val="center"/>
      </w:pPr>
      <w:r>
        <w:rPr>
          <w:rFonts w:hint="eastAsia"/>
          <w:sz w:val="11"/>
          <w:szCs w:val="11"/>
        </w:rPr>
        <w:t>数据来源：各公司2025年年度报告及业绩快报；各公司招股说明书；交易所发行上市审核信息公开网站；Wind整理成果，本报告整理。注一：保荐机构一列为各公司首次公开发行的保荐机构，取自招股说明书、上市保荐书或发行公告；上市后再融资项目的保荐机构可能与此不同，两者不可相互推定；注二：财务数据为2025年度合并报表口径，净利润除注明外均为归属于母公司股东的净利润；注三：凯德石英现行证券代码920179，上市时代码为835179，臻宝科技招股说明书按上市时代码列示；中密控股上市时名称为四川日机密封件股份有限公司，2019年12月更名为中密控股股份有限公司；注四：本表覆盖以半导体设备零部件、耗材及其材料、表面处理服务为主要业务或重要业务板块的境内上市与在审企业，不含设备整机与晶圆制造企业，后者见表10。</w:t>
      </w:r>
    </w:p>
    <w:p>
      <w:pPr>
        <w:pStyle w:val="a0"/>
      </w:pPr>
      <w:r>
        <w:rPr>
          <w:rFonts w:hint="eastAsia"/>
        </w:rPr>
        <w:t>上表二十家企业中，以零部件本体制造为主业的为富创精密、先锋精科、珂玛科技、臻宝科技、华亚智能与在审的托伦斯，以零部件所用材料为主业的为神工股份、有研硅、菲利华、石英股份、凯德石英与江丰电子，以表面处理与再生服务为主业的为富乐德，以气体与流体系统为主业的为正帆科技与新莱应材，以电源类部件为主业的为恒运昌、英杰电气与在审的江苏神州半导体，以密封件为主业的为唯万密封与中密控股。无锡金源的四条产品线分别落在零部件本体制造与密封件两类之中。</w:t>
      </w:r>
    </w:p>
    <w:p>
      <w:pPr>
        <w:pStyle w:val="3"/>
        <w:numPr>
          <w:ilvl w:val="0"/>
          <w:numId w:val="0"/>
        </w:numPr>
        <w:spacing w:before="156" w:after="156"/>
      </w:pPr>
      <w:bookmarkStart w:id="1029" w:name="_Toc900029"/>
      <w:r>
        <w:rPr>
          <w:rFonts w:hint="eastAsia"/>
        </w:rPr>
        <w:t>6.2 已上市的产业链相关公司一览</w:t>
      </w:r>
      <w:bookmarkEnd w:id="1029"/>
    </w:p>
    <w:p>
      <w:pPr>
        <w:keepNext/>
        <w:jc w:val="center"/>
      </w:pPr>
      <w:r>
        <w:rPr>
          <w:rFonts w:hint="eastAsia"/>
          <w:b/>
          <w:sz w:val="21"/>
        </w:rPr>
        <w:t>表10  半导体设备零部件产业链已上市相关公司一览</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800" w:type="pct"/>
            <w:tcBorders>
              <w:top w:val="single" w:sz="12" w:space="0" w:color="010000"/>
              <w:bottom w:val="single" w:sz="4" w:space="0" w:color="010000"/>
            </w:tcBorders>
            <w:vAlign w:val="center"/>
          </w:tcPr>
          <w:p>
            <w:pPr>
              <w:keepNext/>
              <w:jc w:val="center"/>
            </w:pPr>
            <w:r/>
            <w:r>
              <w:rPr>
                <w:rFonts w:hint="eastAsia"/>
                <w:b/>
                <w:color w:val="000000"/>
                <w:sz w:val="21"/>
              </w:rPr>
              <w:t>产业链环节</w:t>
            </w:r>
          </w:p>
        </w:tc>
        <w:tc>
          <w:tcPr>
            <w:tcW w:w="2200" w:type="pct"/>
            <w:tcBorders>
              <w:top w:val="single" w:sz="12" w:space="0" w:color="010000"/>
              <w:bottom w:val="single" w:sz="4" w:space="0" w:color="010000"/>
            </w:tcBorders>
            <w:vAlign w:val="center"/>
          </w:tcPr>
          <w:p>
            <w:pPr>
              <w:keepNext/>
              <w:jc w:val="center"/>
            </w:pPr>
            <w:r/>
            <w:r>
              <w:rPr>
                <w:rFonts w:hint="eastAsia"/>
                <w:b/>
                <w:color w:val="000000"/>
                <w:sz w:val="21"/>
              </w:rPr>
              <w:t>已上市公司（证券代码）</w:t>
            </w:r>
          </w:p>
        </w:tc>
        <w:tc>
          <w:tcPr>
            <w:tcW w:w="2000" w:type="pct"/>
            <w:tcBorders>
              <w:top w:val="single" w:sz="12" w:space="0" w:color="010000"/>
              <w:bottom w:val="single" w:sz="4" w:space="0" w:color="010000"/>
            </w:tcBorders>
            <w:vAlign w:val="center"/>
          </w:tcPr>
          <w:p>
            <w:pPr>
              <w:keepNext/>
              <w:jc w:val="center"/>
            </w:pPr>
            <w:r/>
            <w:r>
              <w:rPr>
                <w:rFonts w:hint="eastAsia"/>
                <w:b/>
                <w:color w:val="000000"/>
                <w:sz w:val="21"/>
              </w:rPr>
              <w:t>与无锡金源的关系</w:t>
            </w:r>
          </w:p>
        </w:tc>
      </w:tr>
      <w:tr>
        <w:trPr>
          <w:cantSplit/>
          <w:jc w:val="center"/>
        </w:trPr>
        <w:tc>
          <w:tcPr>
            <w:tcW w:w="800" w:type="pct"/>
            <w:tcBorders>
              <w:top w:val="single" w:sz="4" w:space="0" w:color="010000"/>
            </w:tcBorders>
            <w:vAlign w:val="center"/>
          </w:tcPr>
          <w:p>
            <w:pPr>
              <w:jc w:val="center"/>
            </w:pPr>
            <w:r/>
            <w:r>
              <w:rPr>
                <w:rFonts w:hint="eastAsia"/>
                <w:color w:val="000000"/>
                <w:sz w:val="21"/>
              </w:rPr>
              <w:t>上游材料：硅、石英、陶瓷、金属</w:t>
            </w:r>
          </w:p>
        </w:tc>
        <w:tc>
          <w:tcPr>
            <w:tcW w:w="2200" w:type="pct"/>
            <w:tcBorders>
              <w:top w:val="single" w:sz="4" w:space="0" w:color="010000"/>
            </w:tcBorders>
            <w:vAlign w:val="center"/>
          </w:tcPr>
          <w:p>
            <w:pPr>
              <w:jc w:val="left"/>
            </w:pPr>
            <w:r/>
            <w:r>
              <w:rPr>
                <w:rFonts w:hint="eastAsia"/>
                <w:color w:val="000000"/>
                <w:sz w:val="21"/>
              </w:rPr>
              <w:t>神工股份（688233.SH）、有研硅（688432.SH）、菲利华（300395.SZ）、石英股份（603688.SH）、凯德石英（920179.BJ）、江丰电子（300666.SZ）、中瓷电子（003031.SZ）</w:t>
            </w:r>
          </w:p>
        </w:tc>
        <w:tc>
          <w:tcPr>
            <w:tcW w:w="2000" w:type="pct"/>
            <w:tcBorders>
              <w:top w:val="single" w:sz="4" w:space="0" w:color="010000"/>
            </w:tcBorders>
            <w:vAlign w:val="center"/>
          </w:tcPr>
          <w:p>
            <w:pPr>
              <w:jc w:val="left"/>
            </w:pPr>
            <w:r/>
            <w:r>
              <w:rPr>
                <w:rFonts w:hint="eastAsia"/>
                <w:color w:val="000000"/>
                <w:sz w:val="21"/>
              </w:rPr>
              <w:t>气体喷头与加热盘的坯料来源。材料自制与否直接影响毛利率水平与交付周期，为审核问询中比较硅零部件毛利率差异的主要解释变量</w:t>
            </w:r>
          </w:p>
        </w:tc>
      </w:tr>
      <w:tr>
        <w:trPr>
          <w:cantSplit/>
          <w:jc w:val="center"/>
        </w:trPr>
        <w:tc>
          <w:tcPr>
            <w:tcW w:w="800" w:type="pct"/>
            <w:tcBorders>
              <w:top w:val="single" w:sz="4" w:space="0" w:color="010000"/>
            </w:tcBorders>
            <w:vAlign w:val="center"/>
          </w:tcPr>
          <w:p>
            <w:pPr>
              <w:jc w:val="center"/>
            </w:pPr>
            <w:r/>
            <w:r>
              <w:rPr>
                <w:rFonts w:hint="eastAsia"/>
                <w:color w:val="000000"/>
                <w:sz w:val="21"/>
              </w:rPr>
              <w:t>零部件本体制造：金属与非金属工艺零部件</w:t>
            </w:r>
          </w:p>
        </w:tc>
        <w:tc>
          <w:tcPr>
            <w:tcW w:w="2200" w:type="pct"/>
            <w:tcBorders>
              <w:top w:val="single" w:sz="4" w:space="0" w:color="010000"/>
            </w:tcBorders>
            <w:vAlign w:val="center"/>
          </w:tcPr>
          <w:p>
            <w:pPr>
              <w:jc w:val="left"/>
            </w:pPr>
            <w:r/>
            <w:r>
              <w:rPr>
                <w:rFonts w:hint="eastAsia"/>
                <w:color w:val="000000"/>
                <w:sz w:val="21"/>
              </w:rPr>
              <w:t>富创精密（688409.SH）、先锋精科（688605.SH）、珂玛科技（301611.SZ）、臻宝科技（688797.SH）、华亚智能（003043.SZ）</w:t>
            </w:r>
          </w:p>
        </w:tc>
        <w:tc>
          <w:tcPr>
            <w:tcW w:w="2000" w:type="pct"/>
            <w:tcBorders>
              <w:top w:val="single" w:sz="4" w:space="0" w:color="010000"/>
            </w:tcBorders>
            <w:vAlign w:val="center"/>
          </w:tcPr>
          <w:p>
            <w:pPr>
              <w:jc w:val="left"/>
            </w:pPr>
            <w:r/>
            <w:r>
              <w:rPr>
                <w:rFonts w:hint="eastAsia"/>
                <w:color w:val="000000"/>
                <w:sz w:val="21"/>
              </w:rPr>
              <w:t>同环节直接可比公司。按招股说明书列示的产品构成，富创精密的产品含匀气盘，先锋精科的产品含匀气盘、气体分配环与加热器，与无锡金源的气体喷头、加热盘为同类产品；产品重合度更高的在审企业托伦斯见表9</w:t>
            </w:r>
          </w:p>
        </w:tc>
      </w:tr>
      <w:tr>
        <w:trPr>
          <w:cantSplit/>
          <w:jc w:val="center"/>
        </w:trPr>
        <w:tc>
          <w:tcPr>
            <w:tcW w:w="800" w:type="pct"/>
            <w:tcBorders>
              <w:top w:val="single" w:sz="4" w:space="0" w:color="010000"/>
            </w:tcBorders>
            <w:vAlign w:val="center"/>
          </w:tcPr>
          <w:p>
            <w:pPr>
              <w:jc w:val="center"/>
            </w:pPr>
            <w:r/>
            <w:r>
              <w:rPr>
                <w:rFonts w:hint="eastAsia"/>
                <w:color w:val="000000"/>
                <w:sz w:val="21"/>
              </w:rPr>
              <w:t>密封与流体件</w:t>
            </w:r>
          </w:p>
        </w:tc>
        <w:tc>
          <w:tcPr>
            <w:tcW w:w="2200" w:type="pct"/>
            <w:tcBorders>
              <w:top w:val="single" w:sz="4" w:space="0" w:color="010000"/>
            </w:tcBorders>
            <w:vAlign w:val="center"/>
          </w:tcPr>
          <w:p>
            <w:pPr>
              <w:jc w:val="left"/>
            </w:pPr>
            <w:r/>
            <w:r>
              <w:rPr>
                <w:rFonts w:hint="eastAsia"/>
                <w:color w:val="000000"/>
                <w:sz w:val="21"/>
              </w:rPr>
              <w:t>唯万密封（301161.SZ）、中密控股（300470.SZ）、新莱应材（300260.SZ）</w:t>
            </w:r>
          </w:p>
        </w:tc>
        <w:tc>
          <w:tcPr>
            <w:tcW w:w="2000" w:type="pct"/>
            <w:tcBorders>
              <w:top w:val="single" w:sz="4" w:space="0" w:color="010000"/>
            </w:tcBorders>
            <w:vAlign w:val="center"/>
          </w:tcPr>
          <w:p>
            <w:pPr>
              <w:jc w:val="left"/>
            </w:pPr>
            <w:r/>
            <w:r>
              <w:rPr>
                <w:rFonts w:hint="eastAsia"/>
                <w:color w:val="000000"/>
                <w:sz w:val="21"/>
              </w:rPr>
              <w:t>同环节可比公司。唯万密封子公司涉及半导体用全氟醚橡胶密封件，与无锡金源的O型圈、密封件门板对应</w:t>
            </w:r>
          </w:p>
        </w:tc>
      </w:tr>
      <w:tr>
        <w:trPr>
          <w:cantSplit/>
          <w:jc w:val="center"/>
        </w:trPr>
        <w:tc>
          <w:tcPr>
            <w:tcW w:w="800" w:type="pct"/>
            <w:tcBorders>
              <w:top w:val="single" w:sz="4" w:space="0" w:color="010000"/>
            </w:tcBorders>
            <w:vAlign w:val="center"/>
          </w:tcPr>
          <w:p>
            <w:pPr>
              <w:jc w:val="center"/>
            </w:pPr>
            <w:r/>
            <w:r>
              <w:rPr>
                <w:rFonts w:hint="eastAsia"/>
                <w:color w:val="000000"/>
                <w:sz w:val="21"/>
              </w:rPr>
              <w:t>表面处理与零部件再生</w:t>
            </w:r>
          </w:p>
        </w:tc>
        <w:tc>
          <w:tcPr>
            <w:tcW w:w="2200" w:type="pct"/>
            <w:tcBorders>
              <w:top w:val="single" w:sz="4" w:space="0" w:color="010000"/>
            </w:tcBorders>
            <w:vAlign w:val="center"/>
          </w:tcPr>
          <w:p>
            <w:pPr>
              <w:jc w:val="left"/>
            </w:pPr>
            <w:r/>
            <w:r>
              <w:rPr>
                <w:rFonts w:hint="eastAsia"/>
                <w:color w:val="000000"/>
                <w:sz w:val="21"/>
              </w:rPr>
              <w:t>富乐德（301297.SZ）、至纯科技（603690.SH）</w:t>
            </w:r>
          </w:p>
        </w:tc>
        <w:tc>
          <w:tcPr>
            <w:tcW w:w="2000" w:type="pct"/>
            <w:tcBorders>
              <w:top w:val="single" w:sz="4" w:space="0" w:color="010000"/>
            </w:tcBorders>
            <w:vAlign w:val="center"/>
          </w:tcPr>
          <w:p>
            <w:pPr>
              <w:jc w:val="left"/>
            </w:pPr>
            <w:r/>
            <w:r>
              <w:rPr>
                <w:rFonts w:hint="eastAsia"/>
                <w:color w:val="000000"/>
                <w:sz w:val="21"/>
              </w:rPr>
              <w:t>零部件的后道配套环节。零部件在晶圆厂使用后进入清洗与再生流程，再生服务的可得性影响零部件的实际更换频次</w:t>
            </w:r>
          </w:p>
        </w:tc>
      </w:tr>
      <w:tr>
        <w:trPr>
          <w:cantSplit/>
          <w:jc w:val="center"/>
        </w:trPr>
        <w:tc>
          <w:tcPr>
            <w:tcW w:w="800" w:type="pct"/>
            <w:tcBorders>
              <w:top w:val="single" w:sz="4" w:space="0" w:color="010000"/>
            </w:tcBorders>
            <w:vAlign w:val="center"/>
          </w:tcPr>
          <w:p>
            <w:pPr>
              <w:jc w:val="center"/>
            </w:pPr>
            <w:r/>
            <w:r>
              <w:rPr>
                <w:rFonts w:hint="eastAsia"/>
                <w:color w:val="000000"/>
                <w:sz w:val="21"/>
              </w:rPr>
              <w:t>气体与真空系统</w:t>
            </w:r>
          </w:p>
        </w:tc>
        <w:tc>
          <w:tcPr>
            <w:tcW w:w="2200" w:type="pct"/>
            <w:tcBorders>
              <w:top w:val="single" w:sz="4" w:space="0" w:color="010000"/>
            </w:tcBorders>
            <w:vAlign w:val="center"/>
          </w:tcPr>
          <w:p>
            <w:pPr>
              <w:jc w:val="left"/>
            </w:pPr>
            <w:r/>
            <w:r>
              <w:rPr>
                <w:rFonts w:hint="eastAsia"/>
                <w:color w:val="000000"/>
                <w:sz w:val="21"/>
              </w:rPr>
              <w:t>正帆科技（688596.SH）、新莱应材（300260.SZ）、汉钟精机（002158.SZ）</w:t>
            </w:r>
          </w:p>
        </w:tc>
        <w:tc>
          <w:tcPr>
            <w:tcW w:w="2000" w:type="pct"/>
            <w:tcBorders>
              <w:top w:val="single" w:sz="4" w:space="0" w:color="010000"/>
            </w:tcBorders>
            <w:vAlign w:val="center"/>
          </w:tcPr>
          <w:p>
            <w:pPr>
              <w:jc w:val="left"/>
            </w:pPr>
            <w:r/>
            <w:r>
              <w:rPr>
                <w:rFonts w:hint="eastAsia"/>
                <w:color w:val="000000"/>
                <w:sz w:val="21"/>
              </w:rPr>
              <w:t>气体喷头所处的工艺气体输送链条的上游环节，共同构成设备的气体分配系统</w:t>
            </w:r>
          </w:p>
        </w:tc>
      </w:tr>
      <w:tr>
        <w:trPr>
          <w:cantSplit/>
          <w:jc w:val="center"/>
        </w:trPr>
        <w:tc>
          <w:tcPr>
            <w:tcW w:w="800" w:type="pct"/>
            <w:tcBorders>
              <w:top w:val="single" w:sz="4" w:space="0" w:color="010000"/>
            </w:tcBorders>
            <w:vAlign w:val="center"/>
          </w:tcPr>
          <w:p>
            <w:pPr>
              <w:jc w:val="center"/>
            </w:pPr>
            <w:r/>
            <w:r>
              <w:rPr>
                <w:rFonts w:hint="eastAsia"/>
                <w:color w:val="000000"/>
                <w:sz w:val="21"/>
              </w:rPr>
              <w:t>电源与电气部件</w:t>
            </w:r>
          </w:p>
        </w:tc>
        <w:tc>
          <w:tcPr>
            <w:tcW w:w="2200" w:type="pct"/>
            <w:tcBorders>
              <w:top w:val="single" w:sz="4" w:space="0" w:color="010000"/>
            </w:tcBorders>
            <w:vAlign w:val="center"/>
          </w:tcPr>
          <w:p>
            <w:pPr>
              <w:jc w:val="left"/>
            </w:pPr>
            <w:r/>
            <w:r>
              <w:rPr>
                <w:rFonts w:hint="eastAsia"/>
                <w:color w:val="000000"/>
                <w:sz w:val="21"/>
              </w:rPr>
              <w:t>恒运昌（688785.SH）、英杰电气（300820.SZ）</w:t>
            </w:r>
          </w:p>
        </w:tc>
        <w:tc>
          <w:tcPr>
            <w:tcW w:w="2000" w:type="pct"/>
            <w:tcBorders>
              <w:top w:val="single" w:sz="4" w:space="0" w:color="010000"/>
            </w:tcBorders>
            <w:vAlign w:val="center"/>
          </w:tcPr>
          <w:p>
            <w:pPr>
              <w:jc w:val="left"/>
            </w:pPr>
            <w:r/>
            <w:r>
              <w:rPr>
                <w:rFonts w:hint="eastAsia"/>
                <w:color w:val="000000"/>
                <w:sz w:val="21"/>
              </w:rPr>
              <w:t>与气体喷头同处等离子体发生回路，射频功率经上电极（气体分配盘）耦合进入腔体</w:t>
            </w:r>
          </w:p>
        </w:tc>
      </w:tr>
      <w:tr>
        <w:trPr>
          <w:cantSplit/>
          <w:jc w:val="center"/>
        </w:trPr>
        <w:tc>
          <w:tcPr>
            <w:tcW w:w="800" w:type="pct"/>
            <w:tcBorders>
              <w:top w:val="single" w:sz="4" w:space="0" w:color="010000"/>
            </w:tcBorders>
            <w:vAlign w:val="center"/>
          </w:tcPr>
          <w:p>
            <w:pPr>
              <w:jc w:val="center"/>
            </w:pPr>
            <w:r/>
            <w:r>
              <w:rPr>
                <w:rFonts w:hint="eastAsia"/>
                <w:color w:val="000000"/>
                <w:sz w:val="21"/>
              </w:rPr>
              <w:t>设备整机（直接客户）</w:t>
            </w:r>
          </w:p>
        </w:tc>
        <w:tc>
          <w:tcPr>
            <w:tcW w:w="2200" w:type="pct"/>
            <w:tcBorders>
              <w:top w:val="single" w:sz="4" w:space="0" w:color="010000"/>
            </w:tcBorders>
            <w:vAlign w:val="center"/>
          </w:tcPr>
          <w:p>
            <w:pPr>
              <w:jc w:val="left"/>
            </w:pPr>
            <w:r/>
            <w:r>
              <w:rPr>
                <w:rFonts w:hint="eastAsia"/>
                <w:color w:val="000000"/>
                <w:sz w:val="21"/>
              </w:rPr>
              <w:t>北方华创（002371.SZ）、中微公司（688012.SH）、拓荆科技（688072.SH）、华海清科（688120.SH）、盛美上海（688082.SH）、芯源微（688037.SH）、屹唐股份（688729.SH）、中科飞测（688361.SH）、微导纳米（688147.SH）、至纯科技（603690.SH）</w:t>
            </w:r>
          </w:p>
        </w:tc>
        <w:tc>
          <w:tcPr>
            <w:tcW w:w="2000" w:type="pct"/>
            <w:tcBorders>
              <w:top w:val="single" w:sz="4" w:space="0" w:color="010000"/>
            </w:tcBorders>
            <w:vAlign w:val="center"/>
          </w:tcPr>
          <w:p>
            <w:pPr>
              <w:jc w:val="left"/>
            </w:pPr>
            <w:r/>
            <w:r>
              <w:rPr>
                <w:rFonts w:hint="eastAsia"/>
                <w:color w:val="000000"/>
                <w:sz w:val="21"/>
              </w:rPr>
              <w:t>零部件企业的直接客户。同环节可比公司中，富创精密、先锋精科、珂玛科技、托伦斯均以设备厂商为主要客户</w:t>
            </w:r>
          </w:p>
        </w:tc>
      </w:tr>
      <w:tr>
        <w:trPr>
          <w:cantSplit/>
          <w:jc w:val="center"/>
        </w:trPr>
        <w:tc>
          <w:tcPr>
            <w:tcW w:w="800" w:type="pct"/>
            <w:tcBorders>
              <w:top w:val="single" w:sz="4" w:space="0" w:color="010000"/>
            </w:tcBorders>
            <w:vAlign w:val="center"/>
          </w:tcPr>
          <w:p>
            <w:pPr>
              <w:jc w:val="center"/>
            </w:pPr>
            <w:r/>
            <w:r>
              <w:rPr>
                <w:rFonts w:hint="eastAsia"/>
                <w:color w:val="000000"/>
                <w:sz w:val="21"/>
              </w:rPr>
              <w:t>晶圆制造与硅片制造（终端客户）</w:t>
            </w:r>
          </w:p>
        </w:tc>
        <w:tc>
          <w:tcPr>
            <w:tcW w:w="2200" w:type="pct"/>
            <w:tcBorders>
              <w:top w:val="single" w:sz="4" w:space="0" w:color="010000"/>
            </w:tcBorders>
            <w:vAlign w:val="center"/>
          </w:tcPr>
          <w:p>
            <w:pPr>
              <w:jc w:val="left"/>
            </w:pPr>
            <w:r/>
            <w:r>
              <w:rPr>
                <w:rFonts w:hint="eastAsia"/>
                <w:color w:val="000000"/>
                <w:sz w:val="21"/>
              </w:rPr>
              <w:t>中芯国际（688981.SH）、华虹公司（688347.SH）、沪硅产业（688126.SH）、立昂微（605358.SH）</w:t>
            </w:r>
          </w:p>
        </w:tc>
        <w:tc>
          <w:tcPr>
            <w:tcW w:w="2000" w:type="pct"/>
            <w:tcBorders>
              <w:top w:val="single" w:sz="4" w:space="0" w:color="010000"/>
            </w:tcBorders>
            <w:vAlign w:val="center"/>
          </w:tcPr>
          <w:p>
            <w:pPr>
              <w:jc w:val="left"/>
            </w:pPr>
            <w:r/>
            <w:r>
              <w:rPr>
                <w:rFonts w:hint="eastAsia"/>
                <w:color w:val="000000"/>
                <w:sz w:val="21"/>
              </w:rPr>
              <w:t>耗材类零部件的终端更换需求来源。臻宝科技以集成电路制造厂商与显示面板厂商为主要客户，与以设备厂商为客户的模式在订单节奏上不同</w:t>
            </w:r>
          </w:p>
        </w:tc>
      </w:tr>
    </w:tbl>
    <w:p>
      <w:pPr>
        <w:pStyle w:val="a6"/>
        <w:jc w:val="center"/>
      </w:pPr>
      <w:r>
        <w:rPr>
          <w:rFonts w:hint="eastAsia"/>
          <w:sz w:val="11"/>
          <w:szCs w:val="11"/>
        </w:rPr>
        <w:t>资料来源：各公司招股说明书及定期报告；臻宝科技招股说明书（注册稿）“行业内主要企业”；托伦斯招股说明书（注册稿）“行业内主要企业”；Wind整理成果，本报告整理。注一：部分公司业务跨越多个环节，按其主要业务归入一个环节，新莱应材与至纯科技因业务跨环节在两处列示；注二：环节划分为本报告依据产品在设备中的功能位置归纳，非行业统一分类；注三：设备整机与晶圆制造两行列示的是零部件企业的客户，非同环节竞争者，列示用于说明需求来源。</w:t>
      </w:r>
    </w:p>
    <w:p>
      <w:pPr>
        <w:pStyle w:val="3"/>
        <w:numPr>
          <w:ilvl w:val="0"/>
          <w:numId w:val="0"/>
        </w:numPr>
        <w:spacing w:before="156" w:after="156"/>
      </w:pPr>
      <w:bookmarkStart w:id="1030" w:name="_Toc900030"/>
      <w:r>
        <w:rPr>
          <w:rFonts w:hint="eastAsia"/>
        </w:rPr>
        <w:t>6.3 辅导备案中的企业</w:t>
      </w:r>
      <w:bookmarkEnd w:id="1030"/>
    </w:p>
    <w:p>
      <w:pPr>
        <w:pStyle w:val="a0"/>
      </w:pPr>
      <w:r>
        <w:rPr>
          <w:rFonts w:hint="eastAsia"/>
        </w:rPr>
        <w:t>新美光（苏州）半导体科技股份有限公司于2026年7月24日办理辅导备案登记受理，辅导机构为国泰海通证券，主营等离子刻蚀先进制程核心零部件，包括单晶硅部件（聚焦环、硅电极、硅材料托盘、硅板）、碳化硅部件与刻蚀腔体表面镀膜。</w:t>
      </w:r>
    </w:p>
    <w:p>
      <w:pPr>
        <w:pStyle w:val="a0"/>
      </w:pPr>
      <w:r>
        <w:rPr>
          <w:rFonts w:hint="eastAsia"/>
        </w:rPr>
        <w:t>盛吉盛半导体科技股份有限公司于2026年7月27日在宁波证监局办理辅导备案登记受理，辅导机构为国泰海通证券，主营集成电路专用设备及关键零部件，包括薄膜沉积整机系列与配套精密核心零部件。</w:t>
      </w:r>
    </w:p>
    <w:p>
      <w:pPr>
        <w:pStyle w:val="a0"/>
      </w:pPr>
      <w:r>
        <w:rPr>
          <w:rFonts w:hint="eastAsia"/>
        </w:rPr>
        <w:t>上海先普科技股份有限公司于2025年12月24日办理辅导备案登记受理，拟在北京证券交易所上市，辅导机构为国泰海通证券，主营半导体行业气体纯化器与气体过滤器。</w:t>
      </w:r>
    </w:p>
    <w:p>
      <w:pPr>
        <w:pStyle w:val="2"/>
        <w:spacing w:before="156" w:after="156"/>
      </w:pPr>
      <w:bookmarkStart w:id="1031" w:name="_Toc900031"/>
      <w:r>
        <w:rPr>
          <w:rFonts w:hint="eastAsia"/>
          <w:b/>
        </w:rPr>
        <w:t>首次公开发行审核关注要点</w:t>
      </w:r>
      <w:bookmarkEnd w:id="1031"/>
    </w:p>
    <w:p>
      <w:pPr>
        <w:pStyle w:val="3"/>
        <w:numPr>
          <w:ilvl w:val="0"/>
          <w:numId w:val="0"/>
        </w:numPr>
        <w:spacing w:before="156" w:after="156"/>
      </w:pPr>
      <w:bookmarkStart w:id="1032" w:name="_Toc900032"/>
      <w:r>
        <w:rPr>
          <w:rFonts w:hint="eastAsia"/>
        </w:rPr>
        <w:t>7.1 样本与甄别方法</w:t>
      </w:r>
      <w:bookmarkEnd w:id="1032"/>
    </w:p>
    <w:p>
      <w:pPr>
        <w:keepNext/>
        <w:jc w:val="center"/>
      </w:pPr>
      <w:r>
        <w:rPr>
          <w:rFonts w:hint="eastAsia"/>
          <w:b/>
          <w:sz w:val="21"/>
        </w:rPr>
        <w:t>表11  样本企业审核概况</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693"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594"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545" w:type="pct"/>
            <w:tcBorders>
              <w:top w:val="single" w:sz="12" w:space="0" w:color="010000"/>
              <w:bottom w:val="single" w:sz="4" w:space="0" w:color="010000"/>
            </w:tcBorders>
            <w:vAlign w:val="center"/>
          </w:tcPr>
          <w:p>
            <w:pPr>
              <w:keepNext/>
              <w:jc w:val="center"/>
            </w:pPr>
            <w:r/>
            <w:r>
              <w:rPr>
                <w:rFonts w:hint="eastAsia"/>
                <w:b/>
                <w:color w:val="000000"/>
                <w:sz w:val="21"/>
              </w:rPr>
              <w:t>上市板块</w:t>
            </w:r>
          </w:p>
        </w:tc>
        <w:tc>
          <w:tcPr>
            <w:tcW w:w="1485" w:type="pct"/>
            <w:tcBorders>
              <w:top w:val="single" w:sz="12" w:space="0" w:color="010000"/>
              <w:bottom w:val="single" w:sz="4" w:space="0" w:color="010000"/>
            </w:tcBorders>
            <w:vAlign w:val="center"/>
          </w:tcPr>
          <w:p>
            <w:pPr>
              <w:keepNext/>
              <w:jc w:val="center"/>
            </w:pPr>
            <w:r/>
            <w:r>
              <w:rPr>
                <w:rFonts w:hint="eastAsia"/>
                <w:b/>
                <w:color w:val="000000"/>
                <w:sz w:val="21"/>
              </w:rPr>
              <w:t>受理与审核时间</w:t>
            </w:r>
          </w:p>
        </w:tc>
        <w:tc>
          <w:tcPr>
            <w:tcW w:w="1089" w:type="pct"/>
            <w:tcBorders>
              <w:top w:val="single" w:sz="12" w:space="0" w:color="010000"/>
              <w:bottom w:val="single" w:sz="4" w:space="0" w:color="010000"/>
            </w:tcBorders>
            <w:vAlign w:val="center"/>
          </w:tcPr>
          <w:p>
            <w:pPr>
              <w:keepNext/>
              <w:jc w:val="center"/>
            </w:pPr>
            <w:r/>
            <w:r>
              <w:rPr>
                <w:rFonts w:hint="eastAsia"/>
                <w:b/>
                <w:color w:val="000000"/>
                <w:sz w:val="21"/>
              </w:rPr>
              <w:t>问询轮次</w:t>
            </w:r>
          </w:p>
        </w:tc>
        <w:tc>
          <w:tcPr>
            <w:tcW w:w="594" w:type="pct"/>
            <w:tcBorders>
              <w:top w:val="single" w:sz="12" w:space="0" w:color="010000"/>
              <w:bottom w:val="single" w:sz="4" w:space="0" w:color="010000"/>
            </w:tcBorders>
            <w:vAlign w:val="center"/>
          </w:tcPr>
          <w:p>
            <w:pPr>
              <w:keepNext/>
              <w:jc w:val="center"/>
            </w:pPr>
            <w:r/>
            <w:r>
              <w:rPr>
                <w:rFonts w:hint="eastAsia"/>
                <w:b/>
                <w:color w:val="000000"/>
                <w:sz w:val="21"/>
              </w:rPr>
              <w:t>首轮问题数</w:t>
            </w:r>
          </w:p>
        </w:tc>
      </w:tr>
      <w:tr>
        <w:trPr>
          <w:cantSplit/>
          <w:jc w:val="center"/>
        </w:trPr>
        <w:tc>
          <w:tcPr>
            <w:tcW w:w="693" w:type="pct"/>
            <w:tcBorders>
              <w:top w:val="single" w:sz="4" w:space="0" w:color="010000"/>
            </w:tcBorders>
            <w:vAlign w:val="center"/>
          </w:tcPr>
          <w:p>
            <w:pPr>
              <w:jc w:val="center"/>
            </w:pPr>
            <w:r/>
            <w:r>
              <w:rPr>
                <w:rFonts w:hint="eastAsia"/>
                <w:color w:val="000000"/>
                <w:sz w:val="21"/>
              </w:rPr>
              <w:t>托伦斯</w:t>
            </w:r>
          </w:p>
        </w:tc>
        <w:tc>
          <w:tcPr>
            <w:tcW w:w="594" w:type="pct"/>
            <w:tcBorders>
              <w:top w:val="single" w:sz="4" w:space="0" w:color="010000"/>
            </w:tcBorders>
            <w:vAlign w:val="center"/>
          </w:tcPr>
          <w:p>
            <w:pPr>
              <w:jc w:val="center"/>
            </w:pPr>
            <w:r/>
            <w:r>
              <w:rPr>
                <w:rFonts w:hint="eastAsia"/>
                <w:color w:val="000000"/>
                <w:sz w:val="21"/>
              </w:rPr>
              <w:t>301583.SZ</w:t>
            </w:r>
          </w:p>
        </w:tc>
        <w:tc>
          <w:tcPr>
            <w:tcW w:w="545" w:type="pct"/>
            <w:tcBorders>
              <w:top w:val="single" w:sz="4" w:space="0" w:color="010000"/>
            </w:tcBorders>
            <w:vAlign w:val="center"/>
          </w:tcPr>
          <w:p>
            <w:pPr>
              <w:jc w:val="center"/>
            </w:pPr>
            <w:r/>
            <w:r>
              <w:rPr>
                <w:rFonts w:hint="eastAsia"/>
                <w:color w:val="000000"/>
                <w:sz w:val="21"/>
              </w:rPr>
              <w:t>创业板</w:t>
            </w:r>
          </w:p>
        </w:tc>
        <w:tc>
          <w:tcPr>
            <w:tcW w:w="1485" w:type="pct"/>
            <w:tcBorders>
              <w:top w:val="single" w:sz="4" w:space="0" w:color="010000"/>
            </w:tcBorders>
            <w:vAlign w:val="center"/>
          </w:tcPr>
          <w:p>
            <w:pPr>
              <w:jc w:val="left"/>
            </w:pPr>
            <w:r/>
            <w:r>
              <w:rPr>
                <w:rFonts w:hint="eastAsia"/>
                <w:color w:val="000000"/>
                <w:sz w:val="21"/>
              </w:rPr>
              <w:t>2025年12月23日受理，2026年4月25日提交注册</w:t>
            </w:r>
          </w:p>
        </w:tc>
        <w:tc>
          <w:tcPr>
            <w:tcW w:w="1089" w:type="pct"/>
            <w:tcBorders>
              <w:top w:val="single" w:sz="4" w:space="0" w:color="010000"/>
            </w:tcBorders>
            <w:vAlign w:val="center"/>
          </w:tcPr>
          <w:p>
            <w:pPr>
              <w:jc w:val="center"/>
            </w:pPr>
            <w:r/>
            <w:r>
              <w:rPr>
                <w:rFonts w:hint="eastAsia"/>
                <w:color w:val="000000"/>
                <w:sz w:val="21"/>
              </w:rPr>
              <w:t>两轮问询及审核中心意见落实函</w:t>
            </w:r>
          </w:p>
        </w:tc>
        <w:tc>
          <w:tcPr>
            <w:tcW w:w="594" w:type="pct"/>
            <w:tcBorders>
              <w:top w:val="single" w:sz="4" w:space="0" w:color="010000"/>
            </w:tcBorders>
            <w:vAlign w:val="center"/>
          </w:tcPr>
          <w:p>
            <w:pPr>
              <w:jc w:val="center"/>
            </w:pPr>
            <w:r/>
            <w:r>
              <w:rPr>
                <w:rFonts w:hint="eastAsia"/>
                <w:color w:val="000000"/>
                <w:sz w:val="21"/>
              </w:rPr>
              <w:t>15</w:t>
            </w:r>
          </w:p>
        </w:tc>
      </w:tr>
      <w:tr>
        <w:trPr>
          <w:cantSplit/>
          <w:jc w:val="center"/>
        </w:trPr>
        <w:tc>
          <w:tcPr>
            <w:tcW w:w="693" w:type="pct"/>
            <w:tcBorders>
              <w:top w:val="single" w:sz="4" w:space="0" w:color="010000"/>
            </w:tcBorders>
            <w:vAlign w:val="center"/>
          </w:tcPr>
          <w:p>
            <w:pPr>
              <w:jc w:val="center"/>
            </w:pPr>
            <w:r/>
            <w:r>
              <w:rPr>
                <w:rFonts w:hint="eastAsia"/>
                <w:color w:val="000000"/>
                <w:sz w:val="21"/>
              </w:rPr>
              <w:t>臻宝科技</w:t>
            </w:r>
          </w:p>
        </w:tc>
        <w:tc>
          <w:tcPr>
            <w:tcW w:w="594" w:type="pct"/>
            <w:tcBorders>
              <w:top w:val="single" w:sz="4" w:space="0" w:color="010000"/>
            </w:tcBorders>
            <w:vAlign w:val="center"/>
          </w:tcPr>
          <w:p>
            <w:pPr>
              <w:jc w:val="center"/>
            </w:pPr>
            <w:r/>
            <w:r>
              <w:rPr>
                <w:rFonts w:hint="eastAsia"/>
                <w:color w:val="000000"/>
                <w:sz w:val="21"/>
              </w:rPr>
              <w:t>688797.SH</w:t>
            </w:r>
          </w:p>
        </w:tc>
        <w:tc>
          <w:tcPr>
            <w:tcW w:w="545" w:type="pct"/>
            <w:tcBorders>
              <w:top w:val="single" w:sz="4" w:space="0" w:color="010000"/>
            </w:tcBorders>
            <w:vAlign w:val="center"/>
          </w:tcPr>
          <w:p>
            <w:pPr>
              <w:jc w:val="center"/>
            </w:pPr>
            <w:r/>
            <w:r>
              <w:rPr>
                <w:rFonts w:hint="eastAsia"/>
                <w:color w:val="000000"/>
                <w:sz w:val="21"/>
              </w:rPr>
              <w:t>科创板</w:t>
            </w:r>
          </w:p>
        </w:tc>
        <w:tc>
          <w:tcPr>
            <w:tcW w:w="1485" w:type="pct"/>
            <w:tcBorders>
              <w:top w:val="single" w:sz="4" w:space="0" w:color="010000"/>
            </w:tcBorders>
            <w:vAlign w:val="center"/>
          </w:tcPr>
          <w:p>
            <w:pPr>
              <w:jc w:val="left"/>
            </w:pPr>
            <w:r/>
            <w:r>
              <w:rPr>
                <w:rFonts w:hint="eastAsia"/>
                <w:color w:val="000000"/>
                <w:sz w:val="21"/>
              </w:rPr>
              <w:t>2025年首轮问询，2026年3月5日过会，2026年6月24日上市</w:t>
            </w:r>
          </w:p>
        </w:tc>
        <w:tc>
          <w:tcPr>
            <w:tcW w:w="1089" w:type="pct"/>
            <w:tcBorders>
              <w:top w:val="single" w:sz="4" w:space="0" w:color="010000"/>
            </w:tcBorders>
            <w:vAlign w:val="center"/>
          </w:tcPr>
          <w:p>
            <w:pPr>
              <w:jc w:val="center"/>
            </w:pPr>
            <w:r/>
            <w:r>
              <w:rPr>
                <w:rFonts w:hint="eastAsia"/>
                <w:color w:val="000000"/>
                <w:sz w:val="21"/>
              </w:rPr>
              <w:t>两轮问询</w:t>
            </w:r>
          </w:p>
        </w:tc>
        <w:tc>
          <w:tcPr>
            <w:tcW w:w="594" w:type="pct"/>
            <w:tcBorders>
              <w:top w:val="single" w:sz="4" w:space="0" w:color="010000"/>
            </w:tcBorders>
            <w:vAlign w:val="center"/>
          </w:tcPr>
          <w:p>
            <w:pPr>
              <w:jc w:val="center"/>
            </w:pPr>
            <w:r/>
            <w:r>
              <w:rPr>
                <w:rFonts w:hint="eastAsia"/>
                <w:color w:val="000000"/>
                <w:sz w:val="21"/>
              </w:rPr>
              <w:t>13</w:t>
            </w:r>
          </w:p>
        </w:tc>
      </w:tr>
      <w:tr>
        <w:trPr>
          <w:cantSplit/>
          <w:jc w:val="center"/>
        </w:trPr>
        <w:tc>
          <w:tcPr>
            <w:tcW w:w="693" w:type="pct"/>
            <w:tcBorders>
              <w:top w:val="single" w:sz="4" w:space="0" w:color="010000"/>
            </w:tcBorders>
            <w:vAlign w:val="center"/>
          </w:tcPr>
          <w:p>
            <w:pPr>
              <w:jc w:val="center"/>
            </w:pPr>
            <w:r/>
            <w:r>
              <w:rPr>
                <w:rFonts w:hint="eastAsia"/>
                <w:color w:val="000000"/>
                <w:sz w:val="21"/>
              </w:rPr>
              <w:t>珂玛科技</w:t>
            </w:r>
          </w:p>
        </w:tc>
        <w:tc>
          <w:tcPr>
            <w:tcW w:w="594" w:type="pct"/>
            <w:tcBorders>
              <w:top w:val="single" w:sz="4" w:space="0" w:color="010000"/>
            </w:tcBorders>
            <w:vAlign w:val="center"/>
          </w:tcPr>
          <w:p>
            <w:pPr>
              <w:jc w:val="center"/>
            </w:pPr>
            <w:r/>
            <w:r>
              <w:rPr>
                <w:rFonts w:hint="eastAsia"/>
                <w:color w:val="000000"/>
                <w:sz w:val="21"/>
              </w:rPr>
              <w:t>301611.SZ</w:t>
            </w:r>
          </w:p>
        </w:tc>
        <w:tc>
          <w:tcPr>
            <w:tcW w:w="545" w:type="pct"/>
            <w:tcBorders>
              <w:top w:val="single" w:sz="4" w:space="0" w:color="010000"/>
            </w:tcBorders>
            <w:vAlign w:val="center"/>
          </w:tcPr>
          <w:p>
            <w:pPr>
              <w:jc w:val="center"/>
            </w:pPr>
            <w:r/>
            <w:r>
              <w:rPr>
                <w:rFonts w:hint="eastAsia"/>
                <w:color w:val="000000"/>
                <w:sz w:val="21"/>
              </w:rPr>
              <w:t>创业板</w:t>
            </w:r>
          </w:p>
        </w:tc>
        <w:tc>
          <w:tcPr>
            <w:tcW w:w="1485" w:type="pct"/>
            <w:tcBorders>
              <w:top w:val="single" w:sz="4" w:space="0" w:color="010000"/>
            </w:tcBorders>
            <w:vAlign w:val="center"/>
          </w:tcPr>
          <w:p>
            <w:pPr>
              <w:jc w:val="left"/>
            </w:pPr>
            <w:r/>
            <w:r>
              <w:rPr>
                <w:rFonts w:hint="eastAsia"/>
                <w:color w:val="000000"/>
                <w:sz w:val="21"/>
              </w:rPr>
              <w:t>2024年4月回复第二轮，2024年8月16日上市</w:t>
            </w:r>
          </w:p>
        </w:tc>
        <w:tc>
          <w:tcPr>
            <w:tcW w:w="1089" w:type="pct"/>
            <w:tcBorders>
              <w:top w:val="single" w:sz="4" w:space="0" w:color="010000"/>
            </w:tcBorders>
            <w:vAlign w:val="center"/>
          </w:tcPr>
          <w:p>
            <w:pPr>
              <w:jc w:val="center"/>
            </w:pPr>
            <w:r/>
            <w:r>
              <w:rPr>
                <w:rFonts w:hint="eastAsia"/>
                <w:color w:val="000000"/>
                <w:sz w:val="21"/>
              </w:rPr>
              <w:t>两轮问询及审核中心意见落实函</w:t>
            </w:r>
          </w:p>
        </w:tc>
        <w:tc>
          <w:tcPr>
            <w:tcW w:w="594" w:type="pct"/>
            <w:tcBorders>
              <w:top w:val="single" w:sz="4" w:space="0" w:color="010000"/>
            </w:tcBorders>
            <w:vAlign w:val="center"/>
          </w:tcPr>
          <w:p>
            <w:pPr>
              <w:jc w:val="center"/>
            </w:pPr>
            <w:r/>
            <w:r>
              <w:rPr>
                <w:rFonts w:hint="eastAsia"/>
                <w:color w:val="000000"/>
                <w:sz w:val="21"/>
              </w:rPr>
              <w:t>19</w:t>
            </w:r>
          </w:p>
        </w:tc>
      </w:tr>
      <w:tr>
        <w:trPr>
          <w:cantSplit/>
          <w:jc w:val="center"/>
        </w:trPr>
        <w:tc>
          <w:tcPr>
            <w:tcW w:w="693" w:type="pct"/>
            <w:tcBorders>
              <w:top w:val="single" w:sz="4" w:space="0" w:color="010000"/>
            </w:tcBorders>
            <w:vAlign w:val="center"/>
          </w:tcPr>
          <w:p>
            <w:pPr>
              <w:jc w:val="center"/>
            </w:pPr>
            <w:r/>
            <w:r>
              <w:rPr>
                <w:rFonts w:hint="eastAsia"/>
                <w:color w:val="000000"/>
                <w:sz w:val="21"/>
              </w:rPr>
              <w:t>神工股份</w:t>
            </w:r>
          </w:p>
        </w:tc>
        <w:tc>
          <w:tcPr>
            <w:tcW w:w="594" w:type="pct"/>
            <w:tcBorders>
              <w:top w:val="single" w:sz="4" w:space="0" w:color="010000"/>
            </w:tcBorders>
            <w:vAlign w:val="center"/>
          </w:tcPr>
          <w:p>
            <w:pPr>
              <w:jc w:val="center"/>
            </w:pPr>
            <w:r/>
            <w:r>
              <w:rPr>
                <w:rFonts w:hint="eastAsia"/>
                <w:color w:val="000000"/>
                <w:sz w:val="21"/>
              </w:rPr>
              <w:t>688233.SH</w:t>
            </w:r>
          </w:p>
        </w:tc>
        <w:tc>
          <w:tcPr>
            <w:tcW w:w="545" w:type="pct"/>
            <w:tcBorders>
              <w:top w:val="single" w:sz="4" w:space="0" w:color="010000"/>
            </w:tcBorders>
            <w:vAlign w:val="center"/>
          </w:tcPr>
          <w:p>
            <w:pPr>
              <w:jc w:val="center"/>
            </w:pPr>
            <w:r/>
            <w:r>
              <w:rPr>
                <w:rFonts w:hint="eastAsia"/>
                <w:color w:val="000000"/>
                <w:sz w:val="21"/>
              </w:rPr>
              <w:t>科创板</w:t>
            </w:r>
          </w:p>
        </w:tc>
        <w:tc>
          <w:tcPr>
            <w:tcW w:w="1485" w:type="pct"/>
            <w:tcBorders>
              <w:top w:val="single" w:sz="4" w:space="0" w:color="010000"/>
            </w:tcBorders>
            <w:vAlign w:val="center"/>
          </w:tcPr>
          <w:p>
            <w:pPr>
              <w:jc w:val="left"/>
            </w:pPr>
            <w:r/>
            <w:r>
              <w:rPr>
                <w:rFonts w:hint="eastAsia"/>
                <w:color w:val="000000"/>
                <w:sz w:val="21"/>
              </w:rPr>
              <w:t>2019年内完成四轮问询，2019年11月6日交易所出具上市委审议意见落实函，2020年2月21日上市</w:t>
            </w:r>
          </w:p>
        </w:tc>
        <w:tc>
          <w:tcPr>
            <w:tcW w:w="1089" w:type="pct"/>
            <w:tcBorders>
              <w:top w:val="single" w:sz="4" w:space="0" w:color="010000"/>
            </w:tcBorders>
            <w:vAlign w:val="center"/>
          </w:tcPr>
          <w:p>
            <w:pPr>
              <w:jc w:val="center"/>
            </w:pPr>
            <w:r/>
            <w:r>
              <w:rPr>
                <w:rFonts w:hint="eastAsia"/>
                <w:color w:val="000000"/>
                <w:sz w:val="21"/>
              </w:rPr>
              <w:t>四轮问询及上市委审议意见落实函</w:t>
            </w:r>
          </w:p>
        </w:tc>
        <w:tc>
          <w:tcPr>
            <w:tcW w:w="594" w:type="pct"/>
            <w:tcBorders>
              <w:top w:val="single" w:sz="4" w:space="0" w:color="010000"/>
            </w:tcBorders>
            <w:vAlign w:val="center"/>
          </w:tcPr>
          <w:p>
            <w:pPr>
              <w:jc w:val="center"/>
            </w:pPr>
            <w:r/>
            <w:r>
              <w:rPr>
                <w:rFonts w:hint="eastAsia"/>
                <w:color w:val="000000"/>
                <w:sz w:val="21"/>
              </w:rPr>
              <w:t>49</w:t>
            </w:r>
          </w:p>
        </w:tc>
      </w:tr>
      <w:tr>
        <w:trPr>
          <w:cantSplit/>
          <w:jc w:val="center"/>
        </w:trPr>
        <w:tc>
          <w:tcPr>
            <w:tcW w:w="693" w:type="pct"/>
            <w:tcBorders>
              <w:top w:val="single" w:sz="4" w:space="0" w:color="010000"/>
            </w:tcBorders>
            <w:vAlign w:val="center"/>
          </w:tcPr>
          <w:p>
            <w:pPr>
              <w:jc w:val="center"/>
            </w:pPr>
            <w:r/>
            <w:r>
              <w:rPr>
                <w:rFonts w:hint="eastAsia"/>
                <w:color w:val="000000"/>
                <w:sz w:val="21"/>
              </w:rPr>
              <w:t>中微公司</w:t>
            </w:r>
          </w:p>
        </w:tc>
        <w:tc>
          <w:tcPr>
            <w:tcW w:w="594" w:type="pct"/>
            <w:tcBorders>
              <w:top w:val="single" w:sz="4" w:space="0" w:color="010000"/>
            </w:tcBorders>
            <w:vAlign w:val="center"/>
          </w:tcPr>
          <w:p>
            <w:pPr>
              <w:jc w:val="center"/>
            </w:pPr>
            <w:r/>
            <w:r>
              <w:rPr>
                <w:rFonts w:hint="eastAsia"/>
                <w:color w:val="000000"/>
                <w:sz w:val="21"/>
              </w:rPr>
              <w:t>688012.SH</w:t>
            </w:r>
          </w:p>
        </w:tc>
        <w:tc>
          <w:tcPr>
            <w:tcW w:w="545" w:type="pct"/>
            <w:tcBorders>
              <w:top w:val="single" w:sz="4" w:space="0" w:color="010000"/>
            </w:tcBorders>
            <w:vAlign w:val="center"/>
          </w:tcPr>
          <w:p>
            <w:pPr>
              <w:jc w:val="center"/>
            </w:pPr>
            <w:r/>
            <w:r>
              <w:rPr>
                <w:rFonts w:hint="eastAsia"/>
                <w:color w:val="000000"/>
                <w:sz w:val="21"/>
              </w:rPr>
              <w:t>科创板</w:t>
            </w:r>
          </w:p>
        </w:tc>
        <w:tc>
          <w:tcPr>
            <w:tcW w:w="1485" w:type="pct"/>
            <w:tcBorders>
              <w:top w:val="single" w:sz="4" w:space="0" w:color="010000"/>
            </w:tcBorders>
            <w:vAlign w:val="center"/>
          </w:tcPr>
          <w:p>
            <w:pPr>
              <w:jc w:val="left"/>
            </w:pPr>
            <w:r/>
            <w:r>
              <w:rPr>
                <w:rFonts w:hint="eastAsia"/>
                <w:color w:val="000000"/>
                <w:sz w:val="21"/>
              </w:rPr>
              <w:t>2019年内完成四轮问询，2019年7月22日上市</w:t>
            </w:r>
          </w:p>
        </w:tc>
        <w:tc>
          <w:tcPr>
            <w:tcW w:w="1089" w:type="pct"/>
            <w:tcBorders>
              <w:top w:val="single" w:sz="4" w:space="0" w:color="010000"/>
            </w:tcBorders>
            <w:vAlign w:val="center"/>
          </w:tcPr>
          <w:p>
            <w:pPr>
              <w:jc w:val="center"/>
            </w:pPr>
            <w:r/>
            <w:r>
              <w:rPr>
                <w:rFonts w:hint="eastAsia"/>
                <w:color w:val="000000"/>
                <w:sz w:val="21"/>
              </w:rPr>
              <w:t>四轮问询及审核中心意见落实函</w:t>
            </w:r>
          </w:p>
        </w:tc>
        <w:tc>
          <w:tcPr>
            <w:tcW w:w="594" w:type="pct"/>
            <w:tcBorders>
              <w:top w:val="single" w:sz="4" w:space="0" w:color="010000"/>
            </w:tcBorders>
            <w:vAlign w:val="center"/>
          </w:tcPr>
          <w:p>
            <w:pPr>
              <w:jc w:val="center"/>
            </w:pPr>
            <w:r/>
            <w:r>
              <w:rPr>
                <w:rFonts w:hint="eastAsia"/>
                <w:color w:val="000000"/>
                <w:sz w:val="21"/>
              </w:rPr>
              <w:t>52</w:t>
            </w:r>
          </w:p>
        </w:tc>
      </w:tr>
    </w:tbl>
    <w:p>
      <w:pPr>
        <w:pStyle w:val="a6"/>
        <w:jc w:val="center"/>
      </w:pPr>
      <w:r>
        <w:rPr>
          <w:rFonts w:hint="eastAsia"/>
          <w:sz w:val="11"/>
          <w:szCs w:val="11"/>
        </w:rPr>
        <w:t>资料来源：各公司招股说明书、审核问询函回复，本报告整理。注：首轮问题数取自各公司首轮问询回复的目录编号；珂玛科技一栏取自其申报会计师专项意见所列的最大问题编号，该专项意见仅覆盖需由申报会计师说明的问题，故19为该轮问题数的下限。</w:t>
      </w:r>
    </w:p>
    <w:p>
      <w:pPr>
        <w:pStyle w:val="a0"/>
      </w:pPr>
      <w:r>
        <w:rPr>
          <w:rFonts w:hint="eastAsia"/>
        </w:rPr>
        <w:t>五家样本中，托伦斯、臻宝科技、珂玛科技为同环节零部件企业，神工股份为零部件所用硅材料及硅零部件企业，中微公司为下游设备企业。前四家的主营业务与无锡金源同处零部件与耗材环节，其中神工股份的刻蚀用硅电极即硅气体分配盘，与无锡金源的精密气体喷头为同一功能部件的不同材料路线。</w:t>
      </w:r>
    </w:p>
    <w:p>
      <w:pPr>
        <w:pStyle w:val="a0"/>
      </w:pPr>
      <w:r>
        <w:rPr>
          <w:rFonts w:hint="eastAsia"/>
        </w:rPr>
        <w:t>重点问题的甄别采用三条标准：一是轮次，在第二轮及以后仍被继续追问的事项；二是层级，进入上市委审议意见落实函或审核中心意见落实函的事项；三是详略，单个问题下设多个子问题并要求逐项量化说明、同时要求保荐人概括核查过程并发表明确核查意见的事项。三条标准同时命中的，视为该类企业的共性关注点。</w:t>
      </w:r>
    </w:p>
    <w:p>
      <w:pPr>
        <w:pStyle w:val="3"/>
        <w:numPr>
          <w:ilvl w:val="0"/>
          <w:numId w:val="0"/>
        </w:numPr>
        <w:spacing w:before="156" w:after="156"/>
      </w:pPr>
      <w:bookmarkStart w:id="1033" w:name="_Toc900033"/>
      <w:r>
        <w:rPr>
          <w:rFonts w:hint="eastAsia"/>
        </w:rPr>
        <w:t>7.2 问题的收敛过程</w:t>
      </w:r>
      <w:bookmarkEnd w:id="1033"/>
    </w:p>
    <w:p>
      <w:pPr>
        <w:pStyle w:val="a0"/>
      </w:pPr>
      <w:r>
        <w:rPr>
          <w:rFonts w:hint="eastAsia"/>
        </w:rPr>
        <w:t>五家企业的问题数量均逐轮收敛。托伦斯由首轮15个收敛至第二轮3个、落实函1个；臻宝科技由首轮13个收敛至第二轮5个；珂玛科技首轮问题编号至19、收敛至第二轮5个、落实函3个；神工股份由首轮49个依次收敛至20个、8个、8个，落实函2个；中微公司由首轮52个依次收敛至10个、3个、2个，落实函3个。收敛后仍保留的问题，即为审核实际关注的核心。</w:t>
      </w:r>
    </w:p>
    <w:p>
      <w:pPr>
        <w:keepNext/>
        <w:jc w:val="center"/>
      </w:pPr>
      <w:r>
        <w:drawing>
          <wp:inline xmlns:a="http://schemas.openxmlformats.org/drawingml/2006/main" xmlns:pic="http://schemas.openxmlformats.org/drawingml/2006/picture">
            <wp:extent cx="5074920" cy="2270358"/>
            <wp:docPr id="6" name="Picture 6"/>
            <wp:cNvGraphicFramePr>
              <a:graphicFrameLocks noChangeAspect="1"/>
            </wp:cNvGraphicFramePr>
            <a:graphic>
              <a:graphicData uri="http://schemas.openxmlformats.org/drawingml/2006/picture">
                <pic:pic>
                  <pic:nvPicPr>
                    <pic:cNvPr id="0" name="fig6_shoulian4.png"/>
                    <pic:cNvPicPr/>
                  </pic:nvPicPr>
                  <pic:blipFill>
                    <a:blip r:embed="rId21"/>
                    <a:stretch>
                      <a:fillRect/>
                    </a:stretch>
                  </pic:blipFill>
                  <pic:spPr>
                    <a:xfrm>
                      <a:off x="0" y="0"/>
                      <a:ext cx="5074920" cy="2270358"/>
                    </a:xfrm>
                    <a:prstGeom prst="rect"/>
                  </pic:spPr>
                </pic:pic>
              </a:graphicData>
            </a:graphic>
          </wp:inline>
        </w:drawing>
      </w:r>
    </w:p>
    <w:p>
      <w:pPr>
        <w:jc w:val="center"/>
      </w:pPr>
      <w:r>
        <w:rPr>
          <w:rFonts w:hint="eastAsia"/>
          <w:b/>
          <w:sz w:val="21"/>
        </w:rPr>
        <w:t>图6  四轮问询样本的问题数量收敛（中微公司、神工股份）</w:t>
      </w:r>
    </w:p>
    <w:p>
      <w:pPr>
        <w:pStyle w:val="a6"/>
        <w:jc w:val="center"/>
      </w:pPr>
      <w:r>
        <w:rPr>
          <w:rFonts w:hint="eastAsia"/>
          <w:sz w:val="11"/>
          <w:szCs w:val="11"/>
        </w:rPr>
        <w:t>资料来源：各公司招股说明书、审核问询函回复，本报告整理</w:t>
      </w:r>
    </w:p>
    <w:p>
      <w:pPr>
        <w:keepNext/>
        <w:jc w:val="center"/>
      </w:pPr>
      <w:r>
        <w:drawing>
          <wp:inline xmlns:a="http://schemas.openxmlformats.org/drawingml/2006/main" xmlns:pic="http://schemas.openxmlformats.org/drawingml/2006/picture">
            <wp:extent cx="5074920" cy="2270358"/>
            <wp:docPr id="7" name="Picture 7"/>
            <wp:cNvGraphicFramePr>
              <a:graphicFrameLocks noChangeAspect="1"/>
            </wp:cNvGraphicFramePr>
            <a:graphic>
              <a:graphicData uri="http://schemas.openxmlformats.org/drawingml/2006/picture">
                <pic:pic>
                  <pic:nvPicPr>
                    <pic:cNvPr id="0" name="fig7_shoulian2.png"/>
                    <pic:cNvPicPr/>
                  </pic:nvPicPr>
                  <pic:blipFill>
                    <a:blip r:embed="rId22"/>
                    <a:stretch>
                      <a:fillRect/>
                    </a:stretch>
                  </pic:blipFill>
                  <pic:spPr>
                    <a:xfrm>
                      <a:off x="0" y="0"/>
                      <a:ext cx="5074920" cy="2270358"/>
                    </a:xfrm>
                    <a:prstGeom prst="rect"/>
                  </pic:spPr>
                </pic:pic>
              </a:graphicData>
            </a:graphic>
          </wp:inline>
        </w:drawing>
      </w:r>
    </w:p>
    <w:p>
      <w:pPr>
        <w:jc w:val="center"/>
      </w:pPr>
      <w:r>
        <w:rPr>
          <w:rFonts w:hint="eastAsia"/>
          <w:b/>
          <w:sz w:val="21"/>
        </w:rPr>
        <w:t>图7  两轮问询样本的问题数量收敛（珂玛科技、托伦斯、臻宝科技）</w:t>
      </w:r>
    </w:p>
    <w:p>
      <w:pPr>
        <w:pStyle w:val="a6"/>
        <w:jc w:val="center"/>
      </w:pPr>
      <w:r>
        <w:rPr>
          <w:rFonts w:hint="eastAsia"/>
          <w:sz w:val="11"/>
          <w:szCs w:val="11"/>
        </w:rPr>
        <w:t>资料来源：各公司招股说明书、审核问询函回复，本报告整理。注：臻宝科技无审核中心意见落实函环节；珂玛科技首轮19个取自其申报会计师专项意见所列的最大问题编号，为该轮问题数的下限，口径说明见表11。</w:t>
      </w:r>
    </w:p>
    <w:p>
      <w:pPr>
        <w:pStyle w:val="a0"/>
      </w:pPr>
      <w:r>
        <w:rPr>
          <w:rFonts w:hint="eastAsia"/>
        </w:rPr>
        <w:t>两家四轮问询的样本显示，问题总数从首轮的约50个降至落实函的2至3个，中微公司由52个降至3个、神工股份由49个降至2个，压缩幅度均在94%以上。神工股份自首轮至第四轮持续被追问的事项为三项：无实际控制人的认定、与锦州阳光能源的关系、产量与销量的勾稽；进入上市委审议意见落实函的两个问题则全部指向非专利技术出资，与前四轮的财务与业务问题均不同。</w:t>
      </w:r>
    </w:p>
    <w:p>
      <w:pPr>
        <w:keepNext/>
        <w:jc w:val="center"/>
      </w:pPr>
      <w:r>
        <w:rPr>
          <w:rFonts w:hint="eastAsia"/>
          <w:b/>
          <w:sz w:val="21"/>
        </w:rPr>
        <w:t>表12  收敛后仍保留的问题</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076"/>
        <w:gridCol w:w="2076"/>
        <w:gridCol w:w="2076"/>
        <w:gridCol w:w="2076"/>
      </w:tblGrid>
      <w:tr>
        <w:trPr>
          <w:cantSplit/>
          <w:tblHeader/>
          <w:jc w:val="center"/>
        </w:trPr>
        <w:tc>
          <w:tcPr>
            <w:tcW w:w="472" w:type="pct"/>
            <w:tcBorders>
              <w:top w:val="single" w:sz="12" w:space="0" w:color="010000"/>
              <w:bottom w:val="single" w:sz="4" w:space="0" w:color="010000"/>
            </w:tcBorders>
            <w:vAlign w:val="center"/>
          </w:tcPr>
          <w:p>
            <w:pPr>
              <w:keepNext/>
              <w:jc w:val="center"/>
            </w:pPr>
            <w:r/>
            <w:r>
              <w:rPr>
                <w:rFonts w:hint="eastAsia"/>
                <w:b/>
                <w:color w:val="000000"/>
                <w:sz w:val="21"/>
              </w:rPr>
              <w:t>公司</w:t>
            </w:r>
          </w:p>
        </w:tc>
        <w:tc>
          <w:tcPr>
            <w:tcW w:w="1698" w:type="pct"/>
            <w:tcBorders>
              <w:top w:val="single" w:sz="12" w:space="0" w:color="010000"/>
              <w:bottom w:val="single" w:sz="4" w:space="0" w:color="010000"/>
            </w:tcBorders>
            <w:vAlign w:val="center"/>
          </w:tcPr>
          <w:p>
            <w:pPr>
              <w:keepNext/>
              <w:jc w:val="center"/>
            </w:pPr>
            <w:r/>
            <w:r>
              <w:rPr>
                <w:rFonts w:hint="eastAsia"/>
                <w:b/>
                <w:color w:val="000000"/>
                <w:sz w:val="21"/>
              </w:rPr>
              <w:t>第二轮保留的问题</w:t>
            </w:r>
          </w:p>
        </w:tc>
        <w:tc>
          <w:tcPr>
            <w:tcW w:w="1415" w:type="pct"/>
            <w:tcBorders>
              <w:top w:val="single" w:sz="12" w:space="0" w:color="010000"/>
              <w:bottom w:val="single" w:sz="4" w:space="0" w:color="010000"/>
            </w:tcBorders>
            <w:vAlign w:val="center"/>
          </w:tcPr>
          <w:p>
            <w:pPr>
              <w:keepNext/>
              <w:jc w:val="center"/>
            </w:pPr>
            <w:r/>
            <w:r>
              <w:rPr>
                <w:rFonts w:hint="eastAsia"/>
                <w:b/>
                <w:color w:val="000000"/>
                <w:sz w:val="21"/>
              </w:rPr>
              <w:t>第三轮及以后保留</w:t>
            </w:r>
          </w:p>
        </w:tc>
        <w:tc>
          <w:tcPr>
            <w:tcW w:w="1415" w:type="pct"/>
            <w:tcBorders>
              <w:top w:val="single" w:sz="12" w:space="0" w:color="010000"/>
              <w:bottom w:val="single" w:sz="4" w:space="0" w:color="010000"/>
            </w:tcBorders>
            <w:vAlign w:val="center"/>
          </w:tcPr>
          <w:p>
            <w:pPr>
              <w:keepNext/>
              <w:jc w:val="center"/>
            </w:pPr>
            <w:r/>
            <w:r>
              <w:rPr>
                <w:rFonts w:hint="eastAsia"/>
                <w:b/>
                <w:color w:val="000000"/>
                <w:sz w:val="21"/>
              </w:rPr>
              <w:t>落实函保留</w:t>
            </w:r>
          </w:p>
        </w:tc>
      </w:tr>
      <w:tr>
        <w:trPr>
          <w:cantSplit/>
          <w:jc w:val="center"/>
        </w:trPr>
        <w:tc>
          <w:tcPr>
            <w:tcW w:w="472" w:type="pct"/>
            <w:tcBorders>
              <w:top w:val="single" w:sz="4" w:space="0" w:color="010000"/>
            </w:tcBorders>
            <w:vAlign w:val="center"/>
          </w:tcPr>
          <w:p>
            <w:pPr>
              <w:jc w:val="center"/>
            </w:pPr>
            <w:r/>
            <w:r>
              <w:rPr>
                <w:rFonts w:hint="eastAsia"/>
                <w:color w:val="000000"/>
                <w:sz w:val="21"/>
              </w:rPr>
              <w:t>托伦斯</w:t>
            </w:r>
          </w:p>
        </w:tc>
        <w:tc>
          <w:tcPr>
            <w:tcW w:w="1698" w:type="pct"/>
            <w:tcBorders>
              <w:top w:val="single" w:sz="4" w:space="0" w:color="010000"/>
            </w:tcBorders>
            <w:vAlign w:val="center"/>
          </w:tcPr>
          <w:p>
            <w:pPr>
              <w:jc w:val="left"/>
            </w:pPr>
            <w:r/>
            <w:r>
              <w:rPr>
                <w:rFonts w:hint="eastAsia"/>
                <w:color w:val="000000"/>
                <w:sz w:val="21"/>
              </w:rPr>
              <w:t>技术先进性和市场空间、营业收入变动、毛利率变动</w:t>
            </w:r>
          </w:p>
        </w:tc>
        <w:tc>
          <w:tcPr>
            <w:tcW w:w="1415" w:type="pct"/>
            <w:tcBorders>
              <w:top w:val="single" w:sz="4" w:space="0" w:color="010000"/>
            </w:tcBorders>
            <w:vAlign w:val="center"/>
          </w:tcPr>
          <w:p>
            <w:pPr>
              <w:jc w:val="left"/>
            </w:pPr>
            <w:r/>
            <w:r>
              <w:rPr>
                <w:rFonts w:hint="eastAsia"/>
                <w:color w:val="000000"/>
                <w:sz w:val="21"/>
              </w:rPr>
              <w:t>—</w:t>
            </w:r>
          </w:p>
        </w:tc>
        <w:tc>
          <w:tcPr>
            <w:tcW w:w="1415" w:type="pct"/>
            <w:tcBorders>
              <w:top w:val="single" w:sz="4" w:space="0" w:color="010000"/>
            </w:tcBorders>
            <w:vAlign w:val="center"/>
          </w:tcPr>
          <w:p>
            <w:pPr>
              <w:jc w:val="left"/>
            </w:pPr>
            <w:r/>
            <w:r>
              <w:rPr>
                <w:rFonts w:hint="eastAsia"/>
                <w:color w:val="000000"/>
                <w:sz w:val="21"/>
              </w:rPr>
              <w:t>业绩稳定性</w:t>
            </w:r>
          </w:p>
        </w:tc>
      </w:tr>
      <w:tr>
        <w:trPr>
          <w:cantSplit/>
          <w:jc w:val="center"/>
        </w:trPr>
        <w:tc>
          <w:tcPr>
            <w:tcW w:w="472" w:type="pct"/>
            <w:tcBorders>
              <w:top w:val="single" w:sz="4" w:space="0" w:color="010000"/>
            </w:tcBorders>
            <w:vAlign w:val="center"/>
          </w:tcPr>
          <w:p>
            <w:pPr>
              <w:jc w:val="center"/>
            </w:pPr>
            <w:r/>
            <w:r>
              <w:rPr>
                <w:rFonts w:hint="eastAsia"/>
                <w:color w:val="000000"/>
                <w:sz w:val="21"/>
              </w:rPr>
              <w:t>臻宝科技</w:t>
            </w:r>
          </w:p>
        </w:tc>
        <w:tc>
          <w:tcPr>
            <w:tcW w:w="1698" w:type="pct"/>
            <w:tcBorders>
              <w:top w:val="single" w:sz="4" w:space="0" w:color="010000"/>
            </w:tcBorders>
            <w:vAlign w:val="center"/>
          </w:tcPr>
          <w:p>
            <w:pPr>
              <w:jc w:val="left"/>
            </w:pPr>
            <w:r/>
            <w:r>
              <w:rPr>
                <w:rFonts w:hint="eastAsia"/>
                <w:color w:val="000000"/>
                <w:sz w:val="21"/>
              </w:rPr>
              <w:t>经营业绩、研发费用、成本及毛利率、收入、募投项目</w:t>
            </w:r>
          </w:p>
        </w:tc>
        <w:tc>
          <w:tcPr>
            <w:tcW w:w="1415" w:type="pct"/>
            <w:tcBorders>
              <w:top w:val="single" w:sz="4" w:space="0" w:color="010000"/>
            </w:tcBorders>
            <w:vAlign w:val="center"/>
          </w:tcPr>
          <w:p>
            <w:pPr>
              <w:jc w:val="left"/>
            </w:pPr>
            <w:r/>
            <w:r>
              <w:rPr>
                <w:rFonts w:hint="eastAsia"/>
                <w:color w:val="000000"/>
                <w:sz w:val="21"/>
              </w:rPr>
              <w:t>—</w:t>
            </w:r>
          </w:p>
        </w:tc>
        <w:tc>
          <w:tcPr>
            <w:tcW w:w="1415" w:type="pct"/>
            <w:tcBorders>
              <w:top w:val="single" w:sz="4" w:space="0" w:color="010000"/>
            </w:tcBorders>
            <w:vAlign w:val="center"/>
          </w:tcPr>
          <w:p>
            <w:pPr>
              <w:jc w:val="left"/>
            </w:pPr>
            <w:r/>
            <w:r>
              <w:rPr>
                <w:rFonts w:hint="eastAsia"/>
                <w:color w:val="000000"/>
                <w:sz w:val="21"/>
              </w:rPr>
              <w:t>—</w:t>
            </w:r>
          </w:p>
        </w:tc>
      </w:tr>
      <w:tr>
        <w:trPr>
          <w:cantSplit/>
          <w:jc w:val="center"/>
        </w:trPr>
        <w:tc>
          <w:tcPr>
            <w:tcW w:w="472" w:type="pct"/>
            <w:tcBorders>
              <w:top w:val="single" w:sz="4" w:space="0" w:color="010000"/>
            </w:tcBorders>
            <w:vAlign w:val="center"/>
          </w:tcPr>
          <w:p>
            <w:pPr>
              <w:jc w:val="center"/>
            </w:pPr>
            <w:r/>
            <w:r>
              <w:rPr>
                <w:rFonts w:hint="eastAsia"/>
                <w:color w:val="000000"/>
                <w:sz w:val="21"/>
              </w:rPr>
              <w:t>珂玛科技</w:t>
            </w:r>
          </w:p>
        </w:tc>
        <w:tc>
          <w:tcPr>
            <w:tcW w:w="1698" w:type="pct"/>
            <w:tcBorders>
              <w:top w:val="single" w:sz="4" w:space="0" w:color="010000"/>
            </w:tcBorders>
            <w:vAlign w:val="center"/>
          </w:tcPr>
          <w:p>
            <w:pPr>
              <w:jc w:val="left"/>
            </w:pPr>
            <w:r/>
            <w:r>
              <w:rPr>
                <w:rFonts w:hint="eastAsia"/>
                <w:color w:val="000000"/>
                <w:sz w:val="21"/>
              </w:rPr>
              <w:t>收入增长可持续性、毛利率、股权清晰、核心技术、政策风险</w:t>
            </w:r>
          </w:p>
        </w:tc>
        <w:tc>
          <w:tcPr>
            <w:tcW w:w="1415" w:type="pct"/>
            <w:tcBorders>
              <w:top w:val="single" w:sz="4" w:space="0" w:color="010000"/>
            </w:tcBorders>
            <w:vAlign w:val="center"/>
          </w:tcPr>
          <w:p>
            <w:pPr>
              <w:jc w:val="left"/>
            </w:pPr>
            <w:r/>
            <w:r>
              <w:rPr>
                <w:rFonts w:hint="eastAsia"/>
                <w:color w:val="000000"/>
                <w:sz w:val="21"/>
              </w:rPr>
              <w:t>—</w:t>
            </w:r>
          </w:p>
        </w:tc>
        <w:tc>
          <w:tcPr>
            <w:tcW w:w="1415" w:type="pct"/>
            <w:tcBorders>
              <w:top w:val="single" w:sz="4" w:space="0" w:color="010000"/>
            </w:tcBorders>
            <w:vAlign w:val="center"/>
          </w:tcPr>
          <w:p>
            <w:pPr>
              <w:jc w:val="left"/>
            </w:pPr>
            <w:r/>
            <w:r>
              <w:rPr>
                <w:rFonts w:hint="eastAsia"/>
                <w:color w:val="000000"/>
                <w:sz w:val="21"/>
              </w:rPr>
              <w:t>业务与技术、毛利率、媒体质疑</w:t>
            </w:r>
          </w:p>
        </w:tc>
      </w:tr>
      <w:tr>
        <w:trPr>
          <w:cantSplit/>
          <w:jc w:val="center"/>
        </w:trPr>
        <w:tc>
          <w:tcPr>
            <w:tcW w:w="472" w:type="pct"/>
            <w:tcBorders>
              <w:top w:val="single" w:sz="4" w:space="0" w:color="010000"/>
            </w:tcBorders>
            <w:vAlign w:val="center"/>
          </w:tcPr>
          <w:p>
            <w:pPr>
              <w:jc w:val="center"/>
            </w:pPr>
            <w:r/>
            <w:r>
              <w:rPr>
                <w:rFonts w:hint="eastAsia"/>
                <w:color w:val="000000"/>
                <w:sz w:val="21"/>
              </w:rPr>
              <w:t>神工股份</w:t>
            </w:r>
          </w:p>
        </w:tc>
        <w:tc>
          <w:tcPr>
            <w:tcW w:w="1698" w:type="pct"/>
            <w:tcBorders>
              <w:top w:val="single" w:sz="4" w:space="0" w:color="010000"/>
            </w:tcBorders>
            <w:vAlign w:val="center"/>
          </w:tcPr>
          <w:p>
            <w:pPr>
              <w:jc w:val="left"/>
            </w:pPr>
            <w:r/>
            <w:r>
              <w:rPr>
                <w:rFonts w:hint="eastAsia"/>
                <w:color w:val="000000"/>
                <w:sz w:val="21"/>
              </w:rPr>
              <w:t>无实际控制人、行业及核心技术、与锦州阳光能源的关系、原材料采购价格波动、关联交易、供应商、客户和销售订单、境外销售、毛利率、代理销售、投入产出比变动、产量和用电量关系、研发费用、产量匹配情况、募投项目等二十项</w:t>
            </w:r>
          </w:p>
        </w:tc>
        <w:tc>
          <w:tcPr>
            <w:tcW w:w="1415" w:type="pct"/>
            <w:tcBorders>
              <w:top w:val="single" w:sz="4" w:space="0" w:color="010000"/>
            </w:tcBorders>
            <w:vAlign w:val="center"/>
          </w:tcPr>
          <w:p>
            <w:pPr>
              <w:jc w:val="left"/>
            </w:pPr>
            <w:r/>
            <w:r>
              <w:rPr>
                <w:rFonts w:hint="eastAsia"/>
                <w:color w:val="000000"/>
                <w:sz w:val="21"/>
              </w:rPr>
              <w:t>第三轮：产量与销量差异、单位产品能耗与多晶硅回收料、发行人产品、矽康和更多亮、采购价格差异、股东减持对控制权结构的影响、潜在关联关系及竞争关系；第四轮：信息披露、无实际控制人、与阳光能源的关联关系、经营业绩、产品单价和单位成本、单位产量能耗与单位运输费与境外销售、生产销售勾稽关系</w:t>
            </w:r>
          </w:p>
        </w:tc>
        <w:tc>
          <w:tcPr>
            <w:tcW w:w="1415" w:type="pct"/>
            <w:tcBorders>
              <w:top w:val="single" w:sz="4" w:space="0" w:color="010000"/>
            </w:tcBorders>
            <w:vAlign w:val="center"/>
          </w:tcPr>
          <w:p>
            <w:pPr>
              <w:jc w:val="left"/>
            </w:pPr>
            <w:r/>
            <w:r>
              <w:rPr>
                <w:rFonts w:hint="eastAsia"/>
                <w:color w:val="000000"/>
                <w:sz w:val="21"/>
              </w:rPr>
              <w:t>非专利技术的来源及形成过程、合作研发模式及研发过程中各方角色</w:t>
            </w:r>
          </w:p>
        </w:tc>
      </w:tr>
      <w:tr>
        <w:trPr>
          <w:cantSplit/>
          <w:jc w:val="center"/>
        </w:trPr>
        <w:tc>
          <w:tcPr>
            <w:tcW w:w="472" w:type="pct"/>
            <w:tcBorders>
              <w:top w:val="single" w:sz="4" w:space="0" w:color="010000"/>
            </w:tcBorders>
            <w:vAlign w:val="center"/>
          </w:tcPr>
          <w:p>
            <w:pPr>
              <w:jc w:val="center"/>
            </w:pPr>
            <w:r/>
            <w:r>
              <w:rPr>
                <w:rFonts w:hint="eastAsia"/>
                <w:color w:val="000000"/>
                <w:sz w:val="21"/>
              </w:rPr>
              <w:t>中微公司</w:t>
            </w:r>
          </w:p>
        </w:tc>
        <w:tc>
          <w:tcPr>
            <w:tcW w:w="1698" w:type="pct"/>
            <w:tcBorders>
              <w:top w:val="single" w:sz="4" w:space="0" w:color="010000"/>
            </w:tcBorders>
            <w:vAlign w:val="center"/>
          </w:tcPr>
          <w:p>
            <w:pPr>
              <w:jc w:val="left"/>
            </w:pPr>
            <w:r/>
            <w:r>
              <w:rPr>
                <w:rFonts w:hint="eastAsia"/>
                <w:color w:val="000000"/>
                <w:sz w:val="21"/>
              </w:rPr>
              <w:t>实际控制人认定及核心技术人员稳定、股份支付、政府补助、应收账款、存货及产销量、研发投入资本化、固定资产成新率、收入确认、股份下翻及海外收购、其他事项</w:t>
            </w:r>
          </w:p>
        </w:tc>
        <w:tc>
          <w:tcPr>
            <w:tcW w:w="1415" w:type="pct"/>
            <w:tcBorders>
              <w:top w:val="single" w:sz="4" w:space="0" w:color="010000"/>
            </w:tcBorders>
            <w:vAlign w:val="center"/>
          </w:tcPr>
          <w:p>
            <w:pPr>
              <w:jc w:val="left"/>
            </w:pPr>
            <w:r/>
            <w:r>
              <w:rPr>
                <w:rFonts w:hint="eastAsia"/>
                <w:color w:val="000000"/>
                <w:sz w:val="21"/>
              </w:rPr>
              <w:t>第三轮：开发支出资本化、存货及产销量、政府补助；第四轮：政府补助、开发支出资本化</w:t>
            </w:r>
          </w:p>
        </w:tc>
        <w:tc>
          <w:tcPr>
            <w:tcW w:w="1415" w:type="pct"/>
            <w:tcBorders>
              <w:top w:val="single" w:sz="4" w:space="0" w:color="010000"/>
            </w:tcBorders>
            <w:vAlign w:val="center"/>
          </w:tcPr>
          <w:p>
            <w:pPr>
              <w:jc w:val="left"/>
            </w:pPr>
            <w:r/>
            <w:r>
              <w:rPr>
                <w:rFonts w:hint="eastAsia"/>
                <w:color w:val="000000"/>
                <w:sz w:val="21"/>
              </w:rPr>
              <w:t>产品结构变化及低毛利率产品占比、股份支付非经常性损益认定、欺诈发行股份购回承诺</w:t>
            </w:r>
          </w:p>
        </w:tc>
      </w:tr>
    </w:tbl>
    <w:p>
      <w:pPr>
        <w:pStyle w:val="a6"/>
        <w:jc w:val="center"/>
      </w:pPr>
      <w:r>
        <w:rPr>
          <w:rFonts w:hint="eastAsia"/>
          <w:sz w:val="11"/>
          <w:szCs w:val="11"/>
        </w:rPr>
        <w:t>资料来源：各公司招股说明书、审核问询函回复，本报告整理</w:t>
      </w:r>
    </w:p>
    <w:p>
      <w:pPr>
        <w:pStyle w:val="3"/>
        <w:numPr>
          <w:ilvl w:val="0"/>
          <w:numId w:val="0"/>
        </w:numPr>
        <w:spacing w:before="156" w:after="156"/>
      </w:pPr>
      <w:bookmarkStart w:id="1034" w:name="_Toc900034"/>
      <w:r>
        <w:rPr>
          <w:rFonts w:hint="eastAsia"/>
        </w:rPr>
        <w:t>7.3 关注点之一：毛利率</w:t>
      </w:r>
      <w:bookmarkEnd w:id="1034"/>
    </w:p>
    <w:p>
      <w:pPr>
        <w:pStyle w:val="a0"/>
      </w:pPr>
      <w:r>
        <w:rPr>
          <w:rFonts w:hint="eastAsia"/>
        </w:rPr>
        <w:t>毛利率是五家企业全部命中、且均被追问至最后轮次的问题。托伦斯首轮问成本和毛利率，第二轮单列毛利率变动，落实函以业绩稳定性继续追问毛利率是否进一步下滑；臻宝科技首轮问毛利率，第二轮问成本及毛利率；珂玛科技第二轮与落实函连续两次单列毛利率；神工股份第二轮单列毛利率，第三轮要求结合生产环节技术门槛与核心技术先进性说明毛利率较高且持续增长的原因及合理性，第四轮转为产品单价和单位成本；中微公司的落实函要求结合产品结构变化及低毛利率产品占比变动说明。</w:t>
      </w:r>
    </w:p>
    <w:p>
      <w:pPr>
        <w:pStyle w:val="a0"/>
      </w:pPr>
      <w:r>
        <w:rPr>
          <w:rFonts w:hint="eastAsia"/>
        </w:rPr>
        <w:t>审核关注毛利率的角度有三类。第一类是产品结构层面的拆分，要求按单一产品逐项列示毛利率、收入占比及其变动影响，托伦斯的分产品毛利率即由此披露，详见本报告表8。</w:t>
      </w:r>
    </w:p>
    <w:p>
      <w:pPr>
        <w:pStyle w:val="a0"/>
      </w:pPr>
      <w:r>
        <w:rPr>
          <w:rFonts w:hint="eastAsia"/>
        </w:rPr>
        <w:t>第二类是与同行业可比公司的对标。臻宝科技第二轮问询列示其硅零部件报告期各期毛利率45.83%、50.05%、52.99%、48.28%，与可比公司神工股份、盾源聚芯硅零部件毛利率均值34.65%、34.49%、37.32%、43.74%的差异，并指出发行人硅零部件收入远低于盾源聚芯、且两家可比公司均自研自产硅材料；石英零部件毛利率58.10%、60.01%、60.26%、57.65%，与凯德石英同类产品54.95%、49.63%、47.58%、45.10%的差异，并指出发行人市场占有率低于凯德石英。</w:t>
      </w:r>
    </w:p>
    <w:p>
      <w:pPr>
        <w:pStyle w:val="a0"/>
      </w:pPr>
      <w:r>
        <w:rPr>
          <w:rFonts w:hint="eastAsia"/>
        </w:rPr>
        <w:t>第三类是成本核算的具体勾稽。臻宝科技第二轮问询指出，2024年及2025年1—6月公司硅零部件实际单位耗用量2.26千克／件、2.34千克／件，小于物料清单单位耗用量2.30千克／件、2.43千克／件；存货结存单价高于当期结转单位成本；工程塑料零部件2024年毛利率上升至72.35%、平均成本同比下降51.31%；并指出该类原材料通过委托加工与成品采购取得，主要供应商为境外企业且多数规模较小，不存在市场价格或可比公司披露的同类采购价格可供比较。</w:t>
      </w:r>
    </w:p>
    <w:p>
      <w:pPr>
        <w:pStyle w:val="a0"/>
      </w:pPr>
      <w:r>
        <w:rPr>
          <w:rFonts w:hint="eastAsia"/>
        </w:rPr>
        <w:t>毛利率逐年上升同样构成问询触发点。神工股份报告期各期综合毛利率为43.73%、55.10%、63.77%和67.25%，四期连续上升，累计提升23.52个百分点。交易所在第三轮问询中，将该问题与产品拆分绑定提出，要求先说明各纯度等级对应的原材料采购量、价格、采购金额与使用量，各纯度等级对应的产量、销量、价格及金额，硅棒、硅筒、硅环、硅片在原材料、生产设备、生产工艺、生产环节、核心参数指标等方面的差异，各纯度等级、各尺寸等级下四类产品的产量、销量、金额及变动原因，非磁场拉晶法与磁场拉晶法的工艺区别、生产成本差异与生产难度差异，在此基础上再说明生产环节技术门槛、核心技术先进性，以及毛利率较高且持续增长的原因及合理性。毛利率的解释被要求建立在产品级、纯度级、尺寸级的数据拆分之上，而非直接归因于技术水平。</w:t>
      </w:r>
    </w:p>
    <w:p>
      <w:pPr>
        <w:pStyle w:val="3"/>
        <w:numPr>
          <w:ilvl w:val="0"/>
          <w:numId w:val="0"/>
        </w:numPr>
        <w:spacing w:before="156" w:after="156"/>
      </w:pPr>
      <w:bookmarkStart w:id="1035" w:name="_Toc900035"/>
      <w:r>
        <w:rPr>
          <w:rFonts w:hint="eastAsia"/>
        </w:rPr>
        <w:t>7.4 关注点之二：技术先进性与核心技术</w:t>
      </w:r>
      <w:bookmarkEnd w:id="1035"/>
    </w:p>
    <w:p>
      <w:pPr>
        <w:pStyle w:val="a0"/>
      </w:pPr>
      <w:r>
        <w:rPr>
          <w:rFonts w:hint="eastAsia"/>
        </w:rPr>
        <w:t>五家企业均被问及核心技术。托伦斯首轮问产品和技术，第二轮升级为技术先进性和市场空间，要求说明高精度机械制造、焊接、表面处理三项核心工艺的技术水平；臻宝科技首轮设核心技术专项；珂玛科技第二轮问核心技术、落实函问业务与技术；神工股份第二轮设公司行业及核心技术专项，第三轮设发行人产品专项；中微公司首轮将核心技术单列为六个大类之一。</w:t>
      </w:r>
    </w:p>
    <w:p>
      <w:pPr>
        <w:pStyle w:val="a0"/>
      </w:pPr>
      <w:r>
        <w:rPr>
          <w:rFonts w:hint="eastAsia"/>
        </w:rPr>
        <w:t>神工股份第三轮问询提供了核心技术与生产设备边界的问法。交易所要求结合报告期各期采购的单晶炉型号及其差异，说明发行人能够生产大尺寸单晶硅材料是否主要因为采购了相应型号的单晶炉设备，投入产出率提升和能耗降低是否由于外购更为先进的单晶炉设备或者对外购设备进行了改造改进，并说明具体改进措施及其在研发投入和研发费用中的体现。该问法指向同一件事：技术能力究竟体现在企业自身的工艺积累上，还是体现在所购设备的性能上，要求以研发投入与研发费用的记录作为区分依据。</w:t>
      </w:r>
    </w:p>
    <w:p>
      <w:pPr>
        <w:pStyle w:val="3"/>
        <w:numPr>
          <w:ilvl w:val="0"/>
          <w:numId w:val="0"/>
        </w:numPr>
        <w:spacing w:before="156" w:after="156"/>
      </w:pPr>
      <w:bookmarkStart w:id="1036" w:name="_Toc900036"/>
      <w:r>
        <w:rPr>
          <w:rFonts w:hint="eastAsia"/>
        </w:rPr>
        <w:t>7.5 关注点之三：技术来源与出资合法性</w:t>
      </w:r>
      <w:bookmarkEnd w:id="1036"/>
    </w:p>
    <w:p>
      <w:pPr>
        <w:pStyle w:val="a0"/>
      </w:pPr>
      <w:r>
        <w:rPr>
          <w:rFonts w:hint="eastAsia"/>
        </w:rPr>
        <w:t>神工股份是五家样本中唯一由上市委审议意见落实函单独提出技术来源问题的企业，且落实函的两个问题全部集中于此。第一问要求补充披露非专利技术的来源及形成过程，并由保荐机构发表明确核查意见；第二问要求结合非专利技术形成过程和相关《合作协议》的具体条款，补充说明合作研发模式、研发过程中各方担任的角色，并由保荐机构和发行人律师发表明确核查意见。</w:t>
      </w:r>
    </w:p>
    <w:p>
      <w:pPr>
        <w:pStyle w:val="a0"/>
      </w:pPr>
      <w:r>
        <w:rPr>
          <w:rFonts w:hint="eastAsia"/>
        </w:rPr>
        <w:t>回复的结构分三层：一是按月份还原技术形成的时间线，逐段说明各阶段的研发活动、参与主体与产出；二是逐条列示《合作协议》约定的双方职责，包括设备指定、物资采购、工艺参数设定、生产监督、检测指导、客户对接与成本控制，并说明知识产权归属条款与保密条款；三是说明该技术在公司经营中的作用与对业绩的贡献程度，披露报告期各期运用核心技术生产产品的销售收入占营业收入的比重为100.00%、99.96%、100.00%和99.99%。</w:t>
      </w:r>
    </w:p>
    <w:p>
      <w:pPr>
        <w:pStyle w:val="a0"/>
      </w:pPr>
      <w:r>
        <w:rPr>
          <w:rFonts w:hint="eastAsia"/>
        </w:rPr>
        <w:t>保荐机构的核查程序在回复中逐项列明，共六项：查阅工商登记文件、资产评估报告、评估复核报告、验资报告、验资复核报告与出资资产交付确认书；查阅研发计划、研发过程记录、研发数据、销售记录与交付的技术资料；访谈技术出资方当时的股东与合作方实际控制人；访谈发行人住所地法院、仲裁机构与政府部门并取得合规证明；查询国家企业信用信息公示系统、中国裁判文书网、中国执行信息公开网与中国法院网的公开信息；取得各相关方出具的声明与承诺。以技术出资设立的企业，其技术来源的证据链需要覆盖权属、评估、交付、使用与无争议五个方面。</w:t>
      </w:r>
    </w:p>
    <w:p>
      <w:pPr>
        <w:pStyle w:val="3"/>
        <w:numPr>
          <w:ilvl w:val="0"/>
          <w:numId w:val="0"/>
        </w:numPr>
        <w:spacing w:before="156" w:after="156"/>
      </w:pPr>
      <w:bookmarkStart w:id="1037" w:name="_Toc900037"/>
      <w:r>
        <w:rPr>
          <w:rFonts w:hint="eastAsia"/>
        </w:rPr>
        <w:t>7.6 关注点之四：收入与业绩可持续性</w:t>
      </w:r>
      <w:bookmarkEnd w:id="1037"/>
    </w:p>
    <w:p>
      <w:pPr>
        <w:pStyle w:val="a0"/>
      </w:pPr>
      <w:r>
        <w:rPr>
          <w:rFonts w:hint="eastAsia"/>
        </w:rPr>
        <w:t>托伦斯首轮问业务成长性与收入变动和主要客户，第二轮问营业收入变动，落实函问业绩稳定性；臻宝科技首轮问收入，第二轮问经营业绩与收入；珂玛科技第二轮问收入增长可持续性。</w:t>
      </w:r>
    </w:p>
    <w:p>
      <w:pPr>
        <w:pStyle w:val="a0"/>
      </w:pPr>
      <w:r>
        <w:rPr>
          <w:rFonts w:hint="eastAsia"/>
        </w:rPr>
        <w:t>托伦斯落实函的问法具有代表性，要求披露三项内容：一是收入增速下滑的原因，以及与行业趋势、可比公司业绩变动的差异；二是增速放缓仍持续扩产的考虑，并结合募投项目新增产能说明是否存在产能消化风险；三是结合在手订单数量与价格、产能利用率预计变动、汇兑损益变化，分析毛利率及经营利润是否存在进一步下滑的风险，并完善风险提示。</w:t>
      </w:r>
    </w:p>
    <w:p>
      <w:pPr>
        <w:pStyle w:val="3"/>
        <w:numPr>
          <w:ilvl w:val="0"/>
          <w:numId w:val="0"/>
        </w:numPr>
        <w:spacing w:before="156" w:after="156"/>
      </w:pPr>
      <w:bookmarkStart w:id="1038" w:name="_Toc900038"/>
      <w:r>
        <w:rPr>
          <w:rFonts w:hint="eastAsia"/>
        </w:rPr>
        <w:t>7.7 关注点之五：客户与供应商</w:t>
      </w:r>
      <w:bookmarkEnd w:id="1038"/>
    </w:p>
    <w:p>
      <w:pPr>
        <w:pStyle w:val="a0"/>
      </w:pPr>
      <w:r>
        <w:rPr>
          <w:rFonts w:hint="eastAsia"/>
        </w:rPr>
        <w:t>五家企业首轮均设有客户与供应商专项。关注角度包括客户集中度及其成因、单一客户依赖、新增客户的开发过程与验证周期、向单一供应商采购的价格公允性，以及供应商成立时间与合作起始时间是否匹配。臻宝科技第二轮问询即指出，其石英主要供应商锦州士成成立当年即开展合作，同类材料采购价格明显低于其他供应商。神工股份第二轮分设供应商、客户和销售订单、境外销售、代理销售四个专项，第三轮问采购价格差异，第四轮将境外销售与单位产量能耗、单位运输费合并追问。</w:t>
      </w:r>
    </w:p>
    <w:p>
      <w:pPr>
        <w:pStyle w:val="a0"/>
      </w:pPr>
      <w:r>
        <w:rPr>
          <w:rFonts w:hint="eastAsia"/>
        </w:rPr>
        <w:t>神工股份第四轮问询给出了境外销售的核查颗粒度。交易所要求列表说明报告期各期确认收入的重要销售订单的客户名称、订单金额、确认收入金额、合同签订时间、报关出口时间、运输方式、运输批次、运费金额、客户签收日期与回款时间，并按合同顺序提供对应的销售合同、出口报关单、客户签收凭据与客户付款凭证。主要产品出口的企业，其收入真实性核查落到单笔订单的单证闭环上。</w:t>
      </w:r>
    </w:p>
    <w:p>
      <w:pPr>
        <w:pStyle w:val="3"/>
        <w:numPr>
          <w:ilvl w:val="0"/>
          <w:numId w:val="0"/>
        </w:numPr>
        <w:spacing w:before="156" w:after="156"/>
      </w:pPr>
      <w:bookmarkStart w:id="1039" w:name="_Toc900039"/>
      <w:r>
        <w:rPr>
          <w:rFonts w:hint="eastAsia"/>
        </w:rPr>
        <w:t>7.8 关注点之六：产销勾稽与投入产出</w:t>
      </w:r>
      <w:bookmarkEnd w:id="1039"/>
    </w:p>
    <w:p>
      <w:pPr>
        <w:pStyle w:val="a0"/>
      </w:pPr>
      <w:r>
        <w:rPr>
          <w:rFonts w:hint="eastAsia"/>
        </w:rPr>
        <w:t>该项在制造型零部件企业中被追问的轮次最多。神工股份第二轮设投入产出比变动、产量和用电量关系、产量匹配情况三个专项，第三轮设产量与销量差异、单位产品能耗水平与多晶硅回收料两个专项，第四轮仍设生产销售勾稽关系与单位产量能耗专项。</w:t>
      </w:r>
    </w:p>
    <w:p>
      <w:pPr>
        <w:pStyle w:val="a0"/>
      </w:pPr>
      <w:r>
        <w:rPr>
          <w:rFonts w:hint="eastAsia"/>
        </w:rPr>
        <w:t>第四轮问询的问法可以说明核查深度。交易所列出报告期各期按重量计算与按长度计算的两套产销比，2016年至2019年1—6月按重量口径分别为103.05%、96.58%、90.56%、54.12%，按长度口径分别为99.37%、90.41%、94.66%、59.71%，要求从定性和定量两方面说明两套口径的进销存金额及数量勾稽关系的差异原因及合理性。同一轮次还列出报告期各期单位设备用水量12,885.71、9,254.55、5,814.29和1,063.33吨／台，单位设备用电量87.33、88.86、95.69和45.23万千瓦时／台（末期为2019年1—6月半年数），要求说明用电量逐渐升高、用水量大幅降低的原因及合理性，并列表说明各月度用水量、用电量与当月产量、在产设备数量的配比关系及差异原因，同时提供相应凭据。</w:t>
      </w:r>
    </w:p>
    <w:p>
      <w:pPr>
        <w:pStyle w:val="a0"/>
      </w:pPr>
      <w:r>
        <w:rPr>
          <w:rFonts w:hint="eastAsia"/>
        </w:rPr>
        <w:t>该类问题的核查逻辑是以物理量交叉验证财务数据：原材料投入量、能耗、设备台数、产量、销量、出口报关量之间需要形成可复算的对应关系，任一环节的口径切换都需要给出量化解释。</w:t>
      </w:r>
    </w:p>
    <w:p>
      <w:pPr>
        <w:pStyle w:val="3"/>
        <w:numPr>
          <w:ilvl w:val="0"/>
          <w:numId w:val="0"/>
        </w:numPr>
        <w:spacing w:before="156" w:after="156"/>
      </w:pPr>
      <w:bookmarkStart w:id="1040" w:name="_Toc900040"/>
      <w:r>
        <w:rPr>
          <w:rFonts w:hint="eastAsia"/>
        </w:rPr>
        <w:t>7.9 关注点之七：募投项目与产能消化</w:t>
      </w:r>
      <w:bookmarkEnd w:id="1040"/>
    </w:p>
    <w:p>
      <w:pPr>
        <w:pStyle w:val="a0"/>
      </w:pPr>
      <w:r>
        <w:rPr>
          <w:rFonts w:hint="eastAsia"/>
        </w:rPr>
        <w:t>托伦斯首轮设募投项目专项，落实函要求结合募投新增产能说明是否存在产能消化风险；臻宝科技首轮与第二轮均设募投项目专项；珂玛科技会计师专项回复中设募集资金运用；神工股份第二轮设8英寸半导体级硅单晶抛光片生产建设项目专项，该项目与研发中心建设项目合计拟投入募集资金110,200.22万元。关注角度为新增产能的测算依据、与在手订单及客户需求的匹配、产能爬坡节奏，以及产能利用率下降对毛利率的影响。募投项目投向与现有主业存在差异时，还需说明进入新产品领域的技术储备与量产可行性。</w:t>
      </w:r>
    </w:p>
    <w:p>
      <w:pPr>
        <w:pStyle w:val="3"/>
        <w:numPr>
          <w:ilvl w:val="0"/>
          <w:numId w:val="0"/>
        </w:numPr>
        <w:spacing w:before="156" w:after="156"/>
      </w:pPr>
      <w:bookmarkStart w:id="1041" w:name="_Toc900041"/>
      <w:r>
        <w:rPr>
          <w:rFonts w:hint="eastAsia"/>
        </w:rPr>
        <w:t>7.10 关注点之八：股权、关联方与共用资源</w:t>
      </w:r>
      <w:bookmarkEnd w:id="1041"/>
    </w:p>
    <w:p>
      <w:pPr>
        <w:pStyle w:val="a0"/>
      </w:pPr>
      <w:r>
        <w:rPr>
          <w:rFonts w:hint="eastAsia"/>
        </w:rPr>
        <w:t>托伦斯首轮设历史沿革、对赌协议、高管及核心技术人员三项；臻宝科技首轮设历史沿革与股权结构；珂玛科技第二轮设股权清晰；中微公司第二轮设实际控制人认定及核心技术人员稳定与股份下翻及海外收购；神工股份的无实际控制人认定自第二轮起被追问至第四轮，第三轮另设股东减持对控制权结构影响的专项。关注角度包括股权代持与还原、对赌协议的清理与恢复条款、实际控制人认定依据、核心技术人员的界定与稳定性，以及存在境外架构时的股份下翻过程。</w:t>
      </w:r>
    </w:p>
    <w:p>
      <w:pPr>
        <w:pStyle w:val="a0"/>
      </w:pPr>
      <w:r>
        <w:rPr>
          <w:rFonts w:hint="eastAsia"/>
        </w:rPr>
        <w:t>与关联方共用生产资源是另一类持续追问的事项。神工股份与锦州阳光能源的关系被连续三轮追问，涉及租用厂房、采购电力、采购原材料，以及现任及曾任骨干员工中在入职前五年内曾在该公司任职的共13人。第四轮要求结合各期向该公司及其关联方采购多晶硅的数量与向其他供应商采购的平均单价，测算价格差异对各期净利润的影响金额及比例；并要求中介机构核查发行人客户、供应商与该公司及其持股5%以上股东、董监高、核心技术人员、员工、前员工之间有无业务往来与资金往来。珂玛科技被问及关联方无锡塞姆，属于同一类问题。</w:t>
      </w:r>
    </w:p>
    <w:p>
      <w:pPr>
        <w:pStyle w:val="3"/>
        <w:numPr>
          <w:ilvl w:val="0"/>
          <w:numId w:val="0"/>
        </w:numPr>
        <w:spacing w:before="156" w:after="156"/>
      </w:pPr>
      <w:bookmarkStart w:id="1042" w:name="_Toc900042"/>
      <w:r>
        <w:rPr>
          <w:rFonts w:hint="eastAsia"/>
        </w:rPr>
        <w:t>7.11 单家特有的关注点</w:t>
      </w:r>
      <w:bookmarkEnd w:id="1042"/>
    </w:p>
    <w:p>
      <w:pPr>
        <w:pStyle w:val="a0"/>
      </w:pPr>
      <w:r>
        <w:rPr>
          <w:rFonts w:hint="eastAsia"/>
        </w:rPr>
        <w:t>托伦斯被问及上市标准适用与环保合规性；珂玛科技被问及废料收入、理财产品、资金流水核查，并在落实函中被要求回应媒体质疑；神工股份第二轮被问及向股东额外分红、银行理财与安全生产，第四轮首个问题为按信息披露准则修订完善重大事项提示、风险因素、业务与技术、竞争优劣势等部分，并逐项指明需作重大事项提示的四项内容；中微公司的政府补助与开发支出资本化两项自第二轮起连续追问至第四轮，为该案例中追问轮次最多的事项。</w:t>
      </w:r>
    </w:p>
    <w:p>
      <w:pPr>
        <w:pStyle w:val="2"/>
        <w:spacing w:before="156" w:after="156"/>
      </w:pPr>
      <w:bookmarkStart w:id="1043" w:name="_Toc900043"/>
      <w:r>
        <w:rPr>
          <w:rFonts w:hint="eastAsia"/>
          <w:b/>
        </w:rPr>
        <w:t>与国泰海通相关的产业链公司</w:t>
      </w:r>
      <w:bookmarkEnd w:id="1043"/>
    </w:p>
    <w:p>
      <w:pPr>
        <w:pStyle w:val="3"/>
        <w:numPr>
          <w:ilvl w:val="0"/>
          <w:numId w:val="0"/>
        </w:numPr>
        <w:spacing w:before="156" w:after="156"/>
      </w:pPr>
      <w:bookmarkStart w:id="1044" w:name="_Toc900044"/>
      <w:r>
        <w:rPr>
          <w:rFonts w:hint="eastAsia"/>
        </w:rPr>
        <w:t>8.1 在审与辅导中的项目</w:t>
      </w:r>
      <w:bookmarkEnd w:id="1044"/>
    </w:p>
    <w:p>
      <w:pPr>
        <w:keepNext/>
        <w:jc w:val="center"/>
      </w:pPr>
      <w:r>
        <w:rPr>
          <w:rFonts w:hint="eastAsia"/>
          <w:b/>
          <w:sz w:val="21"/>
        </w:rPr>
        <w:t>表13  国泰海通在半导体设备与零部件领域的在审及辅导项目</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661"/>
        <w:gridCol w:w="1661"/>
        <w:gridCol w:w="1661"/>
        <w:gridCol w:w="1661"/>
        <w:gridCol w:w="1661"/>
      </w:tblGrid>
      <w:tr>
        <w:trPr>
          <w:cantSplit/>
          <w:tblHeader/>
          <w:jc w:val="center"/>
        </w:trPr>
        <w:tc>
          <w:tcPr>
            <w:tcW w:w="923"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538" w:type="pct"/>
            <w:tcBorders>
              <w:top w:val="single" w:sz="12" w:space="0" w:color="010000"/>
              <w:bottom w:val="single" w:sz="4" w:space="0" w:color="010000"/>
            </w:tcBorders>
            <w:vAlign w:val="center"/>
          </w:tcPr>
          <w:p>
            <w:pPr>
              <w:keepNext/>
              <w:jc w:val="center"/>
            </w:pPr>
            <w:r/>
            <w:r>
              <w:rPr>
                <w:rFonts w:hint="eastAsia"/>
                <w:b/>
                <w:color w:val="000000"/>
                <w:sz w:val="21"/>
              </w:rPr>
              <w:t>与国泰海通的关系</w:t>
            </w:r>
          </w:p>
        </w:tc>
        <w:tc>
          <w:tcPr>
            <w:tcW w:w="615" w:type="pct"/>
            <w:tcBorders>
              <w:top w:val="single" w:sz="12" w:space="0" w:color="010000"/>
              <w:bottom w:val="single" w:sz="4" w:space="0" w:color="010000"/>
            </w:tcBorders>
            <w:vAlign w:val="center"/>
          </w:tcPr>
          <w:p>
            <w:pPr>
              <w:keepNext/>
              <w:jc w:val="center"/>
            </w:pPr>
            <w:r/>
            <w:r>
              <w:rPr>
                <w:rFonts w:hint="eastAsia"/>
                <w:b/>
                <w:color w:val="000000"/>
                <w:sz w:val="21"/>
              </w:rPr>
              <w:t>当前状态</w:t>
            </w:r>
          </w:p>
        </w:tc>
        <w:tc>
          <w:tcPr>
            <w:tcW w:w="923" w:type="pct"/>
            <w:tcBorders>
              <w:top w:val="single" w:sz="12" w:space="0" w:color="010000"/>
              <w:bottom w:val="single" w:sz="4" w:space="0" w:color="010000"/>
            </w:tcBorders>
            <w:vAlign w:val="center"/>
          </w:tcPr>
          <w:p>
            <w:pPr>
              <w:keepNext/>
              <w:jc w:val="center"/>
            </w:pPr>
            <w:r/>
            <w:r>
              <w:rPr>
                <w:rFonts w:hint="eastAsia"/>
                <w:b/>
                <w:color w:val="000000"/>
                <w:sz w:val="21"/>
              </w:rPr>
              <w:t>时间</w:t>
            </w:r>
          </w:p>
        </w:tc>
        <w:tc>
          <w:tcPr>
            <w:tcW w:w="2000" w:type="pct"/>
            <w:tcBorders>
              <w:top w:val="single" w:sz="12" w:space="0" w:color="010000"/>
              <w:bottom w:val="single" w:sz="4" w:space="0" w:color="010000"/>
            </w:tcBorders>
            <w:vAlign w:val="center"/>
          </w:tcPr>
          <w:p>
            <w:pPr>
              <w:keepNext/>
              <w:jc w:val="center"/>
            </w:pPr>
            <w:r/>
            <w:r>
              <w:rPr>
                <w:rFonts w:hint="eastAsia"/>
                <w:b/>
                <w:color w:val="000000"/>
                <w:sz w:val="21"/>
              </w:rPr>
              <w:t>主营业务</w:t>
            </w:r>
          </w:p>
        </w:tc>
      </w:tr>
      <w:tr>
        <w:trPr>
          <w:cantSplit/>
          <w:jc w:val="center"/>
        </w:trPr>
        <w:tc>
          <w:tcPr>
            <w:tcW w:w="923" w:type="pct"/>
            <w:tcBorders>
              <w:top w:val="single" w:sz="4" w:space="0" w:color="010000"/>
            </w:tcBorders>
            <w:vAlign w:val="center"/>
          </w:tcPr>
          <w:p>
            <w:pPr>
              <w:jc w:val="left"/>
            </w:pPr>
            <w:r/>
            <w:r>
              <w:rPr>
                <w:rFonts w:hint="eastAsia"/>
                <w:color w:val="000000"/>
                <w:sz w:val="21"/>
              </w:rPr>
              <w:t>江苏神州半导体科技股份有限公司</w:t>
            </w:r>
          </w:p>
        </w:tc>
        <w:tc>
          <w:tcPr>
            <w:tcW w:w="538" w:type="pct"/>
            <w:tcBorders>
              <w:top w:val="single" w:sz="4" w:space="0" w:color="010000"/>
            </w:tcBorders>
            <w:vAlign w:val="center"/>
          </w:tcPr>
          <w:p>
            <w:pPr>
              <w:jc w:val="center"/>
            </w:pPr>
            <w:r/>
            <w:r>
              <w:rPr>
                <w:rFonts w:hint="eastAsia"/>
                <w:color w:val="000000"/>
                <w:sz w:val="21"/>
              </w:rPr>
              <w:t>保荐机构</w:t>
            </w:r>
          </w:p>
        </w:tc>
        <w:tc>
          <w:tcPr>
            <w:tcW w:w="615" w:type="pct"/>
            <w:tcBorders>
              <w:top w:val="single" w:sz="4" w:space="0" w:color="010000"/>
            </w:tcBorders>
            <w:vAlign w:val="center"/>
          </w:tcPr>
          <w:p>
            <w:pPr>
              <w:jc w:val="center"/>
            </w:pPr>
            <w:r/>
            <w:r>
              <w:rPr>
                <w:rFonts w:hint="eastAsia"/>
                <w:color w:val="000000"/>
                <w:sz w:val="21"/>
              </w:rPr>
              <w:t>科创板IPO已问询</w:t>
            </w:r>
          </w:p>
        </w:tc>
        <w:tc>
          <w:tcPr>
            <w:tcW w:w="923" w:type="pct"/>
            <w:tcBorders>
              <w:top w:val="single" w:sz="4" w:space="0" w:color="010000"/>
            </w:tcBorders>
            <w:vAlign w:val="center"/>
          </w:tcPr>
          <w:p>
            <w:pPr>
              <w:jc w:val="left"/>
            </w:pPr>
            <w:r/>
            <w:r>
              <w:rPr>
                <w:rFonts w:hint="eastAsia"/>
                <w:color w:val="000000"/>
                <w:sz w:val="21"/>
              </w:rPr>
              <w:t>2026年6月30日递交申报稿，招股说明书（申报稿）列示募集资金总额252,226.33万元</w:t>
            </w:r>
          </w:p>
        </w:tc>
        <w:tc>
          <w:tcPr>
            <w:tcW w:w="2000" w:type="pct"/>
            <w:tcBorders>
              <w:top w:val="single" w:sz="4" w:space="0" w:color="010000"/>
            </w:tcBorders>
            <w:vAlign w:val="center"/>
          </w:tcPr>
          <w:p>
            <w:pPr>
              <w:jc w:val="left"/>
            </w:pPr>
            <w:r/>
            <w:r>
              <w:rPr>
                <w:rFonts w:hint="eastAsia"/>
                <w:color w:val="000000"/>
                <w:sz w:val="21"/>
              </w:rPr>
              <w:t>半导体等离子体电源系统，包括远程等离子源发生系统与等离子体射频电源、自动网络匹配器，应用于刻蚀设备、化学薄膜设备、离子注入与物理气相沉积设备</w:t>
            </w:r>
          </w:p>
        </w:tc>
      </w:tr>
      <w:tr>
        <w:trPr>
          <w:cantSplit/>
          <w:jc w:val="center"/>
        </w:trPr>
        <w:tc>
          <w:tcPr>
            <w:tcW w:w="923" w:type="pct"/>
            <w:tcBorders>
              <w:top w:val="single" w:sz="4" w:space="0" w:color="010000"/>
            </w:tcBorders>
            <w:vAlign w:val="center"/>
          </w:tcPr>
          <w:p>
            <w:pPr>
              <w:jc w:val="left"/>
            </w:pPr>
            <w:r/>
            <w:r>
              <w:rPr>
                <w:rFonts w:hint="eastAsia"/>
                <w:color w:val="000000"/>
                <w:sz w:val="21"/>
              </w:rPr>
              <w:t>新美光（苏州）半导体科技股份有限公司</w:t>
            </w:r>
          </w:p>
        </w:tc>
        <w:tc>
          <w:tcPr>
            <w:tcW w:w="538" w:type="pct"/>
            <w:tcBorders>
              <w:top w:val="single" w:sz="4" w:space="0" w:color="010000"/>
            </w:tcBorders>
            <w:vAlign w:val="center"/>
          </w:tcPr>
          <w:p>
            <w:pPr>
              <w:jc w:val="center"/>
            </w:pPr>
            <w:r/>
            <w:r>
              <w:rPr>
                <w:rFonts w:hint="eastAsia"/>
                <w:color w:val="000000"/>
                <w:sz w:val="21"/>
              </w:rPr>
              <w:t>辅导机构</w:t>
            </w:r>
          </w:p>
        </w:tc>
        <w:tc>
          <w:tcPr>
            <w:tcW w:w="615" w:type="pct"/>
            <w:tcBorders>
              <w:top w:val="single" w:sz="4" w:space="0" w:color="010000"/>
            </w:tcBorders>
            <w:vAlign w:val="center"/>
          </w:tcPr>
          <w:p>
            <w:pPr>
              <w:jc w:val="center"/>
            </w:pPr>
            <w:r/>
            <w:r>
              <w:rPr>
                <w:rFonts w:hint="eastAsia"/>
                <w:color w:val="000000"/>
                <w:sz w:val="21"/>
              </w:rPr>
              <w:t>辅导备案登记受理</w:t>
            </w:r>
          </w:p>
        </w:tc>
        <w:tc>
          <w:tcPr>
            <w:tcW w:w="923" w:type="pct"/>
            <w:tcBorders>
              <w:top w:val="single" w:sz="4" w:space="0" w:color="010000"/>
            </w:tcBorders>
            <w:vAlign w:val="center"/>
          </w:tcPr>
          <w:p>
            <w:pPr>
              <w:jc w:val="left"/>
            </w:pPr>
            <w:r/>
            <w:r>
              <w:rPr>
                <w:rFonts w:hint="eastAsia"/>
                <w:color w:val="000000"/>
                <w:sz w:val="21"/>
              </w:rPr>
              <w:t>2026年7月24日</w:t>
            </w:r>
          </w:p>
        </w:tc>
        <w:tc>
          <w:tcPr>
            <w:tcW w:w="2000" w:type="pct"/>
            <w:tcBorders>
              <w:top w:val="single" w:sz="4" w:space="0" w:color="010000"/>
            </w:tcBorders>
            <w:vAlign w:val="center"/>
          </w:tcPr>
          <w:p>
            <w:pPr>
              <w:jc w:val="left"/>
            </w:pPr>
            <w:r/>
            <w:r>
              <w:rPr>
                <w:rFonts w:hint="eastAsia"/>
                <w:color w:val="000000"/>
                <w:sz w:val="21"/>
              </w:rPr>
              <w:t>等离子刻蚀先进制程核心零部件，包括单晶硅部件（聚焦环、硅电极、硅材料托盘、硅板）、碳化硅部件与刻蚀腔体表面镀膜</w:t>
            </w:r>
          </w:p>
        </w:tc>
      </w:tr>
      <w:tr>
        <w:trPr>
          <w:cantSplit/>
          <w:jc w:val="center"/>
        </w:trPr>
        <w:tc>
          <w:tcPr>
            <w:tcW w:w="923" w:type="pct"/>
            <w:tcBorders>
              <w:top w:val="single" w:sz="4" w:space="0" w:color="010000"/>
            </w:tcBorders>
            <w:vAlign w:val="center"/>
          </w:tcPr>
          <w:p>
            <w:pPr>
              <w:jc w:val="left"/>
            </w:pPr>
            <w:r/>
            <w:r>
              <w:rPr>
                <w:rFonts w:hint="eastAsia"/>
                <w:color w:val="000000"/>
                <w:sz w:val="21"/>
              </w:rPr>
              <w:t>盛吉盛半导体科技股份有限公司</w:t>
            </w:r>
          </w:p>
        </w:tc>
        <w:tc>
          <w:tcPr>
            <w:tcW w:w="538" w:type="pct"/>
            <w:tcBorders>
              <w:top w:val="single" w:sz="4" w:space="0" w:color="010000"/>
            </w:tcBorders>
            <w:vAlign w:val="center"/>
          </w:tcPr>
          <w:p>
            <w:pPr>
              <w:jc w:val="center"/>
            </w:pPr>
            <w:r/>
            <w:r>
              <w:rPr>
                <w:rFonts w:hint="eastAsia"/>
                <w:color w:val="000000"/>
                <w:sz w:val="21"/>
              </w:rPr>
              <w:t>辅导机构</w:t>
            </w:r>
          </w:p>
        </w:tc>
        <w:tc>
          <w:tcPr>
            <w:tcW w:w="615" w:type="pct"/>
            <w:tcBorders>
              <w:top w:val="single" w:sz="4" w:space="0" w:color="010000"/>
            </w:tcBorders>
            <w:vAlign w:val="center"/>
          </w:tcPr>
          <w:p>
            <w:pPr>
              <w:jc w:val="center"/>
            </w:pPr>
            <w:r/>
            <w:r>
              <w:rPr>
                <w:rFonts w:hint="eastAsia"/>
                <w:color w:val="000000"/>
                <w:sz w:val="21"/>
              </w:rPr>
              <w:t>辅导备案登记受理</w:t>
            </w:r>
          </w:p>
        </w:tc>
        <w:tc>
          <w:tcPr>
            <w:tcW w:w="923" w:type="pct"/>
            <w:tcBorders>
              <w:top w:val="single" w:sz="4" w:space="0" w:color="010000"/>
            </w:tcBorders>
            <w:vAlign w:val="center"/>
          </w:tcPr>
          <w:p>
            <w:pPr>
              <w:jc w:val="left"/>
            </w:pPr>
            <w:r/>
            <w:r>
              <w:rPr>
                <w:rFonts w:hint="eastAsia"/>
                <w:color w:val="000000"/>
                <w:sz w:val="21"/>
              </w:rPr>
              <w:t>2026年7月27日（宁波证监局）</w:t>
            </w:r>
          </w:p>
        </w:tc>
        <w:tc>
          <w:tcPr>
            <w:tcW w:w="2000" w:type="pct"/>
            <w:tcBorders>
              <w:top w:val="single" w:sz="4" w:space="0" w:color="010000"/>
            </w:tcBorders>
            <w:vAlign w:val="center"/>
          </w:tcPr>
          <w:p>
            <w:pPr>
              <w:jc w:val="left"/>
            </w:pPr>
            <w:r/>
            <w:r>
              <w:rPr>
                <w:rFonts w:hint="eastAsia"/>
                <w:color w:val="000000"/>
                <w:sz w:val="21"/>
              </w:rPr>
              <w:t>集成电路专用设备及关键零部件，包括薄膜沉积整机系列与配套精密核心零部件</w:t>
            </w:r>
          </w:p>
        </w:tc>
      </w:tr>
      <w:tr>
        <w:trPr>
          <w:cantSplit/>
          <w:jc w:val="center"/>
        </w:trPr>
        <w:tc>
          <w:tcPr>
            <w:tcW w:w="923" w:type="pct"/>
            <w:tcBorders>
              <w:top w:val="single" w:sz="4" w:space="0" w:color="010000"/>
            </w:tcBorders>
            <w:vAlign w:val="center"/>
          </w:tcPr>
          <w:p>
            <w:pPr>
              <w:jc w:val="left"/>
            </w:pPr>
            <w:r/>
            <w:r>
              <w:rPr>
                <w:rFonts w:hint="eastAsia"/>
                <w:color w:val="000000"/>
                <w:sz w:val="21"/>
              </w:rPr>
              <w:t>上海先普科技股份有限公司</w:t>
            </w:r>
          </w:p>
        </w:tc>
        <w:tc>
          <w:tcPr>
            <w:tcW w:w="538" w:type="pct"/>
            <w:tcBorders>
              <w:top w:val="single" w:sz="4" w:space="0" w:color="010000"/>
            </w:tcBorders>
            <w:vAlign w:val="center"/>
          </w:tcPr>
          <w:p>
            <w:pPr>
              <w:jc w:val="center"/>
            </w:pPr>
            <w:r/>
            <w:r>
              <w:rPr>
                <w:rFonts w:hint="eastAsia"/>
                <w:color w:val="000000"/>
                <w:sz w:val="21"/>
              </w:rPr>
              <w:t>辅导机构</w:t>
            </w:r>
          </w:p>
        </w:tc>
        <w:tc>
          <w:tcPr>
            <w:tcW w:w="615" w:type="pct"/>
            <w:tcBorders>
              <w:top w:val="single" w:sz="4" w:space="0" w:color="010000"/>
            </w:tcBorders>
            <w:vAlign w:val="center"/>
          </w:tcPr>
          <w:p>
            <w:pPr>
              <w:jc w:val="center"/>
            </w:pPr>
            <w:r/>
            <w:r>
              <w:rPr>
                <w:rFonts w:hint="eastAsia"/>
                <w:color w:val="000000"/>
                <w:sz w:val="21"/>
              </w:rPr>
              <w:t>辅导备案登记受理</w:t>
            </w:r>
          </w:p>
        </w:tc>
        <w:tc>
          <w:tcPr>
            <w:tcW w:w="923" w:type="pct"/>
            <w:tcBorders>
              <w:top w:val="single" w:sz="4" w:space="0" w:color="010000"/>
            </w:tcBorders>
            <w:vAlign w:val="center"/>
          </w:tcPr>
          <w:p>
            <w:pPr>
              <w:jc w:val="left"/>
            </w:pPr>
            <w:r/>
            <w:r>
              <w:rPr>
                <w:rFonts w:hint="eastAsia"/>
                <w:color w:val="000000"/>
                <w:sz w:val="21"/>
              </w:rPr>
              <w:t>2025年12月24日（拟北交所）</w:t>
            </w:r>
          </w:p>
        </w:tc>
        <w:tc>
          <w:tcPr>
            <w:tcW w:w="2000" w:type="pct"/>
            <w:tcBorders>
              <w:top w:val="single" w:sz="4" w:space="0" w:color="010000"/>
            </w:tcBorders>
            <w:vAlign w:val="center"/>
          </w:tcPr>
          <w:p>
            <w:pPr>
              <w:jc w:val="left"/>
            </w:pPr>
            <w:r/>
            <w:r>
              <w:rPr>
                <w:rFonts w:hint="eastAsia"/>
                <w:color w:val="000000"/>
                <w:sz w:val="21"/>
              </w:rPr>
              <w:t>半导体行业气体纯化器与气体过滤器，提供气体微污染控制解决方案</w:t>
            </w:r>
          </w:p>
        </w:tc>
      </w:tr>
    </w:tbl>
    <w:p>
      <w:pPr>
        <w:pStyle w:val="a6"/>
        <w:jc w:val="center"/>
      </w:pPr>
      <w:r>
        <w:rPr>
          <w:rFonts w:hint="eastAsia"/>
          <w:sz w:val="11"/>
          <w:szCs w:val="11"/>
        </w:rPr>
        <w:t>资料来源：交易所发行上市审核信息公开网站、各地证监局辅导备案公示、Wind整理成果，本报告整理</w:t>
      </w:r>
    </w:p>
    <w:p>
      <w:pPr>
        <w:pStyle w:val="3"/>
        <w:numPr>
          <w:ilvl w:val="0"/>
          <w:numId w:val="0"/>
        </w:numPr>
        <w:spacing w:before="156" w:after="156"/>
      </w:pPr>
      <w:bookmarkStart w:id="1045" w:name="_Toc900045"/>
      <w:r>
        <w:rPr>
          <w:rFonts w:hint="eastAsia"/>
        </w:rPr>
        <w:t>8.2 已保荐上市的相关公司</w:t>
      </w:r>
      <w:bookmarkEnd w:id="1045"/>
    </w:p>
    <w:p>
      <w:pPr>
        <w:keepNext/>
        <w:jc w:val="center"/>
      </w:pPr>
      <w:r>
        <w:rPr>
          <w:rFonts w:hint="eastAsia"/>
          <w:b/>
          <w:sz w:val="21"/>
        </w:rPr>
        <w:t>表14  国泰海通系已保荐上市的相关公司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1384"/>
        <w:gridCol w:w="1384"/>
        <w:gridCol w:w="1384"/>
        <w:gridCol w:w="1384"/>
        <w:gridCol w:w="1384"/>
        <w:gridCol w:w="1384"/>
      </w:tblGrid>
      <w:tr>
        <w:trPr>
          <w:cantSplit/>
          <w:tblHeader/>
          <w:jc w:val="center"/>
        </w:trPr>
        <w:tc>
          <w:tcPr>
            <w:tcW w:w="973" w:type="pct"/>
            <w:tcBorders>
              <w:top w:val="single" w:sz="12" w:space="0" w:color="010000"/>
              <w:bottom w:val="single" w:sz="4" w:space="0" w:color="010000"/>
            </w:tcBorders>
            <w:vAlign w:val="center"/>
          </w:tcPr>
          <w:p>
            <w:pPr>
              <w:keepNext/>
              <w:jc w:val="center"/>
            </w:pPr>
            <w:r/>
            <w:r>
              <w:rPr>
                <w:rFonts w:hint="eastAsia"/>
                <w:b/>
                <w:color w:val="000000"/>
                <w:sz w:val="21"/>
              </w:rPr>
              <w:t>公司名称</w:t>
            </w:r>
          </w:p>
        </w:tc>
        <w:tc>
          <w:tcPr>
            <w:tcW w:w="575" w:type="pct"/>
            <w:tcBorders>
              <w:top w:val="single" w:sz="12" w:space="0" w:color="010000"/>
              <w:bottom w:val="single" w:sz="4" w:space="0" w:color="010000"/>
            </w:tcBorders>
            <w:vAlign w:val="center"/>
          </w:tcPr>
          <w:p>
            <w:pPr>
              <w:keepNext/>
              <w:jc w:val="center"/>
            </w:pPr>
            <w:r/>
            <w:r>
              <w:rPr>
                <w:rFonts w:hint="eastAsia"/>
                <w:b/>
                <w:color w:val="000000"/>
                <w:sz w:val="21"/>
              </w:rPr>
              <w:t>证券代码</w:t>
            </w:r>
          </w:p>
        </w:tc>
        <w:tc>
          <w:tcPr>
            <w:tcW w:w="619" w:type="pct"/>
            <w:tcBorders>
              <w:top w:val="single" w:sz="12" w:space="0" w:color="010000"/>
              <w:bottom w:val="single" w:sz="4" w:space="0" w:color="010000"/>
            </w:tcBorders>
            <w:vAlign w:val="center"/>
          </w:tcPr>
          <w:p>
            <w:pPr>
              <w:keepNext/>
              <w:jc w:val="center"/>
            </w:pPr>
            <w:r/>
            <w:r>
              <w:rPr>
                <w:rFonts w:hint="eastAsia"/>
                <w:b/>
                <w:color w:val="000000"/>
                <w:sz w:val="21"/>
              </w:rPr>
              <w:t>发行时间</w:t>
            </w:r>
          </w:p>
        </w:tc>
        <w:tc>
          <w:tcPr>
            <w:tcW w:w="1062" w:type="pct"/>
            <w:tcBorders>
              <w:top w:val="single" w:sz="12" w:space="0" w:color="010000"/>
              <w:bottom w:val="single" w:sz="4" w:space="0" w:color="010000"/>
            </w:tcBorders>
            <w:vAlign w:val="center"/>
          </w:tcPr>
          <w:p>
            <w:pPr>
              <w:keepNext/>
              <w:jc w:val="center"/>
            </w:pPr>
            <w:r/>
            <w:r>
              <w:rPr>
                <w:rFonts w:hint="eastAsia"/>
                <w:b/>
                <w:color w:val="000000"/>
                <w:sz w:val="21"/>
              </w:rPr>
              <w:t>担任角色</w:t>
            </w:r>
          </w:p>
        </w:tc>
        <w:tc>
          <w:tcPr>
            <w:tcW w:w="619" w:type="pct"/>
            <w:tcBorders>
              <w:top w:val="single" w:sz="12" w:space="0" w:color="010000"/>
              <w:bottom w:val="single" w:sz="4" w:space="0" w:color="010000"/>
            </w:tcBorders>
            <w:vAlign w:val="center"/>
          </w:tcPr>
          <w:p>
            <w:pPr>
              <w:keepNext/>
              <w:jc w:val="center"/>
            </w:pPr>
            <w:r/>
            <w:r>
              <w:rPr>
                <w:rFonts w:hint="eastAsia"/>
                <w:b/>
                <w:color w:val="000000"/>
                <w:sz w:val="21"/>
              </w:rPr>
              <w:t>当时主体名称</w:t>
            </w:r>
          </w:p>
        </w:tc>
        <w:tc>
          <w:tcPr>
            <w:tcW w:w="1150" w:type="pct"/>
            <w:tcBorders>
              <w:top w:val="single" w:sz="12" w:space="0" w:color="010000"/>
              <w:bottom w:val="single" w:sz="4" w:space="0" w:color="010000"/>
            </w:tcBorders>
            <w:vAlign w:val="center"/>
          </w:tcPr>
          <w:p>
            <w:pPr>
              <w:keepNext/>
              <w:jc w:val="center"/>
            </w:pPr>
            <w:r/>
            <w:r>
              <w:rPr>
                <w:rFonts w:hint="eastAsia"/>
                <w:b/>
                <w:color w:val="000000"/>
                <w:sz w:val="21"/>
              </w:rPr>
              <w:t>环节</w:t>
            </w:r>
          </w:p>
        </w:tc>
      </w:tr>
      <w:tr>
        <w:trPr>
          <w:cantSplit/>
          <w:jc w:val="center"/>
        </w:trPr>
        <w:tc>
          <w:tcPr>
            <w:tcW w:w="973" w:type="pct"/>
            <w:tcBorders>
              <w:top w:val="single" w:sz="4" w:space="0" w:color="010000"/>
            </w:tcBorders>
            <w:vAlign w:val="center"/>
          </w:tcPr>
          <w:p>
            <w:pPr>
              <w:jc w:val="left"/>
            </w:pPr>
            <w:r/>
            <w:r>
              <w:rPr>
                <w:rFonts w:hint="eastAsia"/>
                <w:color w:val="000000"/>
                <w:sz w:val="21"/>
              </w:rPr>
              <w:t>锦州神工半导体（神工股份）</w:t>
            </w:r>
          </w:p>
        </w:tc>
        <w:tc>
          <w:tcPr>
            <w:tcW w:w="575" w:type="pct"/>
            <w:tcBorders>
              <w:top w:val="single" w:sz="4" w:space="0" w:color="010000"/>
            </w:tcBorders>
            <w:vAlign w:val="center"/>
          </w:tcPr>
          <w:p>
            <w:pPr>
              <w:jc w:val="center"/>
            </w:pPr>
            <w:r/>
            <w:r>
              <w:rPr>
                <w:rFonts w:hint="eastAsia"/>
                <w:color w:val="000000"/>
                <w:sz w:val="21"/>
              </w:rPr>
              <w:t>688233.SH</w:t>
            </w:r>
          </w:p>
        </w:tc>
        <w:tc>
          <w:tcPr>
            <w:tcW w:w="619" w:type="pct"/>
            <w:tcBorders>
              <w:top w:val="single" w:sz="4" w:space="0" w:color="010000"/>
            </w:tcBorders>
            <w:vAlign w:val="center"/>
          </w:tcPr>
          <w:p>
            <w:pPr>
              <w:jc w:val="center"/>
            </w:pPr>
            <w:r/>
            <w:r>
              <w:rPr>
                <w:rFonts w:hint="eastAsia"/>
                <w:color w:val="000000"/>
                <w:sz w:val="21"/>
              </w:rPr>
              <w:t>2020年2月21日</w:t>
            </w:r>
          </w:p>
        </w:tc>
        <w:tc>
          <w:tcPr>
            <w:tcW w:w="1062" w:type="pct"/>
            <w:tcBorders>
              <w:top w:val="single" w:sz="4" w:space="0" w:color="010000"/>
            </w:tcBorders>
            <w:vAlign w:val="center"/>
          </w:tcPr>
          <w:p>
            <w:pPr>
              <w:jc w:val="left"/>
            </w:pPr>
            <w:r/>
            <w:r>
              <w:rPr>
                <w:rFonts w:hint="eastAsia"/>
                <w:color w:val="000000"/>
                <w:sz w:val="21"/>
              </w:rPr>
              <w:t>保荐人、主承销商</w:t>
            </w:r>
          </w:p>
        </w:tc>
        <w:tc>
          <w:tcPr>
            <w:tcW w:w="619" w:type="pct"/>
            <w:tcBorders>
              <w:top w:val="single" w:sz="4" w:space="0" w:color="010000"/>
            </w:tcBorders>
            <w:vAlign w:val="center"/>
          </w:tcPr>
          <w:p>
            <w:pPr>
              <w:jc w:val="center"/>
            </w:pPr>
            <w:r/>
            <w:r>
              <w:rPr>
                <w:rFonts w:hint="eastAsia"/>
                <w:color w:val="000000"/>
                <w:sz w:val="21"/>
              </w:rPr>
              <w:t>国泰君安证券</w:t>
            </w:r>
          </w:p>
        </w:tc>
        <w:tc>
          <w:tcPr>
            <w:tcW w:w="1150" w:type="pct"/>
            <w:tcBorders>
              <w:top w:val="single" w:sz="4" w:space="0" w:color="010000"/>
            </w:tcBorders>
            <w:vAlign w:val="center"/>
          </w:tcPr>
          <w:p>
            <w:pPr>
              <w:jc w:val="left"/>
            </w:pPr>
            <w:r/>
            <w:r>
              <w:rPr>
                <w:rFonts w:hint="eastAsia"/>
                <w:color w:val="000000"/>
                <w:sz w:val="21"/>
              </w:rPr>
              <w:t>集成电路刻蚀用单晶硅材料与硅零部件，含刻蚀用硅电极</w:t>
            </w:r>
          </w:p>
        </w:tc>
      </w:tr>
      <w:tr>
        <w:trPr>
          <w:cantSplit/>
          <w:jc w:val="center"/>
        </w:trPr>
        <w:tc>
          <w:tcPr>
            <w:tcW w:w="973" w:type="pct"/>
            <w:tcBorders>
              <w:top w:val="single" w:sz="4" w:space="0" w:color="010000"/>
            </w:tcBorders>
            <w:vAlign w:val="center"/>
          </w:tcPr>
          <w:p>
            <w:pPr>
              <w:jc w:val="left"/>
            </w:pPr>
            <w:r/>
            <w:r>
              <w:rPr>
                <w:rFonts w:hint="eastAsia"/>
                <w:color w:val="000000"/>
                <w:sz w:val="21"/>
              </w:rPr>
              <w:t>上海正帆科技</w:t>
            </w:r>
          </w:p>
        </w:tc>
        <w:tc>
          <w:tcPr>
            <w:tcW w:w="575" w:type="pct"/>
            <w:tcBorders>
              <w:top w:val="single" w:sz="4" w:space="0" w:color="010000"/>
            </w:tcBorders>
            <w:vAlign w:val="center"/>
          </w:tcPr>
          <w:p>
            <w:pPr>
              <w:jc w:val="center"/>
            </w:pPr>
            <w:r/>
            <w:r>
              <w:rPr>
                <w:rFonts w:hint="eastAsia"/>
                <w:color w:val="000000"/>
                <w:sz w:val="21"/>
              </w:rPr>
              <w:t>688596.SH</w:t>
            </w:r>
          </w:p>
        </w:tc>
        <w:tc>
          <w:tcPr>
            <w:tcW w:w="619" w:type="pct"/>
            <w:tcBorders>
              <w:top w:val="single" w:sz="4" w:space="0" w:color="010000"/>
            </w:tcBorders>
            <w:vAlign w:val="center"/>
          </w:tcPr>
          <w:p>
            <w:pPr>
              <w:jc w:val="center"/>
            </w:pPr>
            <w:r/>
            <w:r>
              <w:rPr>
                <w:rFonts w:hint="eastAsia"/>
                <w:color w:val="000000"/>
                <w:sz w:val="21"/>
              </w:rPr>
              <w:t>2020年8月20日</w:t>
            </w:r>
          </w:p>
        </w:tc>
        <w:tc>
          <w:tcPr>
            <w:tcW w:w="1062" w:type="pct"/>
            <w:tcBorders>
              <w:top w:val="single" w:sz="4" w:space="0" w:color="010000"/>
            </w:tcBorders>
            <w:vAlign w:val="center"/>
          </w:tcPr>
          <w:p>
            <w:pPr>
              <w:jc w:val="left"/>
            </w:pPr>
            <w:r/>
            <w:r>
              <w:rPr>
                <w:rFonts w:hint="eastAsia"/>
                <w:color w:val="000000"/>
                <w:sz w:val="21"/>
              </w:rPr>
              <w:t>保荐机构、主承销商</w:t>
            </w:r>
          </w:p>
        </w:tc>
        <w:tc>
          <w:tcPr>
            <w:tcW w:w="619" w:type="pct"/>
            <w:tcBorders>
              <w:top w:val="single" w:sz="4" w:space="0" w:color="010000"/>
            </w:tcBorders>
            <w:vAlign w:val="center"/>
          </w:tcPr>
          <w:p>
            <w:pPr>
              <w:jc w:val="center"/>
            </w:pPr>
            <w:r/>
            <w:r>
              <w:rPr>
                <w:rFonts w:hint="eastAsia"/>
                <w:color w:val="000000"/>
                <w:sz w:val="21"/>
              </w:rPr>
              <w:t>国泰君安证券</w:t>
            </w:r>
          </w:p>
        </w:tc>
        <w:tc>
          <w:tcPr>
            <w:tcW w:w="1150" w:type="pct"/>
            <w:tcBorders>
              <w:top w:val="single" w:sz="4" w:space="0" w:color="010000"/>
            </w:tcBorders>
            <w:vAlign w:val="center"/>
          </w:tcPr>
          <w:p>
            <w:pPr>
              <w:jc w:val="left"/>
            </w:pPr>
            <w:r/>
            <w:r>
              <w:rPr>
                <w:rFonts w:hint="eastAsia"/>
                <w:color w:val="000000"/>
                <w:sz w:val="21"/>
              </w:rPr>
              <w:t>电子工艺设备与气体输送系统，含气柜、气体管路</w:t>
            </w:r>
          </w:p>
        </w:tc>
      </w:tr>
      <w:tr>
        <w:trPr>
          <w:cantSplit/>
          <w:jc w:val="center"/>
        </w:trPr>
        <w:tc>
          <w:tcPr>
            <w:tcW w:w="973" w:type="pct"/>
            <w:tcBorders>
              <w:top w:val="single" w:sz="4" w:space="0" w:color="010000"/>
            </w:tcBorders>
            <w:vAlign w:val="center"/>
          </w:tcPr>
          <w:p>
            <w:pPr>
              <w:jc w:val="left"/>
            </w:pPr>
            <w:r/>
            <w:r>
              <w:rPr>
                <w:rFonts w:hint="eastAsia"/>
                <w:color w:val="000000"/>
                <w:sz w:val="21"/>
              </w:rPr>
              <w:t>中微半导体设备（上海）</w:t>
            </w:r>
          </w:p>
        </w:tc>
        <w:tc>
          <w:tcPr>
            <w:tcW w:w="575" w:type="pct"/>
            <w:tcBorders>
              <w:top w:val="single" w:sz="4" w:space="0" w:color="010000"/>
            </w:tcBorders>
            <w:vAlign w:val="center"/>
          </w:tcPr>
          <w:p>
            <w:pPr>
              <w:jc w:val="center"/>
            </w:pPr>
            <w:r/>
            <w:r>
              <w:rPr>
                <w:rFonts w:hint="eastAsia"/>
                <w:color w:val="000000"/>
                <w:sz w:val="21"/>
              </w:rPr>
              <w:t>688012.SH</w:t>
            </w:r>
          </w:p>
        </w:tc>
        <w:tc>
          <w:tcPr>
            <w:tcW w:w="619" w:type="pct"/>
            <w:tcBorders>
              <w:top w:val="single" w:sz="4" w:space="0" w:color="010000"/>
            </w:tcBorders>
            <w:vAlign w:val="center"/>
          </w:tcPr>
          <w:p>
            <w:pPr>
              <w:jc w:val="center"/>
            </w:pPr>
            <w:r/>
            <w:r>
              <w:rPr>
                <w:rFonts w:hint="eastAsia"/>
                <w:color w:val="000000"/>
                <w:sz w:val="21"/>
              </w:rPr>
              <w:t>2019年7月22日</w:t>
            </w:r>
          </w:p>
        </w:tc>
        <w:tc>
          <w:tcPr>
            <w:tcW w:w="1062" w:type="pct"/>
            <w:tcBorders>
              <w:top w:val="single" w:sz="4" w:space="0" w:color="010000"/>
            </w:tcBorders>
            <w:vAlign w:val="center"/>
          </w:tcPr>
          <w:p>
            <w:pPr>
              <w:jc w:val="left"/>
            </w:pPr>
            <w:r/>
            <w:r>
              <w:rPr>
                <w:rFonts w:hint="eastAsia"/>
                <w:color w:val="000000"/>
                <w:sz w:val="21"/>
              </w:rPr>
              <w:t>独家保荐机构、联席主承销商</w:t>
            </w:r>
          </w:p>
        </w:tc>
        <w:tc>
          <w:tcPr>
            <w:tcW w:w="619" w:type="pct"/>
            <w:tcBorders>
              <w:top w:val="single" w:sz="4" w:space="0" w:color="010000"/>
            </w:tcBorders>
            <w:vAlign w:val="center"/>
          </w:tcPr>
          <w:p>
            <w:pPr>
              <w:jc w:val="center"/>
            </w:pPr>
            <w:r/>
            <w:r>
              <w:rPr>
                <w:rFonts w:hint="eastAsia"/>
                <w:color w:val="000000"/>
                <w:sz w:val="21"/>
              </w:rPr>
              <w:t>海通证券</w:t>
            </w:r>
          </w:p>
        </w:tc>
        <w:tc>
          <w:tcPr>
            <w:tcW w:w="1150" w:type="pct"/>
            <w:tcBorders>
              <w:top w:val="single" w:sz="4" w:space="0" w:color="010000"/>
            </w:tcBorders>
            <w:vAlign w:val="center"/>
          </w:tcPr>
          <w:p>
            <w:pPr>
              <w:jc w:val="left"/>
            </w:pPr>
            <w:r/>
            <w:r>
              <w:rPr>
                <w:rFonts w:hint="eastAsia"/>
                <w:color w:val="000000"/>
                <w:sz w:val="21"/>
              </w:rPr>
              <w:t>等离子体刻蚀设备与MOCVD设备</w:t>
            </w:r>
          </w:p>
        </w:tc>
      </w:tr>
      <w:tr>
        <w:trPr>
          <w:cantSplit/>
          <w:jc w:val="center"/>
        </w:trPr>
        <w:tc>
          <w:tcPr>
            <w:tcW w:w="973" w:type="pct"/>
            <w:tcBorders>
              <w:top w:val="single" w:sz="4" w:space="0" w:color="010000"/>
            </w:tcBorders>
            <w:vAlign w:val="center"/>
          </w:tcPr>
          <w:p>
            <w:pPr>
              <w:jc w:val="left"/>
            </w:pPr>
            <w:r/>
            <w:r>
              <w:rPr>
                <w:rFonts w:hint="eastAsia"/>
                <w:color w:val="000000"/>
                <w:sz w:val="21"/>
              </w:rPr>
              <w:t>上海硅产业集团</w:t>
            </w:r>
          </w:p>
        </w:tc>
        <w:tc>
          <w:tcPr>
            <w:tcW w:w="575" w:type="pct"/>
            <w:tcBorders>
              <w:top w:val="single" w:sz="4" w:space="0" w:color="010000"/>
            </w:tcBorders>
            <w:vAlign w:val="center"/>
          </w:tcPr>
          <w:p>
            <w:pPr>
              <w:jc w:val="center"/>
            </w:pPr>
            <w:r/>
            <w:r>
              <w:rPr>
                <w:rFonts w:hint="eastAsia"/>
                <w:color w:val="000000"/>
                <w:sz w:val="21"/>
              </w:rPr>
              <w:t>688126.SH</w:t>
            </w:r>
          </w:p>
        </w:tc>
        <w:tc>
          <w:tcPr>
            <w:tcW w:w="619" w:type="pct"/>
            <w:tcBorders>
              <w:top w:val="single" w:sz="4" w:space="0" w:color="010000"/>
            </w:tcBorders>
            <w:vAlign w:val="center"/>
          </w:tcPr>
          <w:p>
            <w:pPr>
              <w:jc w:val="center"/>
            </w:pPr>
            <w:r/>
            <w:r>
              <w:rPr>
                <w:rFonts w:hint="eastAsia"/>
                <w:color w:val="000000"/>
                <w:sz w:val="21"/>
              </w:rPr>
              <w:t>2020年4月20日</w:t>
            </w:r>
          </w:p>
        </w:tc>
        <w:tc>
          <w:tcPr>
            <w:tcW w:w="1062" w:type="pct"/>
            <w:tcBorders>
              <w:top w:val="single" w:sz="4" w:space="0" w:color="010000"/>
            </w:tcBorders>
            <w:vAlign w:val="center"/>
          </w:tcPr>
          <w:p>
            <w:pPr>
              <w:jc w:val="left"/>
            </w:pPr>
            <w:r/>
            <w:r>
              <w:rPr>
                <w:rFonts w:hint="eastAsia"/>
                <w:color w:val="000000"/>
                <w:sz w:val="21"/>
              </w:rPr>
              <w:t>独家保荐机构、独家主承销商</w:t>
            </w:r>
          </w:p>
        </w:tc>
        <w:tc>
          <w:tcPr>
            <w:tcW w:w="619" w:type="pct"/>
            <w:tcBorders>
              <w:top w:val="single" w:sz="4" w:space="0" w:color="010000"/>
            </w:tcBorders>
            <w:vAlign w:val="center"/>
          </w:tcPr>
          <w:p>
            <w:pPr>
              <w:jc w:val="center"/>
            </w:pPr>
            <w:r/>
            <w:r>
              <w:rPr>
                <w:rFonts w:hint="eastAsia"/>
                <w:color w:val="000000"/>
                <w:sz w:val="21"/>
              </w:rPr>
              <w:t>海通证券</w:t>
            </w:r>
          </w:p>
        </w:tc>
        <w:tc>
          <w:tcPr>
            <w:tcW w:w="1150" w:type="pct"/>
            <w:tcBorders>
              <w:top w:val="single" w:sz="4" w:space="0" w:color="010000"/>
            </w:tcBorders>
            <w:vAlign w:val="center"/>
          </w:tcPr>
          <w:p>
            <w:pPr>
              <w:jc w:val="left"/>
            </w:pPr>
            <w:r/>
            <w:r>
              <w:rPr>
                <w:rFonts w:hint="eastAsia"/>
                <w:color w:val="000000"/>
                <w:sz w:val="21"/>
              </w:rPr>
              <w:t>半导体硅片</w:t>
            </w:r>
          </w:p>
        </w:tc>
      </w:tr>
    </w:tbl>
    <w:p>
      <w:pPr>
        <w:pStyle w:val="a6"/>
        <w:jc w:val="center"/>
      </w:pPr>
      <w:r>
        <w:rPr>
          <w:rFonts w:hint="eastAsia"/>
          <w:sz w:val="11"/>
          <w:szCs w:val="11"/>
        </w:rPr>
        <w:t>资料来源：各公司招股说明书、上市保荐书、交易所公开披露文件、Wind整理成果，本报告整理。注一：“当时主体名称”为该项目发行时的保荐机构名称；国泰君安证券与海通证券于2025年3月14日合并为国泰海通证券股份有限公司，此前两家机构的在手项目已变更保荐机构为国泰海通证券；注二：本表为保荐关系，与股权投资关系分别列示，两者不合并。</w:t>
      </w:r>
    </w:p>
    <w:p>
      <w:pPr>
        <w:pStyle w:val="a0"/>
      </w:pPr>
      <w:r>
        <w:rPr>
          <w:rFonts w:hint="eastAsia"/>
        </w:rPr>
        <w:t>上表四个项目中，神工股份与无锡金源同处零部件与耗材环节，正帆科技所处的气体输送系统环节与无锡金源的精密气体喷头同在工艺气体链条上。该项目由国泰君安证券担任保荐人、主承销商，经四轮审核问询后，上海证券交易所于2019年11月6日出具上市委审议意见落实函，发行人与保荐机构于同年11月12日回复，2020年1月15日报送招股说明书（注册稿），2020年2月21日上市，募投项目拟投入募集资金总额110,200.22万元。本报告第七章所列该项目的审核关注要点，来自其四轮问询回复与落实函回复的公开文本。</w:t>
      </w:r>
    </w:p>
    <w:p>
      <w:pPr>
        <w:pStyle w:val="3"/>
        <w:numPr>
          <w:ilvl w:val="0"/>
          <w:numId w:val="0"/>
        </w:numPr>
        <w:spacing w:before="156" w:after="156"/>
      </w:pPr>
      <w:bookmarkStart w:id="1046" w:name="_Toc900046"/>
      <w:r>
        <w:rPr>
          <w:rFonts w:hint="eastAsia"/>
        </w:rPr>
        <w:t>8.3 已保荐的再融资项目</w:t>
      </w:r>
      <w:bookmarkEnd w:id="1046"/>
    </w:p>
    <w:p>
      <w:pPr>
        <w:pStyle w:val="a0"/>
      </w:pPr>
      <w:r>
        <w:rPr>
          <w:rFonts w:hint="eastAsia"/>
        </w:rPr>
        <w:t>宁波江丰电子材料股份有限公司（300666.SZ）2025年度向特定对象发行A股股票项目，由国泰海通证券担任保荐人、主承销商，募集资金总额不超过192,782.90万元，2026年3月19日经深圳证券交易所审核通过。募集资金投向包括年产5,100个集成电路设备用静电吸盘产业化项目、年产12,300个超大规模集成电路用超高纯金属溅射靶材产业化项目、上海江丰电子研发及技术服务中心项目，以及补充流动资金及偿还贷款。其中静电吸盘属半导体设备工艺零部件。</w:t>
      </w:r>
    </w:p>
    <w:p>
      <w:pPr>
        <w:pStyle w:val="3"/>
        <w:numPr>
          <w:ilvl w:val="0"/>
          <w:numId w:val="0"/>
        </w:numPr>
        <w:spacing w:before="156" w:after="156"/>
      </w:pPr>
      <w:bookmarkStart w:id="1047" w:name="_Toc900047"/>
      <w:r>
        <w:rPr>
          <w:rFonts w:hint="eastAsia"/>
        </w:rPr>
        <w:t>8.4 曾保荐但已终止的公司</w:t>
      </w:r>
      <w:bookmarkEnd w:id="1047"/>
    </w:p>
    <w:p>
      <w:pPr>
        <w:pStyle w:val="a0"/>
      </w:pPr>
      <w:r>
        <w:rPr>
          <w:rFonts w:hint="eastAsia"/>
        </w:rPr>
        <w:t>武汉新芯集成电路股份有限公司的科创板首次公开发行项目由国泰海通证券与华源证券联合保荐，2024年9月30日获上海证券交易所受理，拟募集资金48亿元。2026年5月19日，公司与两家保荐人撤回发行上市申请，上海证券交易所终止其发行上市审核。该项目为晶圆制造环节。</w:t>
      </w:r>
    </w:p>
    <w:p>
      <w:pPr>
        <w:pStyle w:val="2"/>
        <w:spacing w:before="156" w:after="156"/>
      </w:pPr>
      <w:bookmarkStart w:id="1048" w:name="_Toc900048"/>
      <w:r>
        <w:rPr>
          <w:rFonts w:hint="eastAsia"/>
          <w:b/>
        </w:rPr>
        <w:t>无锡金源的产业链定位与拜访关注要点</w:t>
      </w:r>
      <w:bookmarkEnd w:id="1048"/>
    </w:p>
    <w:p>
      <w:pPr>
        <w:pStyle w:val="3"/>
        <w:numPr>
          <w:ilvl w:val="0"/>
          <w:numId w:val="0"/>
        </w:numPr>
        <w:spacing w:before="156" w:after="156"/>
      </w:pPr>
      <w:bookmarkStart w:id="1049" w:name="_Toc900049"/>
      <w:r>
        <w:rPr>
          <w:rFonts w:hint="eastAsia"/>
        </w:rPr>
        <w:t>9.1 公司概况</w:t>
      </w:r>
      <w:bookmarkEnd w:id="1049"/>
    </w:p>
    <w:p>
      <w:pPr>
        <w:pStyle w:val="a0"/>
      </w:pPr>
      <w:r>
        <w:rPr>
          <w:rFonts w:hint="eastAsia"/>
        </w:rPr>
        <w:t>无锡金源半导体科技有限公司成立于2019年3月15日，注册地为无锡市滨湖区胡埭镇孟村路1号，法定代表人为刘亚，注册资本2,780.932万元、实缴资本2,730.932万元，登记状态为在业，国标行业分类为研究和试验发展。按企业信用信息公示，公司2025年度参保人数121人，持有高新技术企业、科技型中小企业、专精特新中小企业与企业技术中心等资质。经营范围包含半导体器件专用设备制造与销售、密封件制造、特种陶瓷制品制造与销售、电子专用材料研发制造销售、金属制品研发与制造、阀门和旋塞研发制造销售等。</w:t>
      </w:r>
    </w:p>
    <w:p>
      <w:pPr>
        <w:pStyle w:val="3"/>
        <w:numPr>
          <w:ilvl w:val="0"/>
          <w:numId w:val="0"/>
        </w:numPr>
        <w:spacing w:before="156" w:after="156"/>
      </w:pPr>
      <w:bookmarkStart w:id="1050" w:name="_Toc900050"/>
      <w:r>
        <w:rPr>
          <w:rFonts w:hint="eastAsia"/>
        </w:rPr>
        <w:t>9.2 产品体系</w:t>
      </w:r>
      <w:bookmarkEnd w:id="1050"/>
    </w:p>
    <w:p>
      <w:pPr>
        <w:keepNext/>
        <w:jc w:val="center"/>
      </w:pPr>
      <w:r>
        <w:rPr>
          <w:rFonts w:hint="eastAsia"/>
          <w:b/>
          <w:sz w:val="21"/>
        </w:rPr>
        <w:t>表15  无锡金源产品线</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745" w:type="pct"/>
            <w:tcBorders>
              <w:top w:val="single" w:sz="12" w:space="0" w:color="010000"/>
              <w:bottom w:val="single" w:sz="4" w:space="0" w:color="010000"/>
            </w:tcBorders>
            <w:vAlign w:val="center"/>
          </w:tcPr>
          <w:p>
            <w:pPr>
              <w:keepNext/>
              <w:jc w:val="center"/>
            </w:pPr>
            <w:r/>
            <w:r>
              <w:rPr>
                <w:rFonts w:hint="eastAsia"/>
                <w:b/>
                <w:color w:val="000000"/>
                <w:sz w:val="21"/>
              </w:rPr>
              <w:t>产品线</w:t>
            </w:r>
          </w:p>
        </w:tc>
        <w:tc>
          <w:tcPr>
            <w:tcW w:w="2340" w:type="pct"/>
            <w:tcBorders>
              <w:top w:val="single" w:sz="12" w:space="0" w:color="010000"/>
              <w:bottom w:val="single" w:sz="4" w:space="0" w:color="010000"/>
            </w:tcBorders>
            <w:vAlign w:val="center"/>
          </w:tcPr>
          <w:p>
            <w:pPr>
              <w:keepNext/>
              <w:jc w:val="center"/>
            </w:pPr>
            <w:r/>
            <w:r>
              <w:rPr>
                <w:rFonts w:hint="eastAsia"/>
                <w:b/>
                <w:color w:val="000000"/>
                <w:sz w:val="21"/>
              </w:rPr>
              <w:t>官网列示的型号或类别</w:t>
            </w:r>
          </w:p>
        </w:tc>
        <w:tc>
          <w:tcPr>
            <w:tcW w:w="1915" w:type="pct"/>
            <w:tcBorders>
              <w:top w:val="single" w:sz="12" w:space="0" w:color="010000"/>
              <w:bottom w:val="single" w:sz="4" w:space="0" w:color="010000"/>
            </w:tcBorders>
            <w:vAlign w:val="center"/>
          </w:tcPr>
          <w:p>
            <w:pPr>
              <w:keepNext/>
              <w:jc w:val="center"/>
            </w:pPr>
            <w:r/>
            <w:r>
              <w:rPr>
                <w:rFonts w:hint="eastAsia"/>
                <w:b/>
                <w:color w:val="000000"/>
                <w:sz w:val="21"/>
              </w:rPr>
              <w:t>在设备中的功能</w:t>
            </w:r>
          </w:p>
        </w:tc>
      </w:tr>
      <w:tr>
        <w:trPr>
          <w:cantSplit/>
          <w:jc w:val="center"/>
        </w:trPr>
        <w:tc>
          <w:tcPr>
            <w:tcW w:w="745" w:type="pct"/>
            <w:tcBorders>
              <w:top w:val="single" w:sz="4" w:space="0" w:color="010000"/>
            </w:tcBorders>
            <w:vAlign w:val="center"/>
          </w:tcPr>
          <w:p>
            <w:pPr>
              <w:jc w:val="center"/>
            </w:pPr>
            <w:r/>
            <w:r>
              <w:rPr>
                <w:rFonts w:hint="eastAsia"/>
                <w:color w:val="000000"/>
                <w:sz w:val="21"/>
              </w:rPr>
              <w:t>精密气体喷头</w:t>
            </w:r>
          </w:p>
        </w:tc>
        <w:tc>
          <w:tcPr>
            <w:tcW w:w="2340" w:type="pct"/>
            <w:tcBorders>
              <w:top w:val="single" w:sz="4" w:space="0" w:color="010000"/>
            </w:tcBorders>
            <w:vAlign w:val="center"/>
          </w:tcPr>
          <w:p>
            <w:pPr>
              <w:jc w:val="left"/>
            </w:pPr>
            <w:r/>
            <w:r>
              <w:rPr>
                <w:rFonts w:hint="eastAsia"/>
                <w:color w:val="000000"/>
                <w:sz w:val="21"/>
              </w:rPr>
              <w:t>LAM AHM 300mm、LAM STRATA 300mm、LAM Q-STRATA 300mm</w:t>
            </w:r>
          </w:p>
        </w:tc>
        <w:tc>
          <w:tcPr>
            <w:tcW w:w="1915" w:type="pct"/>
            <w:tcBorders>
              <w:top w:val="single" w:sz="4" w:space="0" w:color="010000"/>
            </w:tcBorders>
            <w:vAlign w:val="center"/>
          </w:tcPr>
          <w:p>
            <w:pPr>
              <w:jc w:val="left"/>
            </w:pPr>
            <w:r/>
            <w:r>
              <w:rPr>
                <w:rFonts w:hint="eastAsia"/>
                <w:color w:val="000000"/>
                <w:sz w:val="21"/>
              </w:rPr>
              <w:t>工艺气体进入反应腔体的通道，控制气体分布均匀性</w:t>
            </w:r>
          </w:p>
        </w:tc>
      </w:tr>
      <w:tr>
        <w:trPr>
          <w:cantSplit/>
          <w:jc w:val="center"/>
        </w:trPr>
        <w:tc>
          <w:tcPr>
            <w:tcW w:w="745" w:type="pct"/>
            <w:tcBorders>
              <w:top w:val="single" w:sz="4" w:space="0" w:color="010000"/>
            </w:tcBorders>
            <w:vAlign w:val="center"/>
          </w:tcPr>
          <w:p>
            <w:pPr>
              <w:jc w:val="center"/>
            </w:pPr>
            <w:r/>
            <w:r>
              <w:rPr>
                <w:rFonts w:hint="eastAsia"/>
                <w:color w:val="000000"/>
                <w:sz w:val="21"/>
              </w:rPr>
              <w:t>加热盘</w:t>
            </w:r>
          </w:p>
        </w:tc>
        <w:tc>
          <w:tcPr>
            <w:tcW w:w="2340" w:type="pct"/>
            <w:tcBorders>
              <w:top w:val="single" w:sz="4" w:space="0" w:color="010000"/>
            </w:tcBorders>
            <w:vAlign w:val="center"/>
          </w:tcPr>
          <w:p>
            <w:pPr>
              <w:jc w:val="left"/>
            </w:pPr>
            <w:r/>
            <w:r>
              <w:rPr>
                <w:rFonts w:hint="eastAsia"/>
                <w:color w:val="000000"/>
                <w:sz w:val="21"/>
              </w:rPr>
              <w:t>该栏目未列示具体型号</w:t>
            </w:r>
          </w:p>
        </w:tc>
        <w:tc>
          <w:tcPr>
            <w:tcW w:w="1915" w:type="pct"/>
            <w:tcBorders>
              <w:top w:val="single" w:sz="4" w:space="0" w:color="010000"/>
            </w:tcBorders>
            <w:vAlign w:val="center"/>
          </w:tcPr>
          <w:p>
            <w:pPr>
              <w:jc w:val="left"/>
            </w:pPr>
            <w:r/>
            <w:r>
              <w:rPr>
                <w:rFonts w:hint="eastAsia"/>
                <w:color w:val="000000"/>
                <w:sz w:val="21"/>
              </w:rPr>
              <w:t>承载晶圆并控制温度均匀性与稳定性</w:t>
            </w:r>
          </w:p>
        </w:tc>
      </w:tr>
      <w:tr>
        <w:trPr>
          <w:cantSplit/>
          <w:jc w:val="center"/>
        </w:trPr>
        <w:tc>
          <w:tcPr>
            <w:tcW w:w="745" w:type="pct"/>
            <w:tcBorders>
              <w:top w:val="single" w:sz="4" w:space="0" w:color="010000"/>
            </w:tcBorders>
            <w:vAlign w:val="center"/>
          </w:tcPr>
          <w:p>
            <w:pPr>
              <w:jc w:val="center"/>
            </w:pPr>
            <w:r/>
            <w:r>
              <w:rPr>
                <w:rFonts w:hint="eastAsia"/>
                <w:color w:val="000000"/>
                <w:sz w:val="21"/>
              </w:rPr>
              <w:t>O型圈</w:t>
            </w:r>
          </w:p>
        </w:tc>
        <w:tc>
          <w:tcPr>
            <w:tcW w:w="2340" w:type="pct"/>
            <w:tcBorders>
              <w:top w:val="single" w:sz="4" w:space="0" w:color="010000"/>
            </w:tcBorders>
            <w:vAlign w:val="center"/>
          </w:tcPr>
          <w:p>
            <w:pPr>
              <w:jc w:val="left"/>
            </w:pPr>
            <w:r/>
            <w:r>
              <w:rPr>
                <w:rFonts w:hint="eastAsia"/>
                <w:color w:val="000000"/>
                <w:sz w:val="21"/>
              </w:rPr>
              <w:t>自有品牌CeaLution，型号包括F7068、F7072、F5076T、F7070、F5075、F9075等，产品外观颜色不同</w:t>
            </w:r>
          </w:p>
        </w:tc>
        <w:tc>
          <w:tcPr>
            <w:tcW w:w="1915" w:type="pct"/>
            <w:tcBorders>
              <w:top w:val="single" w:sz="4" w:space="0" w:color="010000"/>
            </w:tcBorders>
            <w:vAlign w:val="center"/>
          </w:tcPr>
          <w:p>
            <w:pPr>
              <w:jc w:val="left"/>
            </w:pPr>
            <w:r/>
            <w:r>
              <w:rPr>
                <w:rFonts w:hint="eastAsia"/>
                <w:color w:val="000000"/>
                <w:sz w:val="21"/>
              </w:rPr>
              <w:t>真空腔体密封</w:t>
            </w:r>
          </w:p>
        </w:tc>
      </w:tr>
      <w:tr>
        <w:trPr>
          <w:cantSplit/>
          <w:jc w:val="center"/>
        </w:trPr>
        <w:tc>
          <w:tcPr>
            <w:tcW w:w="745" w:type="pct"/>
            <w:tcBorders>
              <w:top w:val="single" w:sz="4" w:space="0" w:color="010000"/>
            </w:tcBorders>
            <w:vAlign w:val="center"/>
          </w:tcPr>
          <w:p>
            <w:pPr>
              <w:jc w:val="center"/>
            </w:pPr>
            <w:r/>
            <w:r>
              <w:rPr>
                <w:rFonts w:hint="eastAsia"/>
                <w:color w:val="000000"/>
                <w:sz w:val="21"/>
              </w:rPr>
              <w:t>密封件门板</w:t>
            </w:r>
          </w:p>
        </w:tc>
        <w:tc>
          <w:tcPr>
            <w:tcW w:w="2340" w:type="pct"/>
            <w:tcBorders>
              <w:top w:val="single" w:sz="4" w:space="0" w:color="010000"/>
            </w:tcBorders>
            <w:vAlign w:val="center"/>
          </w:tcPr>
          <w:p>
            <w:pPr>
              <w:jc w:val="left"/>
            </w:pPr>
            <w:r/>
            <w:r>
              <w:rPr>
                <w:rFonts w:hint="eastAsia"/>
                <w:color w:val="000000"/>
                <w:sz w:val="21"/>
              </w:rPr>
              <w:t>方形门板、圆形门板</w:t>
            </w:r>
          </w:p>
        </w:tc>
        <w:tc>
          <w:tcPr>
            <w:tcW w:w="1915" w:type="pct"/>
            <w:tcBorders>
              <w:top w:val="single" w:sz="4" w:space="0" w:color="010000"/>
            </w:tcBorders>
            <w:vAlign w:val="center"/>
          </w:tcPr>
          <w:p>
            <w:pPr>
              <w:jc w:val="left"/>
            </w:pPr>
            <w:r/>
            <w:r>
              <w:rPr>
                <w:rFonts w:hint="eastAsia"/>
                <w:color w:val="000000"/>
                <w:sz w:val="21"/>
              </w:rPr>
              <w:t>腔体开合部位的密封与结构支撑</w:t>
            </w:r>
          </w:p>
        </w:tc>
      </w:tr>
    </w:tbl>
    <w:p>
      <w:pPr>
        <w:pStyle w:val="a6"/>
        <w:jc w:val="center"/>
      </w:pPr>
      <w:r>
        <w:rPr>
          <w:rFonts w:hint="eastAsia"/>
          <w:sz w:val="11"/>
          <w:szCs w:val="11"/>
        </w:rPr>
        <w:t>资料来源：公司官网产品中心，本报告整理。注：在设备中的功能一列为本报告依据同类产品的公开技术描述归纳。</w:t>
      </w:r>
    </w:p>
    <w:p>
      <w:pPr>
        <w:pStyle w:val="3"/>
        <w:numPr>
          <w:ilvl w:val="0"/>
          <w:numId w:val="0"/>
        </w:numPr>
        <w:spacing w:before="156" w:after="156"/>
      </w:pPr>
      <w:bookmarkStart w:id="1051" w:name="_Toc900051"/>
      <w:r>
        <w:rPr>
          <w:rFonts w:hint="eastAsia"/>
        </w:rPr>
        <w:t>9.3 产业链生态位</w:t>
      </w:r>
      <w:bookmarkEnd w:id="1051"/>
    </w:p>
    <w:p>
      <w:pPr>
        <w:pStyle w:val="a0"/>
      </w:pPr>
      <w:r>
        <w:rPr>
          <w:rFonts w:hint="eastAsia"/>
        </w:rPr>
        <w:t>公司四条产品线均位于设备真空腔体系统，在产业链中处于零部件制造环节，上游为材料与精密加工，下游为半导体设备厂商与晶圆厂。</w:t>
      </w:r>
    </w:p>
    <w:p>
      <w:pPr>
        <w:pStyle w:val="a0"/>
      </w:pPr>
      <w:r>
        <w:rPr>
          <w:rFonts w:hint="eastAsia"/>
        </w:rPr>
        <w:t>从产品在工艺中的作用看，公司所处环节对下游的影响是直接的。气体分配盘控制工艺气体分布的均匀性，直接影响工艺精度和晶圆良率；陶瓷加热器与晶圆直接接触，承载晶圆并控制温度均匀性和稳定性，优化材料沉积或刻蚀均匀度，提升晶圆良率；真空密封件的失效会直接影响腔体真空度与工艺环境洁净度。上述部件在设备运行中属消耗型零部件，其供应连续性与批次一致性构成晶圆厂产线运行的约束条件之一。</w:t>
      </w:r>
    </w:p>
    <w:p>
      <w:pPr>
        <w:pStyle w:val="a0"/>
      </w:pPr>
      <w:r>
        <w:rPr>
          <w:rFonts w:hint="eastAsia"/>
        </w:rPr>
        <w:t>从受影响的方向看，公司所处环节受三方面因素约束。一是需求端，若以晶圆厂为客户，订单与晶圆厂产能利用率和工艺运行时长相关；若以设备厂商为客户，订单与设备厂商的出货和资本开支相关。二是原材料端，全氟醚橡胶、氮化铝陶瓷等关键材料的供应与价格影响成本与交付，且该类材料的主要供应商为境外企业。三是客户认证端，半导体零部件需通过设备厂商或晶圆厂的验证方可批量供货，验证周期构成新进入者的时间成本。</w:t>
      </w:r>
    </w:p>
    <w:p>
      <w:pPr>
        <w:pStyle w:val="a0"/>
      </w:pPr>
      <w:r>
        <w:rPr>
          <w:rFonts w:hint="eastAsia"/>
        </w:rPr>
        <w:t>从竞争格局看，公司两条核心产品线所处的细分品类目前均由境外厂商主导。刻蚀设备用气体分配盘全球主要由日系、韩系制造商主导，国内尚无稳定量产企业；半导体陶瓷加热器主要由日本NGK／NTK、Sumitomo Electric等企业主导，国内产业化程度较低、国产化率不足10%，具备稳定量产能力的企业较少。按IC World于2020年公开的数据，20类半导体核心零部件产品的44家主要供应商全部为境外供应商。同期，国内晶圆厂向零部件厂商直接采购的比例由2024年的71.4%预计提升至2029年的80.3%，非金属零部件由70.8%提升至80.7%。</w:t>
      </w:r>
    </w:p>
    <w:p>
      <w:pPr>
        <w:pStyle w:val="3"/>
        <w:numPr>
          <w:ilvl w:val="0"/>
          <w:numId w:val="0"/>
        </w:numPr>
        <w:spacing w:before="156" w:after="156"/>
      </w:pPr>
      <w:bookmarkStart w:id="1052" w:name="_Toc900052"/>
      <w:r>
        <w:rPr>
          <w:rFonts w:hint="eastAsia"/>
        </w:rPr>
        <w:t>9.4 同环节可比公司</w:t>
      </w:r>
      <w:bookmarkEnd w:id="1052"/>
    </w:p>
    <w:p>
      <w:pPr>
        <w:keepNext/>
        <w:jc w:val="center"/>
      </w:pPr>
      <w:r>
        <w:rPr>
          <w:rFonts w:hint="eastAsia"/>
          <w:b/>
          <w:sz w:val="21"/>
        </w:rPr>
        <w:t>表16  无锡金源产品线与同环节境内上市公司</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800" w:type="pct"/>
            <w:tcBorders>
              <w:top w:val="single" w:sz="12" w:space="0" w:color="010000"/>
              <w:bottom w:val="single" w:sz="4" w:space="0" w:color="010000"/>
            </w:tcBorders>
            <w:vAlign w:val="center"/>
          </w:tcPr>
          <w:p>
            <w:pPr>
              <w:keepNext/>
              <w:jc w:val="center"/>
            </w:pPr>
            <w:r/>
            <w:r>
              <w:rPr>
                <w:rFonts w:hint="eastAsia"/>
                <w:b/>
                <w:color w:val="000000"/>
                <w:sz w:val="21"/>
              </w:rPr>
              <w:t>产品线</w:t>
            </w:r>
          </w:p>
        </w:tc>
        <w:tc>
          <w:tcPr>
            <w:tcW w:w="1500" w:type="pct"/>
            <w:tcBorders>
              <w:top w:val="single" w:sz="12" w:space="0" w:color="010000"/>
              <w:bottom w:val="single" w:sz="4" w:space="0" w:color="010000"/>
            </w:tcBorders>
            <w:vAlign w:val="center"/>
          </w:tcPr>
          <w:p>
            <w:pPr>
              <w:keepNext/>
              <w:jc w:val="center"/>
            </w:pPr>
            <w:r/>
            <w:r>
              <w:rPr>
                <w:rFonts w:hint="eastAsia"/>
                <w:b/>
                <w:color w:val="000000"/>
                <w:sz w:val="21"/>
              </w:rPr>
              <w:t>同环节境内上市公司</w:t>
            </w:r>
          </w:p>
        </w:tc>
        <w:tc>
          <w:tcPr>
            <w:tcW w:w="2700" w:type="pct"/>
            <w:tcBorders>
              <w:top w:val="single" w:sz="12" w:space="0" w:color="010000"/>
              <w:bottom w:val="single" w:sz="4" w:space="0" w:color="010000"/>
            </w:tcBorders>
            <w:vAlign w:val="center"/>
          </w:tcPr>
          <w:p>
            <w:pPr>
              <w:keepNext/>
              <w:jc w:val="center"/>
            </w:pPr>
            <w:r/>
            <w:r>
              <w:rPr>
                <w:rFonts w:hint="eastAsia"/>
                <w:b/>
                <w:color w:val="000000"/>
                <w:sz w:val="21"/>
              </w:rPr>
              <w:t>可比要点</w:t>
            </w:r>
          </w:p>
        </w:tc>
      </w:tr>
      <w:tr>
        <w:trPr>
          <w:cantSplit/>
          <w:jc w:val="center"/>
        </w:trPr>
        <w:tc>
          <w:tcPr>
            <w:tcW w:w="800" w:type="pct"/>
            <w:tcBorders>
              <w:top w:val="single" w:sz="4" w:space="0" w:color="010000"/>
            </w:tcBorders>
            <w:vAlign w:val="center"/>
          </w:tcPr>
          <w:p>
            <w:pPr>
              <w:jc w:val="center"/>
            </w:pPr>
            <w:r/>
            <w:r>
              <w:rPr>
                <w:rFonts w:hint="eastAsia"/>
                <w:color w:val="000000"/>
                <w:sz w:val="21"/>
              </w:rPr>
              <w:t>精密气体喷头</w:t>
            </w:r>
          </w:p>
        </w:tc>
        <w:tc>
          <w:tcPr>
            <w:tcW w:w="1500" w:type="pct"/>
            <w:tcBorders>
              <w:top w:val="single" w:sz="4" w:space="0" w:color="010000"/>
            </w:tcBorders>
            <w:vAlign w:val="center"/>
          </w:tcPr>
          <w:p>
            <w:pPr>
              <w:jc w:val="left"/>
            </w:pPr>
            <w:r/>
            <w:r>
              <w:rPr>
                <w:rFonts w:hint="eastAsia"/>
                <w:color w:val="000000"/>
                <w:sz w:val="21"/>
              </w:rPr>
              <w:t>托伦斯（301583.SZ）、富创精密（688409.SH）、先锋精科（688605.SH）</w:t>
            </w:r>
          </w:p>
        </w:tc>
        <w:tc>
          <w:tcPr>
            <w:tcW w:w="2700" w:type="pct"/>
            <w:tcBorders>
              <w:top w:val="single" w:sz="4" w:space="0" w:color="010000"/>
            </w:tcBorders>
            <w:vAlign w:val="center"/>
          </w:tcPr>
          <w:p>
            <w:pPr>
              <w:jc w:val="left"/>
            </w:pPr>
            <w:r/>
            <w:r>
              <w:rPr>
                <w:rFonts w:hint="eastAsia"/>
                <w:color w:val="000000"/>
                <w:sz w:val="21"/>
              </w:rPr>
              <w:t>托伦斯的匀气盘与气体分布盘为同类产品，2023年毛利率分别为27.44%与20.05%</w:t>
            </w:r>
          </w:p>
        </w:tc>
      </w:tr>
      <w:tr>
        <w:trPr>
          <w:cantSplit/>
          <w:jc w:val="center"/>
        </w:trPr>
        <w:tc>
          <w:tcPr>
            <w:tcW w:w="800" w:type="pct"/>
            <w:tcBorders>
              <w:top w:val="single" w:sz="4" w:space="0" w:color="010000"/>
            </w:tcBorders>
            <w:vAlign w:val="center"/>
          </w:tcPr>
          <w:p>
            <w:pPr>
              <w:jc w:val="center"/>
            </w:pPr>
            <w:r/>
            <w:r>
              <w:rPr>
                <w:rFonts w:hint="eastAsia"/>
                <w:color w:val="000000"/>
                <w:sz w:val="21"/>
              </w:rPr>
              <w:t>加热盘</w:t>
            </w:r>
          </w:p>
        </w:tc>
        <w:tc>
          <w:tcPr>
            <w:tcW w:w="1500" w:type="pct"/>
            <w:tcBorders>
              <w:top w:val="single" w:sz="4" w:space="0" w:color="010000"/>
            </w:tcBorders>
            <w:vAlign w:val="center"/>
          </w:tcPr>
          <w:p>
            <w:pPr>
              <w:jc w:val="left"/>
            </w:pPr>
            <w:r/>
            <w:r>
              <w:rPr>
                <w:rFonts w:hint="eastAsia"/>
                <w:color w:val="000000"/>
                <w:sz w:val="21"/>
              </w:rPr>
              <w:t>托伦斯（301583.SZ）、珂玛科技（301611.SZ）、臻宝科技（688797.SH）</w:t>
            </w:r>
          </w:p>
        </w:tc>
        <w:tc>
          <w:tcPr>
            <w:tcW w:w="2700" w:type="pct"/>
            <w:tcBorders>
              <w:top w:val="single" w:sz="4" w:space="0" w:color="010000"/>
            </w:tcBorders>
            <w:vAlign w:val="center"/>
          </w:tcPr>
          <w:p>
            <w:pPr>
              <w:jc w:val="left"/>
            </w:pPr>
            <w:r/>
            <w:r>
              <w:rPr>
                <w:rFonts w:hint="eastAsia"/>
                <w:color w:val="000000"/>
                <w:sz w:val="21"/>
              </w:rPr>
              <w:t>托伦斯的加热器2023年毛利率14.39%、2022年为-18.68%；珂玛科技与臻宝科技的陶瓷加热器属非金属路线，两家2025年主营业务毛利率分别为53.94%与49.85%</w:t>
            </w:r>
          </w:p>
        </w:tc>
      </w:tr>
      <w:tr>
        <w:trPr>
          <w:cantSplit/>
          <w:jc w:val="center"/>
        </w:trPr>
        <w:tc>
          <w:tcPr>
            <w:tcW w:w="800" w:type="pct"/>
            <w:tcBorders>
              <w:top w:val="single" w:sz="4" w:space="0" w:color="010000"/>
            </w:tcBorders>
            <w:vAlign w:val="center"/>
          </w:tcPr>
          <w:p>
            <w:pPr>
              <w:jc w:val="center"/>
            </w:pPr>
            <w:r/>
            <w:r>
              <w:rPr>
                <w:rFonts w:hint="eastAsia"/>
                <w:color w:val="000000"/>
                <w:sz w:val="21"/>
              </w:rPr>
              <w:t>O型圈、密封件门板</w:t>
            </w:r>
          </w:p>
        </w:tc>
        <w:tc>
          <w:tcPr>
            <w:tcW w:w="1500" w:type="pct"/>
            <w:tcBorders>
              <w:top w:val="single" w:sz="4" w:space="0" w:color="010000"/>
            </w:tcBorders>
            <w:vAlign w:val="center"/>
          </w:tcPr>
          <w:p>
            <w:pPr>
              <w:jc w:val="left"/>
            </w:pPr>
            <w:r/>
            <w:r>
              <w:rPr>
                <w:rFonts w:hint="eastAsia"/>
                <w:color w:val="000000"/>
                <w:sz w:val="21"/>
              </w:rPr>
              <w:t>唯万密封（301161.SZ）</w:t>
            </w:r>
          </w:p>
        </w:tc>
        <w:tc>
          <w:tcPr>
            <w:tcW w:w="2700" w:type="pct"/>
            <w:tcBorders>
              <w:top w:val="single" w:sz="4" w:space="0" w:color="010000"/>
            </w:tcBorders>
            <w:vAlign w:val="center"/>
          </w:tcPr>
          <w:p>
            <w:pPr>
              <w:jc w:val="left"/>
            </w:pPr>
            <w:r/>
            <w:r>
              <w:rPr>
                <w:rFonts w:hint="eastAsia"/>
                <w:color w:val="000000"/>
                <w:sz w:val="21"/>
              </w:rPr>
              <w:t>唯万密封主营液压气动密封产品，子公司涉及半导体用全氟醚橡胶密封件；本报告所列其余可比公司均不覆盖密封件品类，该品类亦无独立的公开市场规模统计</w:t>
            </w:r>
          </w:p>
        </w:tc>
      </w:tr>
    </w:tbl>
    <w:p>
      <w:pPr>
        <w:pStyle w:val="a6"/>
        <w:jc w:val="center"/>
      </w:pPr>
      <w:r>
        <w:rPr>
          <w:rFonts w:hint="eastAsia"/>
          <w:sz w:val="11"/>
          <w:szCs w:val="11"/>
        </w:rPr>
        <w:t>资料来源：各公司招股说明书、审核问询函回复、公司官网，本报告整理。注：产品线对应关系为本报告依据产品功能归纳。</w:t>
      </w:r>
    </w:p>
    <w:p>
      <w:pPr>
        <w:pStyle w:val="3"/>
        <w:numPr>
          <w:ilvl w:val="0"/>
          <w:numId w:val="0"/>
        </w:numPr>
        <w:spacing w:before="156" w:after="156"/>
      </w:pPr>
      <w:bookmarkStart w:id="1053" w:name="_Toc900053"/>
      <w:r>
        <w:rPr>
          <w:rFonts w:hint="eastAsia"/>
        </w:rPr>
        <w:t>9.5 拜访关注要点</w:t>
      </w:r>
      <w:bookmarkEnd w:id="1053"/>
    </w:p>
    <w:p>
      <w:pPr>
        <w:keepNext/>
        <w:jc w:val="center"/>
      </w:pPr>
      <w:r>
        <w:rPr>
          <w:rFonts w:hint="eastAsia"/>
          <w:b/>
          <w:sz w:val="21"/>
        </w:rPr>
        <w:t>表17  无锡金源拜访关注要点</w:t>
      </w:r>
    </w:p>
    <w:tbl>
      <w:tblPr>
        <w:tblW w:w="5352" w:type="pct"/>
        <w:jc w:val="center"/>
        <w:tblBorders>
          <w:top w:val="single" w:sz="12" w:space="0" w:color="010000"/>
          <w:left w:val="single" w:sz="12" w:space="0" w:color="010000"/>
          <w:bottom w:val="single" w:sz="12" w:space="0" w:color="010000"/>
          <w:right w:val="single" w:sz="12" w:space="0" w:color="010000"/>
          <w:insideH w:val="single" w:sz="4" w:space="0" w:color="010000"/>
          <w:insideV w:val="single" w:sz="4" w:space="0" w:color="010000"/>
        </w:tblBorders>
        <w:tblLook w:firstColumn="1" w:firstRow="1" w:lastColumn="0" w:lastRow="0" w:noHBand="0" w:noVBand="1" w:val="04A0"/>
      </w:tblPr>
      <w:tblGrid>
        <w:gridCol w:w="2769"/>
        <w:gridCol w:w="2769"/>
        <w:gridCol w:w="2769"/>
      </w:tblGrid>
      <w:tr>
        <w:trPr>
          <w:cantSplit/>
          <w:tblHeader/>
          <w:jc w:val="center"/>
        </w:trPr>
        <w:tc>
          <w:tcPr>
            <w:tcW w:w="636" w:type="pct"/>
            <w:tcBorders>
              <w:top w:val="single" w:sz="12" w:space="0" w:color="010000"/>
              <w:bottom w:val="single" w:sz="4" w:space="0" w:color="010000"/>
            </w:tcBorders>
            <w:vAlign w:val="center"/>
          </w:tcPr>
          <w:p>
            <w:pPr>
              <w:keepNext/>
              <w:jc w:val="center"/>
            </w:pPr>
            <w:r/>
            <w:r>
              <w:rPr>
                <w:rFonts w:hint="eastAsia"/>
                <w:b/>
                <w:color w:val="000000"/>
                <w:sz w:val="21"/>
              </w:rPr>
              <w:t>关注维度</w:t>
            </w:r>
          </w:p>
        </w:tc>
        <w:tc>
          <w:tcPr>
            <w:tcW w:w="1818" w:type="pct"/>
            <w:tcBorders>
              <w:top w:val="single" w:sz="12" w:space="0" w:color="010000"/>
              <w:bottom w:val="single" w:sz="4" w:space="0" w:color="010000"/>
            </w:tcBorders>
            <w:vAlign w:val="center"/>
          </w:tcPr>
          <w:p>
            <w:pPr>
              <w:keepNext/>
              <w:jc w:val="center"/>
            </w:pPr>
            <w:r/>
            <w:r>
              <w:rPr>
                <w:rFonts w:hint="eastAsia"/>
                <w:b/>
                <w:color w:val="000000"/>
                <w:sz w:val="21"/>
              </w:rPr>
              <w:t>具体问题</w:t>
            </w:r>
          </w:p>
        </w:tc>
        <w:tc>
          <w:tcPr>
            <w:tcW w:w="2545" w:type="pct"/>
            <w:tcBorders>
              <w:top w:val="single" w:sz="12" w:space="0" w:color="010000"/>
              <w:bottom w:val="single" w:sz="4" w:space="0" w:color="010000"/>
            </w:tcBorders>
            <w:vAlign w:val="center"/>
          </w:tcPr>
          <w:p>
            <w:pPr>
              <w:keepNext/>
              <w:jc w:val="center"/>
            </w:pPr>
            <w:r/>
            <w:r>
              <w:rPr>
                <w:rFonts w:hint="eastAsia"/>
                <w:b/>
                <w:color w:val="000000"/>
                <w:sz w:val="21"/>
              </w:rPr>
              <w:t>判断依据</w:t>
            </w:r>
          </w:p>
        </w:tc>
      </w:tr>
      <w:tr>
        <w:trPr>
          <w:cantSplit/>
          <w:jc w:val="center"/>
        </w:trPr>
        <w:tc>
          <w:tcPr>
            <w:tcW w:w="636" w:type="pct"/>
            <w:tcBorders>
              <w:top w:val="single" w:sz="4" w:space="0" w:color="010000"/>
            </w:tcBorders>
            <w:vAlign w:val="center"/>
          </w:tcPr>
          <w:p>
            <w:pPr>
              <w:jc w:val="center"/>
            </w:pPr>
            <w:r/>
            <w:r>
              <w:rPr>
                <w:rFonts w:hint="eastAsia"/>
                <w:color w:val="000000"/>
                <w:sz w:val="21"/>
              </w:rPr>
              <w:t>产品结构与毛利率</w:t>
            </w:r>
          </w:p>
        </w:tc>
        <w:tc>
          <w:tcPr>
            <w:tcW w:w="1818" w:type="pct"/>
            <w:tcBorders>
              <w:top w:val="single" w:sz="4" w:space="0" w:color="010000"/>
            </w:tcBorders>
            <w:vAlign w:val="center"/>
          </w:tcPr>
          <w:p>
            <w:pPr>
              <w:jc w:val="left"/>
            </w:pPr>
            <w:r/>
            <w:r>
              <w:rPr>
                <w:rFonts w:hint="eastAsia"/>
                <w:color w:val="000000"/>
                <w:sz w:val="21"/>
              </w:rPr>
              <w:t>四条产品线各自的收入占比与毛利率分别是多少？综合毛利率处于什么水平？各条线的毛利率近三年如何变动？</w:t>
            </w:r>
          </w:p>
        </w:tc>
        <w:tc>
          <w:tcPr>
            <w:tcW w:w="2545" w:type="pct"/>
            <w:tcBorders>
              <w:top w:val="single" w:sz="4" w:space="0" w:color="010000"/>
            </w:tcBorders>
            <w:vAlign w:val="center"/>
          </w:tcPr>
          <w:p>
            <w:pPr>
              <w:jc w:val="left"/>
            </w:pPr>
            <w:r/>
            <w:r>
              <w:rPr>
                <w:rFonts w:hint="eastAsia"/>
                <w:color w:val="000000"/>
                <w:sz w:val="21"/>
              </w:rPr>
              <w:t>可比公司毛利率按材料属性分层：2025年非金属路线的珂玛科技53.94%、臻宝科技49.85%，金属路线的先锋精科29.02%、托伦斯27.14%、京鼎精密25.14%、富创精密24.94%，含子系统与模组的超科林15.72%。单一产品的波动幅度更大，托伦斯气体分布盘毛利率由2022年40.93%降至2023年20.05%。</w:t>
            </w:r>
          </w:p>
        </w:tc>
      </w:tr>
      <w:tr>
        <w:trPr>
          <w:cantSplit/>
          <w:jc w:val="center"/>
        </w:trPr>
        <w:tc>
          <w:tcPr>
            <w:tcW w:w="636" w:type="pct"/>
            <w:tcBorders>
              <w:top w:val="single" w:sz="4" w:space="0" w:color="010000"/>
            </w:tcBorders>
            <w:vAlign w:val="center"/>
          </w:tcPr>
          <w:p>
            <w:pPr>
              <w:jc w:val="center"/>
            </w:pPr>
            <w:r/>
            <w:r>
              <w:rPr>
                <w:rFonts w:hint="eastAsia"/>
                <w:color w:val="000000"/>
                <w:sz w:val="21"/>
              </w:rPr>
              <w:t>客户结构与商业模式</w:t>
            </w:r>
          </w:p>
        </w:tc>
        <w:tc>
          <w:tcPr>
            <w:tcW w:w="1818" w:type="pct"/>
            <w:tcBorders>
              <w:top w:val="single" w:sz="4" w:space="0" w:color="010000"/>
            </w:tcBorders>
            <w:vAlign w:val="center"/>
          </w:tcPr>
          <w:p>
            <w:pPr>
              <w:jc w:val="left"/>
            </w:pPr>
            <w:r/>
            <w:r>
              <w:rPr>
                <w:rFonts w:hint="eastAsia"/>
                <w:color w:val="000000"/>
                <w:sz w:val="21"/>
              </w:rPr>
              <w:t>主要客户为晶圆厂还是设备厂商，各自收入占比多少？前五名客户集中度是多少？已进入哪些客户的合格供应商名录，验证周期多长？</w:t>
            </w:r>
          </w:p>
        </w:tc>
        <w:tc>
          <w:tcPr>
            <w:tcW w:w="2545" w:type="pct"/>
            <w:tcBorders>
              <w:top w:val="single" w:sz="4" w:space="0" w:color="010000"/>
            </w:tcBorders>
            <w:vAlign w:val="center"/>
          </w:tcPr>
          <w:p>
            <w:pPr>
              <w:jc w:val="left"/>
            </w:pPr>
            <w:r/>
            <w:r>
              <w:rPr>
                <w:rFonts w:hint="eastAsia"/>
                <w:color w:val="000000"/>
                <w:sz w:val="21"/>
              </w:rPr>
              <w:t>该环节存在两类客户结构，订单节奏与定价机制不同：富创精密、先锋精科、珂玛科技、托伦斯以设备厂商为主要客户，臻宝科技以集成电路制造厂商与显示面板厂商为主要客户。客户集中度是四家样本企业首轮问询均覆盖的事项。</w:t>
            </w:r>
          </w:p>
        </w:tc>
      </w:tr>
      <w:tr>
        <w:trPr>
          <w:cantSplit/>
          <w:jc w:val="center"/>
        </w:trPr>
        <w:tc>
          <w:tcPr>
            <w:tcW w:w="636" w:type="pct"/>
            <w:tcBorders>
              <w:top w:val="single" w:sz="4" w:space="0" w:color="010000"/>
            </w:tcBorders>
            <w:vAlign w:val="center"/>
          </w:tcPr>
          <w:p>
            <w:pPr>
              <w:jc w:val="center"/>
            </w:pPr>
            <w:r/>
            <w:r>
              <w:rPr>
                <w:rFonts w:hint="eastAsia"/>
                <w:color w:val="000000"/>
                <w:sz w:val="21"/>
              </w:rPr>
              <w:t>产品的材料与技术路线</w:t>
            </w:r>
          </w:p>
        </w:tc>
        <w:tc>
          <w:tcPr>
            <w:tcW w:w="1818" w:type="pct"/>
            <w:tcBorders>
              <w:top w:val="single" w:sz="4" w:space="0" w:color="010000"/>
            </w:tcBorders>
            <w:vAlign w:val="center"/>
          </w:tcPr>
          <w:p>
            <w:pPr>
              <w:jc w:val="left"/>
            </w:pPr>
            <w:r/>
            <w:r>
              <w:rPr>
                <w:rFonts w:hint="eastAsia"/>
                <w:color w:val="000000"/>
                <w:sz w:val="21"/>
              </w:rPr>
              <w:t>气体喷头与加热盘采用何种材料？加热盘是金属路线还是氮化铝陶瓷路线？产品的耐等离子体腐蚀性能与使用寿命指标如何？</w:t>
            </w:r>
          </w:p>
        </w:tc>
        <w:tc>
          <w:tcPr>
            <w:tcW w:w="2545" w:type="pct"/>
            <w:tcBorders>
              <w:top w:val="single" w:sz="4" w:space="0" w:color="010000"/>
            </w:tcBorders>
            <w:vAlign w:val="center"/>
          </w:tcPr>
          <w:p>
            <w:pPr>
              <w:jc w:val="left"/>
            </w:pPr>
            <w:r/>
            <w:r>
              <w:rPr>
                <w:rFonts w:hint="eastAsia"/>
                <w:color w:val="000000"/>
                <w:sz w:val="21"/>
              </w:rPr>
              <w:t>材料属性直接决定毛利率区间。碳化硅气体分配盘的使用寿命为硅气体分配盘的2至4倍；陶瓷零部件约1至3年更换一次，硅与碳化硅零部件更换周期相对更短。</w:t>
            </w:r>
          </w:p>
        </w:tc>
      </w:tr>
      <w:tr>
        <w:trPr>
          <w:cantSplit/>
          <w:jc w:val="center"/>
        </w:trPr>
        <w:tc>
          <w:tcPr>
            <w:tcW w:w="636" w:type="pct"/>
            <w:tcBorders>
              <w:top w:val="single" w:sz="4" w:space="0" w:color="010000"/>
            </w:tcBorders>
            <w:vAlign w:val="center"/>
          </w:tcPr>
          <w:p>
            <w:pPr>
              <w:jc w:val="center"/>
            </w:pPr>
            <w:r/>
            <w:r>
              <w:rPr>
                <w:rFonts w:hint="eastAsia"/>
                <w:color w:val="000000"/>
                <w:sz w:val="21"/>
              </w:rPr>
              <w:t>原材料与采购价格</w:t>
            </w:r>
          </w:p>
        </w:tc>
        <w:tc>
          <w:tcPr>
            <w:tcW w:w="1818" w:type="pct"/>
            <w:tcBorders>
              <w:top w:val="single" w:sz="4" w:space="0" w:color="010000"/>
            </w:tcBorders>
            <w:vAlign w:val="center"/>
          </w:tcPr>
          <w:p>
            <w:pPr>
              <w:jc w:val="left"/>
            </w:pPr>
            <w:r/>
            <w:r>
              <w:rPr>
                <w:rFonts w:hint="eastAsia"/>
                <w:color w:val="000000"/>
                <w:sz w:val="21"/>
              </w:rPr>
              <w:t>全氟醚橡胶、陶瓷粉体等关键原材料是自制还是外购？主要供应商的名称、规模与合作起始时间？同类材料向不同供应商的采购价格是否存在差异？</w:t>
            </w:r>
          </w:p>
        </w:tc>
        <w:tc>
          <w:tcPr>
            <w:tcW w:w="2545" w:type="pct"/>
            <w:tcBorders>
              <w:top w:val="single" w:sz="4" w:space="0" w:color="010000"/>
            </w:tcBorders>
            <w:vAlign w:val="center"/>
          </w:tcPr>
          <w:p>
            <w:pPr>
              <w:jc w:val="left"/>
            </w:pPr>
            <w:r/>
            <w:r>
              <w:rPr>
                <w:rFonts w:hint="eastAsia"/>
                <w:color w:val="000000"/>
                <w:sz w:val="21"/>
              </w:rPr>
              <w:t>臻宝科技第二轮问询被追问：原材料通过委托加工与成品采购取得、主要供应商为境外企业且多数规模较小、不存在市场价格或可比公司披露的同类采购价格可供比较；并被追问石英主要供应商成立当年即开展合作、同类材料采购价格明显低于其他供应商。</w:t>
            </w:r>
          </w:p>
        </w:tc>
      </w:tr>
      <w:tr>
        <w:trPr>
          <w:cantSplit/>
          <w:jc w:val="center"/>
        </w:trPr>
        <w:tc>
          <w:tcPr>
            <w:tcW w:w="636" w:type="pct"/>
            <w:tcBorders>
              <w:top w:val="single" w:sz="4" w:space="0" w:color="010000"/>
            </w:tcBorders>
            <w:vAlign w:val="center"/>
          </w:tcPr>
          <w:p>
            <w:pPr>
              <w:jc w:val="center"/>
            </w:pPr>
            <w:r/>
            <w:r>
              <w:rPr>
                <w:rFonts w:hint="eastAsia"/>
                <w:color w:val="000000"/>
                <w:sz w:val="21"/>
              </w:rPr>
              <w:t>产能与扩产</w:t>
            </w:r>
          </w:p>
        </w:tc>
        <w:tc>
          <w:tcPr>
            <w:tcW w:w="1818" w:type="pct"/>
            <w:tcBorders>
              <w:top w:val="single" w:sz="4" w:space="0" w:color="010000"/>
            </w:tcBorders>
            <w:vAlign w:val="center"/>
          </w:tcPr>
          <w:p>
            <w:pPr>
              <w:jc w:val="left"/>
            </w:pPr>
            <w:r/>
            <w:r>
              <w:rPr>
                <w:rFonts w:hint="eastAsia"/>
                <w:color w:val="000000"/>
                <w:sz w:val="21"/>
              </w:rPr>
              <w:t>现有产能、产能利用率与在手订单情况？是否有扩产计划，新增产能对应的客户需求测算依据？</w:t>
            </w:r>
          </w:p>
        </w:tc>
        <w:tc>
          <w:tcPr>
            <w:tcW w:w="2545" w:type="pct"/>
            <w:tcBorders>
              <w:top w:val="single" w:sz="4" w:space="0" w:color="010000"/>
            </w:tcBorders>
            <w:vAlign w:val="center"/>
          </w:tcPr>
          <w:p>
            <w:pPr>
              <w:jc w:val="left"/>
            </w:pPr>
            <w:r/>
            <w:r>
              <w:rPr>
                <w:rFonts w:hint="eastAsia"/>
                <w:color w:val="000000"/>
                <w:sz w:val="21"/>
              </w:rPr>
              <w:t>托伦斯2025年营业收入同比增长18.00%、增速较前期下滑，扣非后归母净利润较2024年略有减少，原因为扩产导致产能利用率下降、毛利率同比下滑，并在审核中心意见落实函中被要求说明产能消化风险。</w:t>
            </w:r>
          </w:p>
        </w:tc>
      </w:tr>
      <w:tr>
        <w:trPr>
          <w:cantSplit/>
          <w:jc w:val="center"/>
        </w:trPr>
        <w:tc>
          <w:tcPr>
            <w:tcW w:w="636" w:type="pct"/>
            <w:tcBorders>
              <w:top w:val="single" w:sz="4" w:space="0" w:color="010000"/>
            </w:tcBorders>
            <w:vAlign w:val="center"/>
          </w:tcPr>
          <w:p>
            <w:pPr>
              <w:jc w:val="center"/>
            </w:pPr>
            <w:r/>
            <w:r>
              <w:rPr>
                <w:rFonts w:hint="eastAsia"/>
                <w:color w:val="000000"/>
                <w:sz w:val="21"/>
              </w:rPr>
              <w:t>研发投入与核心技术</w:t>
            </w:r>
          </w:p>
        </w:tc>
        <w:tc>
          <w:tcPr>
            <w:tcW w:w="1818" w:type="pct"/>
            <w:tcBorders>
              <w:top w:val="single" w:sz="4" w:space="0" w:color="010000"/>
            </w:tcBorders>
            <w:vAlign w:val="center"/>
          </w:tcPr>
          <w:p>
            <w:pPr>
              <w:jc w:val="left"/>
            </w:pPr>
            <w:r/>
            <w:r>
              <w:rPr>
                <w:rFonts w:hint="eastAsia"/>
                <w:color w:val="000000"/>
                <w:sz w:val="21"/>
              </w:rPr>
              <w:t>近三年研发费用与占营业收入比重？核心技术的具体载体是什么？专利与非专利技术的构成？核心技术人员的界定与稳定性安排？</w:t>
            </w:r>
          </w:p>
        </w:tc>
        <w:tc>
          <w:tcPr>
            <w:tcW w:w="2545" w:type="pct"/>
            <w:tcBorders>
              <w:top w:val="single" w:sz="4" w:space="0" w:color="010000"/>
            </w:tcBorders>
            <w:vAlign w:val="center"/>
          </w:tcPr>
          <w:p>
            <w:pPr>
              <w:jc w:val="left"/>
            </w:pPr>
            <w:r/>
            <w:r>
              <w:rPr>
                <w:rFonts w:hint="eastAsia"/>
                <w:color w:val="000000"/>
                <w:sz w:val="21"/>
              </w:rPr>
              <w:t>可比公司2025年研发费用率平均5.71%，区间为1.56%至9.32%。技术先进性是四家样本企业均被问及的事项，托伦斯第二轮被要求说明高精度机械制造、焊接、表面处理三项核心工艺的技术水平。</w:t>
            </w:r>
          </w:p>
        </w:tc>
      </w:tr>
      <w:tr>
        <w:trPr>
          <w:cantSplit/>
          <w:jc w:val="center"/>
        </w:trPr>
        <w:tc>
          <w:tcPr>
            <w:tcW w:w="636" w:type="pct"/>
            <w:tcBorders>
              <w:top w:val="single" w:sz="4" w:space="0" w:color="010000"/>
            </w:tcBorders>
            <w:vAlign w:val="center"/>
          </w:tcPr>
          <w:p>
            <w:pPr>
              <w:jc w:val="center"/>
            </w:pPr>
            <w:r/>
            <w:r>
              <w:rPr>
                <w:rFonts w:hint="eastAsia"/>
                <w:color w:val="000000"/>
                <w:sz w:val="21"/>
              </w:rPr>
              <w:t>加热盘产品线</w:t>
            </w:r>
          </w:p>
        </w:tc>
        <w:tc>
          <w:tcPr>
            <w:tcW w:w="1818" w:type="pct"/>
            <w:tcBorders>
              <w:top w:val="single" w:sz="4" w:space="0" w:color="010000"/>
            </w:tcBorders>
            <w:vAlign w:val="center"/>
          </w:tcPr>
          <w:p>
            <w:pPr>
              <w:jc w:val="left"/>
            </w:pPr>
            <w:r/>
            <w:r>
              <w:rPr>
                <w:rFonts w:hint="eastAsia"/>
                <w:color w:val="000000"/>
                <w:sz w:val="21"/>
              </w:rPr>
              <w:t>该产品线目前处于什么阶段？后续规划如何？</w:t>
            </w:r>
          </w:p>
        </w:tc>
        <w:tc>
          <w:tcPr>
            <w:tcW w:w="2545" w:type="pct"/>
            <w:tcBorders>
              <w:top w:val="single" w:sz="4" w:space="0" w:color="010000"/>
            </w:tcBorders>
            <w:vAlign w:val="center"/>
          </w:tcPr>
          <w:p>
            <w:pPr>
              <w:jc w:val="left"/>
            </w:pPr>
            <w:r/>
            <w:r>
              <w:rPr>
                <w:rFonts w:hint="eastAsia"/>
                <w:color w:val="000000"/>
                <w:sz w:val="21"/>
              </w:rPr>
              <w:t>公司官网产品中心该栏目未列示具体型号。半导体陶瓷加热器全球市场2023年约14.28亿美元，预计2030年达21.56亿美元，目前主要由日本NGK／NTK、Sumitomo Electric等企业主导，国内国产化率不足10%。</w:t>
            </w:r>
          </w:p>
        </w:tc>
      </w:tr>
      <w:tr>
        <w:trPr>
          <w:cantSplit/>
          <w:jc w:val="center"/>
        </w:trPr>
        <w:tc>
          <w:tcPr>
            <w:tcW w:w="636" w:type="pct"/>
            <w:tcBorders>
              <w:top w:val="single" w:sz="4" w:space="0" w:color="010000"/>
            </w:tcBorders>
            <w:vAlign w:val="center"/>
          </w:tcPr>
          <w:p>
            <w:pPr>
              <w:jc w:val="center"/>
            </w:pPr>
            <w:r/>
            <w:r>
              <w:rPr>
                <w:rFonts w:hint="eastAsia"/>
                <w:color w:val="000000"/>
                <w:sz w:val="21"/>
              </w:rPr>
              <w:t>股权与历史沿革</w:t>
            </w:r>
          </w:p>
        </w:tc>
        <w:tc>
          <w:tcPr>
            <w:tcW w:w="1818" w:type="pct"/>
            <w:tcBorders>
              <w:top w:val="single" w:sz="4" w:space="0" w:color="010000"/>
            </w:tcBorders>
            <w:vAlign w:val="center"/>
          </w:tcPr>
          <w:p>
            <w:pPr>
              <w:jc w:val="left"/>
            </w:pPr>
            <w:r/>
            <w:r>
              <w:rPr>
                <w:rFonts w:hint="eastAsia"/>
                <w:color w:val="000000"/>
                <w:sz w:val="21"/>
              </w:rPr>
              <w:t>股东构成与历史融资情况？是否存在股权代持或对赌安排？实际控制人的认定依据？</w:t>
            </w:r>
          </w:p>
        </w:tc>
        <w:tc>
          <w:tcPr>
            <w:tcW w:w="2545" w:type="pct"/>
            <w:tcBorders>
              <w:top w:val="single" w:sz="4" w:space="0" w:color="010000"/>
            </w:tcBorders>
            <w:vAlign w:val="center"/>
          </w:tcPr>
          <w:p>
            <w:pPr>
              <w:jc w:val="left"/>
            </w:pPr>
            <w:r/>
            <w:r>
              <w:rPr>
                <w:rFonts w:hint="eastAsia"/>
                <w:color w:val="000000"/>
                <w:sz w:val="21"/>
              </w:rPr>
              <w:t>托伦斯首轮问询设历史沿革、对赌协议、高管及核心技术人员三个专项；臻宝科技首轮设历史沿革与股权结构；珂玛科技第二轮设股权清晰；中微公司第二轮设实际控制人认定及核心技术人员稳定。</w:t>
            </w:r>
          </w:p>
        </w:tc>
      </w:tr>
      <w:tr>
        <w:trPr>
          <w:cantSplit/>
          <w:jc w:val="center"/>
        </w:trPr>
        <w:tc>
          <w:tcPr>
            <w:tcW w:w="636" w:type="pct"/>
            <w:tcBorders>
              <w:top w:val="single" w:sz="4" w:space="0" w:color="010000"/>
            </w:tcBorders>
            <w:vAlign w:val="center"/>
          </w:tcPr>
          <w:p>
            <w:pPr>
              <w:jc w:val="center"/>
            </w:pPr>
            <w:r/>
            <w:r>
              <w:rPr>
                <w:rFonts w:hint="eastAsia"/>
                <w:color w:val="000000"/>
                <w:sz w:val="21"/>
              </w:rPr>
              <w:t>经营数据</w:t>
            </w:r>
          </w:p>
        </w:tc>
        <w:tc>
          <w:tcPr>
            <w:tcW w:w="1818" w:type="pct"/>
            <w:tcBorders>
              <w:top w:val="single" w:sz="4" w:space="0" w:color="010000"/>
            </w:tcBorders>
            <w:vAlign w:val="center"/>
          </w:tcPr>
          <w:p>
            <w:pPr>
              <w:jc w:val="left"/>
            </w:pPr>
            <w:r/>
            <w:r>
              <w:rPr>
                <w:rFonts w:hint="eastAsia"/>
                <w:color w:val="000000"/>
                <w:sz w:val="21"/>
              </w:rPr>
              <w:t>近三年营业收入、净利润、经营性现金流与主要财务指标？</w:t>
            </w:r>
          </w:p>
        </w:tc>
        <w:tc>
          <w:tcPr>
            <w:tcW w:w="2545" w:type="pct"/>
            <w:tcBorders>
              <w:top w:val="single" w:sz="4" w:space="0" w:color="010000"/>
            </w:tcBorders>
            <w:vAlign w:val="center"/>
          </w:tcPr>
          <w:p>
            <w:pPr>
              <w:jc w:val="left"/>
            </w:pPr>
            <w:r/>
            <w:r>
              <w:rPr>
                <w:rFonts w:hint="eastAsia"/>
                <w:color w:val="000000"/>
                <w:sz w:val="21"/>
              </w:rPr>
              <w:t>公司为非上市企业，上述数据无公开披露。</w:t>
            </w:r>
          </w:p>
        </w:tc>
      </w:tr>
    </w:tbl>
    <w:p>
      <w:pPr>
        <w:pStyle w:val="a6"/>
        <w:jc w:val="center"/>
      </w:pPr>
      <w:r>
        <w:rPr>
          <w:rFonts w:hint="eastAsia"/>
          <w:sz w:val="11"/>
          <w:szCs w:val="11"/>
        </w:rPr>
        <w:t>资料来源：各公司招股说明书、审核问询函回复、公司官网，本报告整理</w:t>
      </w:r>
    </w:p>
    <w:p>
      <w:pPr>
        <w:pStyle w:val="3"/>
        <w:numPr>
          <w:ilvl w:val="0"/>
          <w:numId w:val="0"/>
        </w:numPr>
        <w:spacing w:before="156" w:after="156"/>
      </w:pPr>
      <w:bookmarkStart w:id="1054" w:name="_Toc900054"/>
      <w:r>
        <w:rPr>
          <w:rFonts w:hint="eastAsia"/>
        </w:rPr>
        <w:t>9.6 公开信息汇总</w:t>
      </w:r>
      <w:bookmarkEnd w:id="1054"/>
    </w:p>
    <w:p>
      <w:pPr>
        <w:pStyle w:val="a0"/>
      </w:pPr>
      <w:r>
        <w:rPr>
          <w:rFonts w:hint="eastAsia"/>
        </w:rPr>
        <w:t>公司层面可核验的公开信息有三项：一是产品覆盖气体分布、温度控制与真空密封三类功能，均用于设备真空腔体系统，其中气体喷头与加热盘属参与工艺反应的部件，O型圈与密封件门板属密封部件；二是O型圈使用自有品牌牌号CeaLution，并按型号区分，产品外观颜色不同；三是精密气体喷头按300mm制程的具体机型命名。公司成立于2019年3月，2025年度参保人数121人，持有高新技术企业、科技型中小企业、专精特新中小企业与企业技术中心资质。</w:t>
      </w:r>
    </w:p>
    <w:p>
      <w:pPr>
        <w:pStyle w:val="a0"/>
      </w:pPr>
      <w:r>
        <w:rPr>
          <w:rFonts w:hint="eastAsia"/>
        </w:rPr>
        <w:t>公司所处环节的需求端，2024年国内晶圆厂零部件采购额177.2亿元，其中向零部件厂商直接采购126.6亿元、占比71.4%，按弗若斯特沙利文预测，2029年该占比升至80.3%、金额达291.8亿元。公司两条核心产品线对应的细分品类，刻蚀设备用气体分配盘2023年全球市场9.44亿美元、预计2030年达15.44亿美元，半导体陶瓷加热器2023年全球市场约14.28亿美元、预计2030年达21.56亿美元；两个品类目前均由境外厂商主导，气体分配盘国内尚无稳定量产企业，陶瓷加热器国产化率不足10%。</w:t>
      </w:r>
    </w:p>
    <w:p>
      <w:pPr>
        <w:pStyle w:val="2"/>
        <w:spacing w:before="156" w:after="156"/>
      </w:pPr>
      <w:bookmarkStart w:id="1055" w:name="_Toc900055"/>
      <w:r>
        <w:rPr>
          <w:rFonts w:hint="eastAsia"/>
          <w:b/>
        </w:rPr>
        <w:t>主要数据来源与口径说明</w:t>
      </w:r>
      <w:bookmarkEnd w:id="1055"/>
    </w:p>
    <w:p>
      <w:pPr>
        <w:pStyle w:val="a0"/>
      </w:pPr>
      <w:r>
        <w:rPr>
          <w:rFonts w:hint="eastAsia"/>
        </w:rPr>
        <w:t>本报告使用的数据分为四类。行业数据来自弗若斯特沙利文、SEMI、QY Research、IC World等机构的统计，经臻宝科技与托伦斯招股说明书列示并由中介机构核查；可比公司经营与财务数据来自Wind整理成果、托伦斯招股说明书中的同行业可比公司比较章节，以及各公司定期报告与业绩快报；产业链已上市公司名单来自臻宝科技与托伦斯招股说明书的行业内主要企业章节及各公司定期报告；审核关注要点来自五家样本企业的审核问询函回复、上市委审议意见落实函回复、审核中心意见落实函回复与招股说明书；标的公司信息来自企业信用信息公示与公司官网。</w:t>
      </w:r>
    </w:p>
    <w:p>
      <w:pPr>
        <w:pStyle w:val="a0"/>
      </w:pPr>
      <w:r>
        <w:rPr>
          <w:rFonts w:hint="eastAsia"/>
        </w:rPr>
        <w:t>口径方面，晶圆厂采购额与向零部件厂商直接采购额为两个不同口径，本报告分别列示，不作合并；毛利率因材料属性与产品形态差异较大，跨材料路线的比较均注明产品属性，不直接排序优劣；细分品类的市场规模数据基期与预测期不一致，本报告分别标注，不作横向比较；募集资金相关数据存在三种口径，本报告分别标注：托伦斯与神工股份为招股说明书列示的募投项目拟投入募集资金合计，神州半导体为招股说明书（申报稿）列示的募集资金总额，臻宝科技为发行完成后的实际募集资金总额，三者不作比较；江丰电子的192,782.90万元为向特定对象发行的募集资金总额上限，属再融资口径，不与首次公开发行的募集资金比较。同一公司在不同表中可能出现两种年度数据口径：表5为托伦斯招股说明书编制时列示的可比公司数据，其中富创精密与珂玛科技为当时的业绩快报口径；表9为各公司2025年年度报告披露的最终数据。两种口径本报告分别标注，不作相互替代，亦不作比较；Ferrotec采用其财政年度口径，与境内公司会计年度不一致，涉及该公司的数据不与其他公司直接比较。公司层面的净利率为按归母净利润除以营业收入计算，非披露值。</w:t>
      </w:r>
    </w:p>
    <w:p>
      <w:pPr>
        <w:pStyle w:val="a0"/>
      </w:pPr>
      <w:r>
        <w:rPr>
          <w:rFonts w:hint="eastAsia"/>
        </w:rPr>
        <w:t>半导体用密封件品类目前无独立的公开市场规模统计，本报告对该品类仅列示产品与厂商情况，不列示规模数据。</w:t>
      </w:r>
    </w:p>
    <w:p>
      <w:pPr>
        <w:pStyle w:val="a0"/>
      </w:pPr>
      <w:r>
        <w:rPr>
          <w:rFonts w:hint="eastAsia"/>
        </w:rPr>
        <w:t>本报告行业与可比公司数据核验至2026年8月14日，审核问询相关内容以交易所网站已公开披露的文件为准。</w:t>
      </w:r>
    </w:p>
    <w:sectPr w:rsidR="004A0C46">
      <w:pgSz w:w="11906" w:h="16838"/>
      <w:pgMar w:top="1440" w:right="1800" w:bottom="1440" w:left="1800" w:header="720" w:footer="72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06E93" w14:textId="77777777" w:rsidR="00587D39" w:rsidRDefault="00587D39">
      <w:r>
        <w:separator/>
      </w:r>
    </w:p>
  </w:endnote>
  <w:endnote w:type="continuationSeparator" w:id="0">
    <w:p w14:paraId="4850330F" w14:textId="77777777" w:rsidR="00587D39" w:rsidRDefault="0058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84E0A" w14:textId="459487C3" w:rsidR="004A0C46" w:rsidRDefault="004A0C46" w:rsidP="000E155A">
    <w:pPr>
      <w:pStyle w:val="a8"/>
      <w:jc w:val="cen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811145"/>
      <w:docPartObj>
        <w:docPartGallery w:val="Page Numbers (Bottom of Page)"/>
        <w:docPartUnique/>
      </w:docPartObj>
    </w:sdtPr>
    <w:sdtEndPr>
      <w:rPr>
        <w:rFonts w:ascii="Times New Roman" w:eastAsia="宋体" w:hAnsi="Times New Roman"/>
        <w:sz w:val="21"/>
        <w:szCs w:val="21"/>
      </w:rPr>
    </w:sdtEndPr>
    <w:sdtContent>
      <w:p w14:paraId="72B0EFA0" w14:textId="77777777" w:rsidR="000E155A" w:rsidRPr="000E155A" w:rsidRDefault="000E155A" w:rsidP="000E155A">
        <w:pPr>
          <w:pStyle w:val="a8"/>
          <w:jc w:val="center"/>
          <w:rPr>
            <w:rFonts w:ascii="Times New Roman" w:eastAsia="宋体" w:hAnsi="Times New Roman" w:hint="eastAsia"/>
            <w:sz w:val="21"/>
            <w:szCs w:val="21"/>
          </w:rPr>
        </w:pPr>
        <w:r w:rsidRPr="000E155A">
          <w:rPr>
            <w:rFonts w:ascii="Times New Roman" w:eastAsia="宋体" w:hAnsi="Times New Roman"/>
            <w:sz w:val="21"/>
            <w:szCs w:val="21"/>
          </w:rPr>
          <w:fldChar w:fldCharType="begin"/>
        </w:r>
        <w:r w:rsidRPr="000E155A">
          <w:rPr>
            <w:rFonts w:ascii="Times New Roman" w:eastAsia="宋体" w:hAnsi="Times New Roman"/>
            <w:sz w:val="21"/>
            <w:szCs w:val="21"/>
          </w:rPr>
          <w:instrText>PAGE   \* MERGEFORMAT</w:instrText>
        </w:r>
        <w:r w:rsidRPr="000E155A">
          <w:rPr>
            <w:rFonts w:ascii="Times New Roman" w:eastAsia="宋体" w:hAnsi="Times New Roman"/>
            <w:sz w:val="21"/>
            <w:szCs w:val="21"/>
          </w:rPr>
          <w:fldChar w:fldCharType="separate"/>
        </w:r>
        <w:r w:rsidRPr="000E155A">
          <w:rPr>
            <w:rFonts w:ascii="Times New Roman" w:eastAsia="宋体" w:hAnsi="Times New Roman"/>
            <w:sz w:val="21"/>
            <w:szCs w:val="21"/>
            <w:lang w:val="zh-CN"/>
          </w:rPr>
          <w:t>2</w:t>
        </w:r>
        <w:r w:rsidRPr="000E155A">
          <w:rPr>
            <w:rFonts w:ascii="Times New Roman" w:eastAsia="宋体" w:hAnsi="Times New Roman"/>
            <w:sz w:val="21"/>
            <w:szCs w:val="21"/>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E1C9" w14:textId="77777777" w:rsidR="00587D39" w:rsidRDefault="00587D39">
      <w:r>
        <w:separator/>
      </w:r>
    </w:p>
  </w:footnote>
  <w:footnote w:type="continuationSeparator" w:id="0">
    <w:p w14:paraId="50F506F9" w14:textId="77777777" w:rsidR="00587D39" w:rsidRDefault="00587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B79DB93"/>
    <w:multiLevelType w:val="singleLevel"/>
    <w:tmpl w:val="05D40FFA"/>
    <w:lvl w:ilvl="0">
      <w:start w:val="1"/>
      <w:numFmt w:val="chineseCounting"/>
      <w:suff w:val="nothing"/>
      <w:lvlText w:val="%1、"/>
      <w:lvlJc w:val="left"/>
      <w:rPr>
        <w:rFonts w:hint="eastAsia"/>
      </w:rPr>
    </w:lvl>
  </w:abstractNum>
  <w:abstractNum w:abstractNumId="1" w15:restartNumberingAfterBreak="0">
    <w:nsid w:val="211E2CC6"/>
    <w:multiLevelType w:val="multilevel"/>
    <w:tmpl w:val="54FE1F4C"/>
    <w:lvl w:ilvl="0">
      <w:start w:val="1"/>
      <w:numFmt w:val="chineseCounting"/>
      <w:lvlRestart w:val="0"/>
      <w:pStyle w:val="1"/>
      <w:suff w:val="space"/>
      <w:lvlText w:val="第%1节"/>
      <w:lvlJc w:val="left"/>
      <w:pPr>
        <w:ind w:left="0" w:firstLine="0"/>
      </w:pPr>
      <w:rPr>
        <w:rFonts w:ascii="黑体" w:eastAsia="黑体" w:hAnsi="黑体" w:hint="eastAsia"/>
        <w:b w:val="0"/>
        <w:i w:val="0"/>
        <w:sz w:val="32"/>
      </w:rPr>
    </w:lvl>
    <w:lvl w:ilvl="1">
      <w:start w:val="1"/>
      <w:numFmt w:val="chineseCounting"/>
      <w:pStyle w:val="2"/>
      <w:suff w:val="nothing"/>
      <w:lvlText w:val="%2、"/>
      <w:lvlJc w:val="left"/>
      <w:pPr>
        <w:ind w:left="0" w:firstLine="0"/>
      </w:pPr>
      <w:rPr>
        <w:rFonts w:hint="default"/>
        <w:b w:val="0"/>
        <w:i w:val="0"/>
        <w:sz w:val="28"/>
      </w:rPr>
    </w:lvl>
    <w:lvl w:ilvl="2">
      <w:start w:val="1"/>
      <w:numFmt w:val="chineseCounting"/>
      <w:pStyle w:val="3"/>
      <w:suff w:val="nothing"/>
      <w:lvlText w:val="（%3）"/>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4"/>
      <w:suff w:val="nothing"/>
      <w:lvlText w:val="%4、"/>
      <w:lvlJc w:val="left"/>
      <w:pPr>
        <w:ind w:left="0" w:firstLine="0"/>
      </w:pPr>
      <w:rPr>
        <w:rFonts w:ascii="Times New Roman" w:hAnsi="Times New Roman" w:cs="Times New Roman" w:hint="default"/>
        <w:b/>
        <w:i w:val="0"/>
        <w:sz w:val="24"/>
      </w:rPr>
    </w:lvl>
    <w:lvl w:ilvl="4">
      <w:start w:val="1"/>
      <w:numFmt w:val="decimal"/>
      <w:pStyle w:val="5"/>
      <w:suff w:val="nothing"/>
      <w:lvlText w:val="（%5）"/>
      <w:lvlJc w:val="left"/>
      <w:pPr>
        <w:ind w:left="0" w:firstLine="0"/>
      </w:pPr>
      <w:rPr>
        <w:rFonts w:hint="default"/>
        <w:b w:val="0"/>
        <w:bCs w:val="0"/>
        <w:i w:val="0"/>
        <w:iCs w:val="0"/>
        <w:caps w:val="0"/>
        <w:smallCaps w:val="0"/>
        <w:strike w:val="0"/>
        <w:dstrike w:val="0"/>
        <w:outline w:val="0"/>
        <w:shadow w:val="0"/>
        <w:emboss w:val="0"/>
        <w:imprint w:val="0"/>
        <w:noProof w:val="0"/>
        <w:vanish w:val="0"/>
        <w:spacing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6"/>
      <w:suff w:val="nothing"/>
      <w:lvlText w:val="%6）"/>
      <w:lvlJc w:val="left"/>
      <w:pPr>
        <w:ind w:left="0" w:firstLine="0"/>
      </w:pPr>
      <w:rPr>
        <w:rFonts w:ascii="Times New Roman" w:hAnsi="Times New Roman" w:cs="Times New Roman" w:hint="default"/>
        <w:b w:val="0"/>
        <w:i w:val="0"/>
        <w:sz w:val="24"/>
        <w:u w:val="none"/>
        <w:em w:val="none"/>
      </w:rPr>
    </w:lvl>
    <w:lvl w:ilvl="6">
      <w:start w:val="1"/>
      <w:numFmt w:val="decimalEnclosedCircle"/>
      <w:pStyle w:val="7"/>
      <w:suff w:val="nothing"/>
      <w:lvlText w:val="%7"/>
      <w:lvlJc w:val="left"/>
      <w:pPr>
        <w:ind w:left="0" w:firstLine="0"/>
      </w:pPr>
      <w:rPr>
        <w:rFonts w:ascii="Times New Roman" w:hAnsi="Times New Roman" w:cs="Times New Roman" w:hint="default"/>
        <w:b w:val="0"/>
        <w:i w:val="0"/>
        <w:sz w:val="24"/>
        <w:lang w:val="en-US"/>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4CFD45B3"/>
    <w:multiLevelType w:val="multilevel"/>
    <w:tmpl w:val="4718CA14"/>
    <w:lvl w:ilvl="0">
      <w:start w:val="1"/>
      <w:numFmt w:val="chineseCounting"/>
      <w:lvlRestart w:val="0"/>
      <w:suff w:val="space"/>
      <w:lvlText w:val="第%1节"/>
      <w:lvlJc w:val="left"/>
      <w:pPr>
        <w:ind w:left="0" w:firstLine="0"/>
      </w:pPr>
      <w:rPr>
        <w:rFonts w:ascii="黑体" w:eastAsia="黑体" w:hAnsi="黑体" w:hint="eastAsia"/>
        <w:b w:val="0"/>
        <w:i w:val="0"/>
        <w:sz w:val="32"/>
      </w:rPr>
    </w:lvl>
    <w:lvl w:ilvl="1">
      <w:start w:val="1"/>
      <w:numFmt w:val="chineseCounting"/>
      <w:suff w:val="nothing"/>
      <w:lvlText w:val="%2、"/>
      <w:lvlJc w:val="left"/>
      <w:pPr>
        <w:ind w:left="0" w:firstLine="0"/>
      </w:pPr>
      <w:rPr>
        <w:rFonts w:ascii="黑体" w:eastAsia="黑体" w:hAnsi="黑体" w:hint="eastAsia"/>
        <w:b w:val="0"/>
        <w:sz w:val="28"/>
      </w:rPr>
    </w:lvl>
    <w:lvl w:ilvl="2">
      <w:start w:val="1"/>
      <w:numFmt w:val="chineseCounting"/>
      <w:suff w:val="nothing"/>
      <w:lvlText w:val="（%3）"/>
      <w:lvlJc w:val="left"/>
      <w:pPr>
        <w:ind w:left="0" w:firstLine="0"/>
      </w:pPr>
      <w:rPr>
        <w:rFonts w:ascii="Times New Roman" w:hAnsi="Times New Roman" w:cs="Times New Roman"/>
        <w:b w:val="0"/>
        <w:sz w:val="24"/>
      </w:rPr>
    </w:lvl>
    <w:lvl w:ilvl="3">
      <w:start w:val="1"/>
      <w:numFmt w:val="decimal"/>
      <w:suff w:val="nothing"/>
      <w:lvlText w:val="%4、"/>
      <w:lvlJc w:val="left"/>
      <w:pPr>
        <w:ind w:left="0" w:firstLine="0"/>
      </w:pPr>
      <w:rPr>
        <w:rFonts w:ascii="Times New Roman" w:hAnsi="Times New Roman" w:cs="Times New Roman"/>
        <w:b/>
        <w:sz w:val="24"/>
      </w:rPr>
    </w:lvl>
    <w:lvl w:ilvl="4">
      <w:start w:val="1"/>
      <w:numFmt w:val="decimal"/>
      <w:suff w:val="nothing"/>
      <w:lvlText w:val="（%5）"/>
      <w:lvlJc w:val="left"/>
      <w:pPr>
        <w:ind w:left="0" w:firstLine="0"/>
      </w:pPr>
      <w:rPr>
        <w:rFonts w:ascii="Times New Roman" w:hAnsi="Times New Roman" w:cs="Times New Roman"/>
        <w:b w:val="0"/>
        <w:sz w:val="24"/>
      </w:rPr>
    </w:lvl>
    <w:lvl w:ilvl="5">
      <w:start w:val="1"/>
      <w:numFmt w:val="decimal"/>
      <w:suff w:val="nothing"/>
      <w:lvlText w:val="%6）"/>
      <w:lvlJc w:val="left"/>
      <w:pPr>
        <w:ind w:left="0" w:firstLine="0"/>
      </w:pPr>
      <w:rPr>
        <w:rFonts w:ascii="Times New Roman" w:hAnsi="Times New Roman" w:cs="Times New Roman"/>
        <w:b w:val="0"/>
        <w:sz w:val="24"/>
      </w:rPr>
    </w:lvl>
    <w:lvl w:ilvl="6">
      <w:start w:val="1"/>
      <w:numFmt w:val="decimalEnclosedCircle"/>
      <w:suff w:val="nothing"/>
      <w:lvlText w:val="%7"/>
      <w:lvlJc w:val="left"/>
      <w:pPr>
        <w:ind w:left="0" w:firstLine="0"/>
      </w:pPr>
      <w:rPr>
        <w:rFonts w:ascii="Times New Roman" w:hAnsi="Times New Roman" w:cs="Times New Roman"/>
        <w:b w:val="0"/>
        <w:sz w:val="24"/>
      </w:r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09019390">
    <w:abstractNumId w:val="0"/>
  </w:num>
  <w:num w:numId="2" w16cid:durableId="748382803">
    <w:abstractNumId w:val="1"/>
  </w:num>
  <w:num w:numId="3" w16cid:durableId="1148666522">
    <w:abstractNumId w:val="1"/>
  </w:num>
  <w:num w:numId="4" w16cid:durableId="1149790210">
    <w:abstractNumId w:val="1"/>
  </w:num>
  <w:num w:numId="5" w16cid:durableId="1733045307">
    <w:abstractNumId w:val="1"/>
  </w:num>
  <w:num w:numId="6" w16cid:durableId="138157883">
    <w:abstractNumId w:val="1"/>
  </w:num>
  <w:num w:numId="7" w16cid:durableId="1450584076">
    <w:abstractNumId w:val="1"/>
  </w:num>
  <w:num w:numId="8" w16cid:durableId="4719513">
    <w:abstractNumId w:val="1"/>
  </w:num>
  <w:num w:numId="9" w16cid:durableId="408430222">
    <w:abstractNumId w:val="2"/>
  </w:num>
  <w:num w:numId="10" w16cid:durableId="1237394881">
    <w:abstractNumId w:val="1"/>
  </w:num>
  <w:num w:numId="11" w16cid:durableId="653611128">
    <w:abstractNumId w:val="1"/>
  </w:num>
  <w:num w:numId="12" w16cid:durableId="1363748588">
    <w:abstractNumId w:val="1"/>
  </w:num>
  <w:num w:numId="13" w16cid:durableId="1630043532">
    <w:abstractNumId w:val="1"/>
  </w:num>
  <w:num w:numId="14" w16cid:durableId="972950653">
    <w:abstractNumId w:val="1"/>
  </w:num>
  <w:num w:numId="15" w16cid:durableId="1214850664">
    <w:abstractNumId w:val="1"/>
  </w:num>
  <w:num w:numId="16" w16cid:durableId="370418407">
    <w:abstractNumId w:val="1"/>
  </w:num>
  <w:num w:numId="17" w16cid:durableId="597367823">
    <w:abstractNumId w:val="1"/>
  </w:num>
  <w:num w:numId="18" w16cid:durableId="1243833782">
    <w:abstractNumId w:val="1"/>
  </w:num>
  <w:num w:numId="19" w16cid:durableId="1207722889">
    <w:abstractNumId w:val="1"/>
  </w:num>
  <w:num w:numId="20" w16cid:durableId="1554660264">
    <w:abstractNumId w:val="1"/>
  </w:num>
  <w:num w:numId="21" w16cid:durableId="1780833768">
    <w:abstractNumId w:val="1"/>
  </w:num>
  <w:num w:numId="22" w16cid:durableId="1908758277">
    <w:abstractNumId w:val="1"/>
  </w:num>
  <w:num w:numId="23" w16cid:durableId="1026911488">
    <w:abstractNumId w:val="1"/>
  </w:num>
  <w:num w:numId="24" w16cid:durableId="661542715">
    <w:abstractNumId w:val="1"/>
  </w:num>
  <w:num w:numId="25" w16cid:durableId="485240193">
    <w:abstractNumId w:val="1"/>
  </w:num>
  <w:num w:numId="26" w16cid:durableId="1799104121">
    <w:abstractNumId w:val="1"/>
  </w:num>
  <w:num w:numId="27" w16cid:durableId="1695225271">
    <w:abstractNumId w:val="1"/>
  </w:num>
  <w:num w:numId="28" w16cid:durableId="171526905">
    <w:abstractNumId w:val="1"/>
  </w:num>
  <w:num w:numId="29" w16cid:durableId="1766533285">
    <w:abstractNumId w:val="1"/>
  </w:num>
  <w:num w:numId="30" w16cid:durableId="816261382">
    <w:abstractNumId w:val="1"/>
  </w:num>
  <w:num w:numId="31" w16cid:durableId="438379917">
    <w:abstractNumId w:val="1"/>
  </w:num>
  <w:num w:numId="32" w16cid:durableId="19406082">
    <w:abstractNumId w:val="1"/>
  </w:num>
  <w:num w:numId="33" w16cid:durableId="248007036">
    <w:abstractNumId w:val="1"/>
  </w:num>
  <w:num w:numId="34" w16cid:durableId="1127120554">
    <w:abstractNumId w:val="1"/>
  </w:num>
  <w:num w:numId="35" w16cid:durableId="996304787">
    <w:abstractNumId w:val="1"/>
  </w:num>
  <w:num w:numId="36" w16cid:durableId="501506145">
    <w:abstractNumId w:val="1"/>
  </w:num>
  <w:num w:numId="37" w16cid:durableId="545683955">
    <w:abstractNumId w:val="1"/>
  </w:num>
  <w:num w:numId="38" w16cid:durableId="1273778634">
    <w:abstractNumId w:val="1"/>
  </w:num>
  <w:num w:numId="39" w16cid:durableId="845708765">
    <w:abstractNumId w:val="1"/>
  </w:num>
  <w:num w:numId="40" w16cid:durableId="426122848">
    <w:abstractNumId w:val="1"/>
  </w:num>
  <w:num w:numId="41" w16cid:durableId="856576277">
    <w:abstractNumId w:val="1"/>
  </w:num>
  <w:num w:numId="42" w16cid:durableId="20719239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embedSystemFonts/>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drawingGridVerticalSpacing w:val="156"/>
  <w:noPunctuationKerning/>
  <w:characterSpacingControl w:val="compressPunctuation"/>
  <w:updateFields w:val="true"/>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ACFBC7B2"/>
    <w:rsid w:val="00085726"/>
    <w:rsid w:val="000E155A"/>
    <w:rsid w:val="000F283C"/>
    <w:rsid w:val="0011270F"/>
    <w:rsid w:val="001349C6"/>
    <w:rsid w:val="001950A1"/>
    <w:rsid w:val="0039617E"/>
    <w:rsid w:val="004378BA"/>
    <w:rsid w:val="004A0C46"/>
    <w:rsid w:val="004F7178"/>
    <w:rsid w:val="00555E6A"/>
    <w:rsid w:val="00587D39"/>
    <w:rsid w:val="00592284"/>
    <w:rsid w:val="005E7246"/>
    <w:rsid w:val="00662F6D"/>
    <w:rsid w:val="00670B1C"/>
    <w:rsid w:val="00795354"/>
    <w:rsid w:val="007E5EB5"/>
    <w:rsid w:val="00A34D1B"/>
    <w:rsid w:val="00AE02CD"/>
    <w:rsid w:val="00E419C7"/>
    <w:rsid w:val="00EC0E9A"/>
    <w:rsid w:val="00F27C6B"/>
    <w:rsid w:val="00FF56FE"/>
    <w:rsid w:val="29F9C83D"/>
    <w:rsid w:val="33F53DC0"/>
    <w:rsid w:val="353FEB1E"/>
    <w:rsid w:val="3DF3A5E0"/>
    <w:rsid w:val="3FCF0B00"/>
    <w:rsid w:val="3FF54F6B"/>
    <w:rsid w:val="3FFCB0C0"/>
    <w:rsid w:val="5717597D"/>
    <w:rsid w:val="5CBF3D48"/>
    <w:rsid w:val="5F7BA9D3"/>
    <w:rsid w:val="64DFFEC1"/>
    <w:rsid w:val="69B5CEB2"/>
    <w:rsid w:val="69FF8DFA"/>
    <w:rsid w:val="6EFB830B"/>
    <w:rsid w:val="77CDD5AC"/>
    <w:rsid w:val="7BFB9EEF"/>
    <w:rsid w:val="7C772AB6"/>
    <w:rsid w:val="7EF8F3DE"/>
    <w:rsid w:val="7F3BEA07"/>
    <w:rsid w:val="7FDD237B"/>
    <w:rsid w:val="ACFBC7B2"/>
    <w:rsid w:val="BAD50396"/>
    <w:rsid w:val="BDBEA619"/>
    <w:rsid w:val="BFB6F836"/>
    <w:rsid w:val="BFFBB6BF"/>
    <w:rsid w:val="DCFF672D"/>
    <w:rsid w:val="DF9FA881"/>
    <w:rsid w:val="DFFC800C"/>
    <w:rsid w:val="EC255AAB"/>
    <w:rsid w:val="EDB96F0D"/>
    <w:rsid w:val="EFFF2415"/>
    <w:rsid w:val="FB9D90C9"/>
    <w:rsid w:val="FCBD6A06"/>
    <w:rsid w:val="FDD2248A"/>
    <w:rsid w:val="FEE5C490"/>
    <w:rsid w:val="FF6EC6C0"/>
    <w:rsid w:val="FFA594DA"/>
    <w:rsid w:val="FFAEF88F"/>
    <w:rsid w:val="FFCB1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0C6BCC"/>
  <w15:docId w15:val="{9B25C5D5-99CB-4FAB-AF7E-478891F1D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1" w:qFormat="1"/>
    <w:lsdException w:name="heading 2"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2" w:unhideWhenUsed="1" w:qFormat="1"/>
    <w:lsdException w:name="heading 8" w:semiHidden="1" w:unhideWhenUsed="1" w:qFormat="1"/>
    <w:lsdException w:name="heading 9" w:semiHidden="1" w:unhideWhenUsed="1" w:qFormat="1"/>
    <w:lsdException w:name="toc 1" w:uiPriority="39"/>
    <w:lsdException w:name="toc 2" w:uiPriority="39"/>
    <w:lsdException w:name="Normal Indent" w:qFormat="1"/>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62F6D"/>
    <w:pPr>
      <w:widowControl w:val="0"/>
      <w:jc w:val="both"/>
    </w:pPr>
    <w:rPr>
      <w:kern w:val="2"/>
    </w:rPr>
  </w:style>
  <w:style w:type="paragraph" w:styleId="1">
    <w:name w:val="heading 1"/>
    <w:next w:val="a0"/>
    <w:link w:val="10"/>
    <w:autoRedefine/>
    <w:uiPriority w:val="1"/>
    <w:qFormat/>
    <w:rsid w:val="000E155A"/>
    <w:pPr>
      <w:keepNext/>
      <w:keepLines/>
      <w:pageBreakBefore/>
      <w:numPr>
        <w:numId w:val="16"/>
      </w:numPr>
      <w:spacing w:beforeLines="50" w:before="50" w:afterLines="50" w:after="50" w:line="360" w:lineRule="auto"/>
      <w:jc w:val="center"/>
      <w:outlineLvl w:val="0"/>
    </w:pPr>
    <w:rPr>
      <w:rFonts w:eastAsia="黑体"/>
      <w:bCs/>
      <w:sz w:val="32"/>
      <w:szCs w:val="44"/>
    </w:rPr>
  </w:style>
  <w:style w:type="paragraph" w:styleId="2">
    <w:name w:val="heading 2"/>
    <w:next w:val="a0"/>
    <w:link w:val="20"/>
    <w:autoRedefine/>
    <w:uiPriority w:val="1"/>
    <w:qFormat/>
    <w:rsid w:val="000E155A"/>
    <w:pPr>
      <w:keepNext/>
      <w:keepLines/>
      <w:numPr>
        <w:ilvl w:val="1"/>
        <w:numId w:val="16"/>
      </w:numPr>
      <w:spacing w:beforeLines="50" w:before="50" w:afterLines="50" w:line="360" w:lineRule="auto"/>
      <w:jc w:val="both"/>
      <w:outlineLvl w:val="1"/>
    </w:pPr>
    <w:rPr>
      <w:rFonts w:eastAsia="黑体"/>
      <w:bCs/>
      <w:kern w:val="2"/>
      <w:sz w:val="28"/>
      <w:szCs w:val="32"/>
    </w:rPr>
  </w:style>
  <w:style w:type="paragraph" w:styleId="3">
    <w:name w:val="heading 3"/>
    <w:next w:val="a0"/>
    <w:link w:val="30"/>
    <w:autoRedefine/>
    <w:uiPriority w:val="1"/>
    <w:qFormat/>
    <w:rsid w:val="000F283C"/>
    <w:pPr>
      <w:keepNext/>
      <w:keepLines/>
      <w:numPr>
        <w:ilvl w:val="2"/>
        <w:numId w:val="16"/>
      </w:numPr>
      <w:spacing w:beforeLines="50" w:before="50" w:afterLines="50" w:line="360" w:lineRule="auto"/>
      <w:jc w:val="both"/>
      <w:outlineLvl w:val="2"/>
    </w:pPr>
    <w:rPr>
      <w:rFonts w:eastAsia="黑体"/>
      <w:bCs/>
      <w:color w:val="000000"/>
      <w:sz w:val="24"/>
      <w:szCs w:val="24"/>
      <w:lang w:eastAsia="ar-SA"/>
    </w:rPr>
  </w:style>
  <w:style w:type="paragraph" w:styleId="4">
    <w:name w:val="heading 4"/>
    <w:next w:val="a0"/>
    <w:link w:val="40"/>
    <w:autoRedefine/>
    <w:uiPriority w:val="1"/>
    <w:qFormat/>
    <w:rsid w:val="000E155A"/>
    <w:pPr>
      <w:keepNext/>
      <w:keepLines/>
      <w:numPr>
        <w:ilvl w:val="3"/>
        <w:numId w:val="16"/>
      </w:numPr>
      <w:spacing w:beforeLines="50" w:before="50" w:afterLines="50" w:after="50" w:line="360" w:lineRule="auto"/>
      <w:jc w:val="both"/>
      <w:outlineLvl w:val="3"/>
    </w:pPr>
    <w:rPr>
      <w:b/>
      <w:bCs/>
      <w:kern w:val="2"/>
      <w:szCs w:val="28"/>
    </w:rPr>
  </w:style>
  <w:style w:type="paragraph" w:styleId="5">
    <w:name w:val="heading 5"/>
    <w:next w:val="a0"/>
    <w:link w:val="50"/>
    <w:autoRedefine/>
    <w:uiPriority w:val="1"/>
    <w:qFormat/>
    <w:rsid w:val="000E155A"/>
    <w:pPr>
      <w:keepNext/>
      <w:keepLines/>
      <w:numPr>
        <w:ilvl w:val="4"/>
        <w:numId w:val="16"/>
      </w:numPr>
      <w:spacing w:beforeLines="50" w:before="50" w:afterLines="50" w:after="50" w:line="360" w:lineRule="auto"/>
      <w:outlineLvl w:val="4"/>
    </w:pPr>
    <w:rPr>
      <w:bCs/>
      <w:kern w:val="2"/>
      <w:szCs w:val="28"/>
    </w:rPr>
  </w:style>
  <w:style w:type="paragraph" w:styleId="6">
    <w:name w:val="heading 6"/>
    <w:next w:val="a0"/>
    <w:link w:val="60"/>
    <w:autoRedefine/>
    <w:uiPriority w:val="1"/>
    <w:qFormat/>
    <w:rsid w:val="000E155A"/>
    <w:pPr>
      <w:numPr>
        <w:ilvl w:val="5"/>
        <w:numId w:val="16"/>
      </w:numPr>
      <w:spacing w:beforeLines="50" w:before="50" w:afterLines="50" w:after="50" w:line="360" w:lineRule="auto"/>
      <w:jc w:val="both"/>
      <w:outlineLvl w:val="5"/>
    </w:pPr>
    <w:rPr>
      <w:bCs/>
      <w:kern w:val="2"/>
      <w:szCs w:val="24"/>
    </w:rPr>
  </w:style>
  <w:style w:type="paragraph" w:styleId="7">
    <w:name w:val="heading 7"/>
    <w:next w:val="a0"/>
    <w:link w:val="70"/>
    <w:autoRedefine/>
    <w:uiPriority w:val="2"/>
    <w:unhideWhenUsed/>
    <w:qFormat/>
    <w:rsid w:val="000E155A"/>
    <w:pPr>
      <w:keepNext/>
      <w:keepLines/>
      <w:numPr>
        <w:ilvl w:val="6"/>
        <w:numId w:val="16"/>
      </w:numPr>
      <w:spacing w:beforeLines="50" w:before="50" w:afterLines="50" w:after="50" w:line="360" w:lineRule="auto"/>
      <w:outlineLvl w:val="6"/>
    </w:pPr>
    <w:rPr>
      <w:bCs/>
      <w:kern w:val="2"/>
      <w:szCs w:val="24"/>
    </w:rPr>
  </w:style>
  <w:style w:type="character" w:default="1" w:styleId="a1">
    <w:name w:val="Default Paragraph Font"/>
    <w:uiPriority w:val="1"/>
    <w:semiHidden/>
    <w:unhideWhenUsed/>
  </w:style>
  <w:style w:type="table" w:default="1" w:styleId="a2">
    <w:name w:val="Normal Table"/>
    <w:uiPriority w:val="99"/>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1"/>
    <w:link w:val="1"/>
    <w:uiPriority w:val="1"/>
    <w:rsid w:val="000E155A"/>
    <w:rPr>
      <w:rFonts w:eastAsia="黑体"/>
      <w:bCs/>
      <w:sz w:val="32"/>
      <w:szCs w:val="44"/>
    </w:rPr>
  </w:style>
  <w:style w:type="paragraph" w:styleId="TOC">
    <w:name w:val="TOC Heading"/>
    <w:basedOn w:val="1"/>
    <w:next w:val="a"/>
    <w:uiPriority w:val="39"/>
    <w:unhideWhenUsed/>
    <w:qFormat/>
    <w:rsid w:val="000E155A"/>
    <w:pPr>
      <w:pageBreakBefore w:val="0"/>
      <w:numPr>
        <w:numId w:val="0"/>
      </w:numPr>
      <w:snapToGrid w:val="0"/>
      <w:spacing w:beforeLines="0" w:before="240" w:afterLines="0" w:after="0" w:line="259" w:lineRule="auto"/>
      <w:outlineLvl w:val="9"/>
    </w:pPr>
    <w:rPr>
      <w:bCs w:val="0"/>
      <w:szCs w:val="32"/>
    </w:rPr>
  </w:style>
  <w:style w:type="paragraph" w:styleId="TOC1">
    <w:name w:val="toc 1"/>
    <w:basedOn w:val="a"/>
    <w:next w:val="a"/>
    <w:autoRedefine/>
    <w:uiPriority w:val="39"/>
    <w:unhideWhenUsed/>
    <w:rsid w:val="00AE02CD"/>
    <w:pPr>
      <w:tabs>
        <w:tab w:val="right" w:leader="dot" w:pos="8299"/>
      </w:tabs>
    </w:pPr>
    <w:rPr>
      <w:rFonts w:cs="宋体"/>
      <w:b/>
      <w:bCs/>
      <w:noProof/>
    </w:rPr>
  </w:style>
  <w:style w:type="paragraph" w:styleId="TOC2">
    <w:name w:val="toc 2"/>
    <w:basedOn w:val="a"/>
    <w:next w:val="a"/>
    <w:autoRedefine/>
    <w:uiPriority w:val="39"/>
    <w:unhideWhenUsed/>
    <w:rsid w:val="000E155A"/>
    <w:pPr>
      <w:ind w:leftChars="200" w:left="420"/>
    </w:pPr>
    <w:rPr>
      <w:rFonts w:eastAsia="黑体"/>
    </w:rPr>
  </w:style>
  <w:style w:type="character" w:styleId="a5">
    <w:name w:val="Hyperlink"/>
    <w:basedOn w:val="a1"/>
    <w:uiPriority w:val="99"/>
    <w:unhideWhenUsed/>
    <w:rsid w:val="00085726"/>
    <w:rPr>
      <w:color w:val="0026E5" w:themeColor="hyperlink"/>
      <w:u w:val="single"/>
    </w:rPr>
  </w:style>
  <w:style w:type="paragraph" w:customStyle="1" w:styleId="11">
    <w:name w:val="样式1"/>
    <w:basedOn w:val="a"/>
    <w:qFormat/>
    <w:rsid w:val="000E155A"/>
    <w:pPr>
      <w:widowControl/>
      <w:spacing w:before="156" w:after="156" w:line="360" w:lineRule="auto"/>
      <w:ind w:firstLine="480"/>
    </w:pPr>
    <w:rPr>
      <w:rFonts w:ascii="宋体" w:hAnsi="宋体" w:cs="宋体"/>
      <w:szCs w:val="21"/>
    </w:rPr>
  </w:style>
  <w:style w:type="paragraph" w:styleId="a0">
    <w:name w:val="Normal Indent"/>
    <w:autoRedefine/>
    <w:qFormat/>
    <w:rsid w:val="000F283C"/>
    <w:pPr>
      <w:spacing w:beforeLines="50" w:before="50" w:line="360" w:lineRule="auto"/>
      <w:ind w:firstLineChars="200" w:firstLine="200"/>
      <w:jc w:val="both"/>
    </w:pPr>
    <w:rPr>
      <w:rFonts w:eastAsia="Times New Roman"/>
      <w:kern w:val="2"/>
      <w:sz w:val="24"/>
      <w:szCs w:val="23"/>
    </w:rPr>
  </w:style>
  <w:style w:type="character" w:customStyle="1" w:styleId="20">
    <w:name w:val="标题 2 字符"/>
    <w:basedOn w:val="a1"/>
    <w:link w:val="2"/>
    <w:uiPriority w:val="1"/>
    <w:rsid w:val="000E155A"/>
    <w:rPr>
      <w:rFonts w:eastAsia="黑体"/>
      <w:bCs/>
      <w:kern w:val="2"/>
      <w:sz w:val="28"/>
      <w:szCs w:val="32"/>
    </w:rPr>
  </w:style>
  <w:style w:type="character" w:customStyle="1" w:styleId="30">
    <w:name w:val="标题 3 字符"/>
    <w:basedOn w:val="a1"/>
    <w:link w:val="3"/>
    <w:uiPriority w:val="1"/>
    <w:rsid w:val="000F283C"/>
    <w:rPr>
      <w:rFonts w:eastAsia="黑体"/>
      <w:bCs/>
      <w:color w:val="000000"/>
      <w:sz w:val="24"/>
      <w:szCs w:val="24"/>
      <w:lang w:eastAsia="ar-SA"/>
    </w:rPr>
  </w:style>
  <w:style w:type="character" w:customStyle="1" w:styleId="40">
    <w:name w:val="标题 4 字符"/>
    <w:basedOn w:val="a1"/>
    <w:link w:val="4"/>
    <w:uiPriority w:val="1"/>
    <w:rsid w:val="000E155A"/>
    <w:rPr>
      <w:b/>
      <w:bCs/>
      <w:kern w:val="2"/>
      <w:szCs w:val="28"/>
    </w:rPr>
  </w:style>
  <w:style w:type="character" w:customStyle="1" w:styleId="50">
    <w:name w:val="标题 5 字符"/>
    <w:basedOn w:val="a1"/>
    <w:link w:val="5"/>
    <w:uiPriority w:val="1"/>
    <w:rsid w:val="000E155A"/>
    <w:rPr>
      <w:bCs/>
      <w:kern w:val="2"/>
      <w:szCs w:val="28"/>
    </w:rPr>
  </w:style>
  <w:style w:type="character" w:customStyle="1" w:styleId="60">
    <w:name w:val="标题 6 字符"/>
    <w:basedOn w:val="a1"/>
    <w:link w:val="6"/>
    <w:uiPriority w:val="1"/>
    <w:rsid w:val="000E155A"/>
    <w:rPr>
      <w:bCs/>
      <w:kern w:val="2"/>
      <w:szCs w:val="24"/>
    </w:rPr>
  </w:style>
  <w:style w:type="character" w:customStyle="1" w:styleId="70">
    <w:name w:val="标题 7 字符"/>
    <w:basedOn w:val="a1"/>
    <w:link w:val="7"/>
    <w:uiPriority w:val="2"/>
    <w:rsid w:val="000E155A"/>
    <w:rPr>
      <w:bCs/>
      <w:kern w:val="2"/>
      <w:szCs w:val="24"/>
    </w:rPr>
  </w:style>
  <w:style w:type="paragraph" w:customStyle="1" w:styleId="a6">
    <w:name w:val="表格后说明"/>
    <w:next w:val="a0"/>
    <w:autoRedefine/>
    <w:uiPriority w:val="3"/>
    <w:qFormat/>
    <w:rsid w:val="00F27C6B"/>
    <w:pPr>
      <w:jc w:val="both"/>
    </w:pPr>
    <w:rPr>
      <w:kern w:val="2"/>
      <w:sz w:val="21"/>
      <w:szCs w:val="28"/>
    </w:rPr>
  </w:style>
  <w:style w:type="paragraph" w:customStyle="1" w:styleId="a7">
    <w:name w:val="表格前单位"/>
    <w:next w:val="a0"/>
    <w:autoRedefine/>
    <w:uiPriority w:val="2"/>
    <w:qFormat/>
    <w:rsid w:val="000E155A"/>
    <w:pPr>
      <w:keepNext/>
      <w:jc w:val="right"/>
    </w:pPr>
    <w:rPr>
      <w:kern w:val="2"/>
      <w:szCs w:val="24"/>
    </w:rPr>
  </w:style>
  <w:style w:type="paragraph" w:styleId="a8">
    <w:name w:val="footer"/>
    <w:basedOn w:val="a"/>
    <w:link w:val="a9"/>
    <w:uiPriority w:val="99"/>
    <w:unhideWhenUsed/>
    <w:rsid w:val="000E155A"/>
    <w:pPr>
      <w:widowControl/>
      <w:tabs>
        <w:tab w:val="center" w:pos="4680"/>
        <w:tab w:val="right" w:pos="9360"/>
      </w:tabs>
      <w:jc w:val="left"/>
    </w:pPr>
    <w:rPr>
      <w:rFonts w:asciiTheme="minorHAnsi" w:eastAsiaTheme="minorEastAsia" w:hAnsiTheme="minorHAnsi"/>
      <w:kern w:val="0"/>
      <w:sz w:val="22"/>
      <w:szCs w:val="22"/>
    </w:rPr>
  </w:style>
  <w:style w:type="character" w:customStyle="1" w:styleId="a9">
    <w:name w:val="页脚 字符"/>
    <w:basedOn w:val="a1"/>
    <w:link w:val="a8"/>
    <w:uiPriority w:val="99"/>
    <w:rsid w:val="000E155A"/>
    <w:rPr>
      <w:rFonts w:asciiTheme="minorHAnsi" w:eastAsiaTheme="minorEastAsia" w:hAnsiTheme="minorHAnsi"/>
      <w:sz w:val="22"/>
      <w:szCs w:val="22"/>
    </w:rPr>
  </w:style>
  <w:style w:type="paragraph" w:styleId="aa">
    <w:name w:val="header"/>
    <w:basedOn w:val="a"/>
    <w:link w:val="ab"/>
    <w:rsid w:val="000E155A"/>
    <w:pPr>
      <w:tabs>
        <w:tab w:val="center" w:pos="4153"/>
        <w:tab w:val="right" w:pos="8306"/>
      </w:tabs>
      <w:snapToGrid w:val="0"/>
      <w:jc w:val="center"/>
    </w:pPr>
    <w:rPr>
      <w:sz w:val="18"/>
      <w:szCs w:val="18"/>
    </w:rPr>
  </w:style>
  <w:style w:type="character" w:customStyle="1" w:styleId="ab">
    <w:name w:val="页眉 字符"/>
    <w:basedOn w:val="a1"/>
    <w:link w:val="aa"/>
    <w:rsid w:val="000E155A"/>
    <w:rPr>
      <w:kern w:val="2"/>
      <w:sz w:val="18"/>
      <w:szCs w:val="18"/>
    </w:rPr>
  </w:style>
  <w:style w:type="paragraph" w:styleId="ac">
    <w:name w:val="Body Text Indent"/>
    <w:basedOn w:val="a"/>
    <w:link w:val="ad"/>
    <w:rsid w:val="000F283C"/>
    <w:pPr>
      <w:spacing w:after="120"/>
      <w:ind w:leftChars="200" w:left="420"/>
    </w:pPr>
  </w:style>
  <w:style w:type="character" w:customStyle="1" w:styleId="ad">
    <w:name w:val="正文文本缩进 字符"/>
    <w:basedOn w:val="a1"/>
    <w:link w:val="ac"/>
    <w:rsid w:val="000F283C"/>
    <w:rPr>
      <w:kern w:val="2"/>
    </w:rPr>
  </w:style>
  <w:style w:type="paragraph" w:styleId="12">
    <w:name w:val="index 1"/>
    <w:basedOn w:val="a"/>
    <w:next w:val="a"/>
    <w:autoRedefine/>
    <w:rsid w:val="000F283C"/>
  </w:style>
  <w:style w:type="paragraph" w:styleId="ae">
    <w:name w:val="index heading"/>
    <w:basedOn w:val="a"/>
    <w:next w:val="12"/>
    <w:rsid w:val="000F283C"/>
    <w:rPr>
      <w:rFonts w:asciiTheme="majorHAnsi" w:eastAsiaTheme="majorEastAsia" w:hAnsiTheme="majorHAnsi" w:cstheme="majorBidi"/>
      <w:b/>
      <w:bCs/>
    </w:rPr>
  </w:style>
  <w:style w:type="character" w:styleId="af">
    <w:name w:val="Strong"/>
    <w:basedOn w:val="a1"/>
    <w:qFormat/>
    <w:rsid w:val="00670B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B6E4C-15A4-441E-96C7-705407B4C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2508</Words>
  <Characters>14298</Characters>
  <Application>Microsoft Office Word</Application>
  <DocSecurity>0</DocSecurity>
  <Lines>119</Lines>
  <Paragraphs>33</Paragraphs>
  <ScaleCrop>false</ScaleCrop>
  <Company/>
  <LinksUpToDate>false</LinksUpToDate>
  <CharactersWithSpaces>16773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Wayne</dc:creator>
  <cp:lastModifiedBy>jack chan</cp:lastModifiedBy>
  <cp:revision>19</cp:revision>
  <dcterms:created xsi:type="dcterms:W3CDTF">2026-08-07T18:08:00Z</dcterms:created>
  <dcterms:modified xsi:type="dcterms:W3CDTF">2026-08-07T03:23:00Z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2052-6.2.0.8299</vt:lpwstr>
  </property>
  <property fmtid="{D5CDD505-2E9C-101B-9397-08002B2CF9AE}" pid="3" name="ICV">
    <vt:lpwstr>764EF9BCEDFD4B753EE5746A73860050_43</vt:lpwstr>
  </property>
</Properties>
</file>