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统一社会信用代码</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系发行人控股股东燕京啤酒控制的企业，同时为发行人参股公司；发行人持有其33.00%股权并按权益法核算，未纳入合并报表范围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最终控制方</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北京控股集团有限公司，与发行人最终控制方一致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注：中发邢台原法定代表人为孟庆民。根据其2025年第二次临时股东会决议，2025年12月变更为兰善锋，同期撤销监事或监事会并重新制定公司章程。其2025年度审计报告所载为变更前信息。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发行人主营纳豆及纳豆衍生产品的研发、生产和销售，2024年度、2025年度主营业务收入均来源于纳豆类产品。中发邢台主营业务为纳豆及纳豆制品的生产和销售，2025年度主营业务收入10,040.69万元，亦全部来源于纳豆类产品。其中纳福多肽类3,187.67万元，肠溶型胶囊类4,450.05万元，羊乳粉类1,595.44万元，纳豆胶囊688.14万元，大粒纳豆119.40万元。上述产品与发行人在售的燕京纳福多肽、1*2肠溶型胶囊礼盒（80粒）、有机全脂羊乳粉、大粒36盒属于同类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方面。根据尽调访谈情况，中发邢台的日常生产经营由发行人团队负责，双方在人员配置及经营决策上未作实质区隔。中发邢台自身未建立独立的采购、生产、销售管理体系，其经营安排与发行人统一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关系方面。发行人存在向中发邢台采购产成品后对外销售的情形。截至2026年6月30日，发行人库存商品—纳豆科目下设有邢台燕京纳福多肽特膳、邢台燕京1*2肠溶型纳豆胶囊80粒、邢台有机全脂羊乳粉、邢台大粒纳豆36盒等明细科目，同期库存商品中外购部分账面余额2,018.78万元。上述采购的具体金额及定价依据，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截至2026年6月30日长期股权投资账面余额3,311.41万元，其中投资成本3,300.00万元、损益调整11.41万元。该损益调整金额为中发邢台2024年度净利润34.57万元的33.00%。2025年度及2026年1-6月，发行人未确认应享有的中发邢台净损益份额，2026年6月30日利润表中投资收益项目为零，长期股权投资账面余额自2024年末未发生变动。按中发邢台2025年度净利润2,213.62万元、2026年1-6月净利润601.51万元测算，应补计的投资收益分别为730.49万元和198.50万元，合计928.99万元。该金额相应影响长期股权投资、净利润及净资产。上述测算未考虑双方内部交易未实现损益的抵销。该事项属前期差错，具体金额需经会计师核实。重组完成后中发邢台纳入合并报表范围，该事项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注：发行人2026年1-6月毛利根据其2026年6月30日利润表营业收入20,814.62万元、营业成本9,890.45万元计算，毛利率为52.48%。中发邢台2024年度、2025年度数据取自其审计报告，2026年1-6月数据取自其财务报表，未经审计。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同业竞争的认定遵循实质重于形式原则，结合历史沿革、资产、人员、主营业务、客户及供应商等因素综合判断。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从产品看，双方主营业务均为纳豆及纳豆制品，在纳福多肽、肠溶型纳豆胶囊、羊乳粉等主要品类上完全重合。从生产看，双方采用相同的生产工艺，面向相同的终端市场。从渠道与品牌看，双方均使用燕京品牌，销售渠道亦无明确划分。从人员看，日常经营由同一团队负责。上述情形难以通过划分销售区域、客户群体或产品类别的方式予以区隔。按照实质重于形式原则，中发邢台与发行人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2024年度、2025年度和2026年1-6月，中发邢台同类业务收入占发行人营业收入的比例分别为2.43%、23.12%和14.11%，毛利占比分别为2.23%、19.71%和14.05%。中发邢台于2024年5月设立，2025年度为其投产后首个完整年度，当年收入10,043.02万元。截至2026年6月30日，其在建工程余额5,924.02万元，产能仍在释放过程中。随着产能落地，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在实务中，除量化指标外，审核还关注竞争业务与发行人主营业务的相关程度、双方在客户与供应商上的重合情况，以及是否存在利益输送的可能。本次申报涉及燕京啤酒分拆子公司上市，审核对上市公司体系内的资产与业务安排关注度较高。发行人与中发邢台之间存在关联采购、共用经营团队及品牌的情形，该等情形同时涉及同业竞争、关联交易及独立性三个方面，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④中发邢台生产经营所使用土地的权属登记在燕京啤酒名下，详见本节4、土地收购。同业竞争的解决方案需与土地权属整合统筹安排。</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①方案概况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支付对价收购中发邢台控股权，不涉及现金支付。交易完成后，中发邢台由发行人持股100%，燕京啤酒在发行人层面的持股比例相应提升，燕京集团与食品发酵研究院持股比例被动稀释，发行人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与以现金支付对价的方案相比，股权支付方案的差异在于三点。一是不占用发行人经营资金，不影响在建产能投入。二是股权支付比例为100%，满足企业重组特殊性税务处理关于股权支付不低于85%的条件，燕京啤酒转让所得可以递延，详见④税费测算。三是控股股东持股比例提升，有利于分拆上市后控制权的稳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本次重组仅涉及中发邢台股权的划入，不涉及发行人现有业务、资产的划出，无需通过分立、资产剥离等方式实现，交易结构相对简单。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②交易完成后的股权架构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对应作价8,609.30万元。以发行人同期账面净资产30,950.09万元、注册资本4,000.00万元测算，每1.00元注册资本对应净资产7.7375元，燕京啤酒新增出资额1,112.67万元。交易前后发行人股权结构模拟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注：上述测算以账面净资产为基础，仅为方案示意。实际交易作价及股权比例以经国资监管部门备案的资产评估结果为准。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后续拟通过混合所有制改革引入战略投资者并实施员工持股，两项交易均涉及发行人股权结构变动，建议统筹安排先后顺序，先实施中发邢台股权注入，再实施混改增资。理由有三。一是股权注入完成后上市主体业务、资产完整，战略投资者的估值基础更为真实。二是可避免战略投资者及员工持股平台入股后再由控股股东注入关联资产，减少后续沟通及审批环节。三是可将两项交易的审计、评估基准日统一，一次审计评估同时服务于股权注入与混改清产核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本次交易双方均为国有控股企业，交易标的为国有股权，须履行审计、评估、备案及国资审批程序。主要环节如下：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专项审计。聘请具有证券期货相关业务资格的会计师事务所，以确定的评估基准日对中发邢台出具专项审计报告，作为资产评估的账面依据。发行人混改事项拟以2026年7月底为清产核资审计基准日，建议将本次重组的审计基准日与之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资产评估及备案。根据《企业国有资产评估管理暂行办法》（国务院国资委令第12号），企业发生非上市公司国有股东股权比例变动、以非货币资产对外投资等行为的，应当对相关资产进行评估，评估项目实行核准制和备案制。本次交易涉及上述两种情形，须聘请具有证券期货相关业务资格的评估机构对中发邢台股东全部权益价值出具评估报告，并报国资监管部门备案，以经备案的评估结果作为定价依据。中发邢台在建工程金额较大、产能尚未完全释放，评估方法建议采用资产基础法与收益法相结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交易方式的确定。根据《企业国有资产交易监督管理办法》（国务院国资委、财政部令第32号），企业增资原则上应当通过产权交易机构公开进行；因国有资本布局结构调整需要、由特定的国有及国有控股企业参与增资的，经国家出资企业审议决策后可以采取非公开协议方式。本次由控股股东以其持有的股权对发行人增资，属于同一国家出资企业体系内部的资源整合，具备采取非公开协议方式的政策基础。该环节直接影响重组周期，建议在方案启动前即与北控集团、北京市国资委及北京产权交易所进行专项沟通，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内部决策及审批。中发邢台、发行人及燕京啤酒分别召开董事会、股东会审议本次交易，关联方回避表决。方案经燕京啤酒审议后逐级报北控集团审核，并报北京市国资委批准或备案。燕京啤酒作为A股上市公司，需按上市公司信息披露相关规定履行内部审议及披露程序。该交易对燕京啤酒属于合并报表范围内部的架构调整，对发行人则构成与控股股东之间的关联交易，两个层面的程序应同步履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第五，工商变更登记。取得国资审批文件后，签署增资协议及公司章程修正案，办理中发邢台股东变更登记及发行人注册资本、股东变更登记，完成交割。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以中发邢台2026年6月30日账面净资产的67.00%即8,609.30万元作为模拟交易作价，燕京啤酒取得该部分股权的计税基础为其实缴出资额6,700.00万元。本次交易涉及的主要税种及测算情况如下：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00"/>
        <w:gridCol w:w="2600"/>
        <w:gridCol w:w="2600"/>
        <w:gridCol w:w="2100"/>
        <w:gridCol w:w="2125"/>
      </w:tblGrid>
      <w:tr>
        <w:trPr>
          <w:trHeight w:val="397" w:hRule="atLeast"/>
          <w:jc w:val="center"/>
        </w:trPr>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2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税费缴纳规则</w:t>
            </w:r>
          </w:p>
        </w:tc>
        <w:tc>
          <w:tcPr>
            <w:tcW w:w="21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税务成本测算情况</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《财政部 国家税务总局关于企业重组业务企业所得税处理若干问题的通知》（财税〔2009〕59号）规定，股权收购适用特殊性税务处理须同时满足五项条件：①具有合理的商业目的，且不以减少、免除或推迟缴纳税款为主要目的；②收购企业购买的股权不低于被收购企业全部股权的50%；③企业重组后的连续12个月内不改变重组资产原来的实质性经营活动；④收购企业在股权收购发生时的股权支付金额不低于其交易支付总额的85%；⑤取得股权支付的原主要股东，在重组后连续12个月内不得转让所取得的股权。</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逐项对照：①本次重组用于消除同业竞争、完善上市主体资产与业务结构，商业目的合理；②本次收购中发邢台67.00%股权，高于50%；③重组后中发邢台继续从事纳豆及纳豆制品的生产销售；④本次对价100%以发行人自身股权支付，高于85%；⑤燕京啤酒取得的发行人股权在重组后12个月内不转让，与分拆上市的持股安排不冲突。五项条件预计均可满足。</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满足全部条件的，燕京啤酒暂不确认股权转让所得，其取得的发行人股权计税基础以被转让股权的原计税基础确定，实现所得税递延；②不满足条件的，燕京啤酒按公允价值确认股权转让所得并缴纳25%企业所得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适用特殊性税务处理的，预计为0万元；②适用一般性税务处理的，股权转让所得1,909.30万元，预计企业所得税477.32万元。建议在方案报批前就特殊性税务处理的适用性与主管税务机关沟通，并按规定履行备案手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本次交易标的为中发邢台股权，不属于增值税应税行为。</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土地增值税的征税对象为转让国有土地使用权、地上建筑物及其附着物并取得收入的行为。</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本次交易为股权转让，中发邢台名下房屋建筑物及在建工程的权属未发生转移，其账面亦无土地使用权，不属于土地增值税征税范围。</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不征收土地增值税。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预计为0万元。土地收购事项单独涉及土地增值税，详见本节4、土地收购。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契税的征税对象为土地、房屋权属的转移。</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本次交易为股权转让，不涉及土地、房屋权属转移。</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不征收契税。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股权转让书据按产权转移书据征收印花税，税率为万分之五，由立据双方分别缴纳。符合规定的企业改制重组情形可享受相应优惠。</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本次增资涉及股权转让书据及发行人资金账簿。能否适用企业改制重组印花税优惠政策，需与主管税务机关确认。</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①不适用优惠的，双方按所载金额分别缴纳；②适用优惠的，按相关规定执行。</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按模拟作价8,609.30万元测算，双方各约4.30万元，合计约8.61万元。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适用特殊性税务处理的，预计税费合计约8.61万元；适用一般性税务处理的，预计合计约485.93万元。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注：上述为以账面净资产为基础的模拟测算，仅供参考。实际税务成本以经备案的评估结果确定的交易作价为基础，并参考主管税务机关意见另行测算。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除税费成本外，本次重组还将发生审计费、评估费、法律服务费及工商变更服务费等中介机构费用，预计约100万元，属一次性支出，具体以各中介机构报价为准。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⑤重组对发行人财务报表的影响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会计处理上，按被合并方在最终控制方合并财务报表中的账面价值计量，不产生商誉，并对合并财务报表的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注1：模拟合并采用简单加总方式，已抵销发行人对中发邢台的长期股权投资3,300.00万元，未抵销双方之间的内部销售及内部往来款项，实际合并数据以会计师核算结果为准。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2：中发邢台自2024年5月设立起即由燕京啤酒控制，追溯调整后各期归属于母公司股东的净利润为中发邢台100%的净利润。根据《公开发行证券的公司信息披露解释性公告第1号——非经常性损益》，同一控制下企业合并产生的子公司期初至合并日的当期净损益属于非经常性损益，计算合并当期扣除非经常性损益后的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按照北交所关于发行人报告期内实施重大资产重组的审核口径，需测算购买资产的资产总额、营业收入及净利润占发行人重组前相应指标的比例。以2025年度经审计数据测算，中发邢台上述三项指标占比分别为33.73%、23.12%和16.59%，均低于100%，初步判断无需在重组完成后运行一个完整会计年度。以2026年6月末数据测算，中发邢台资产总额占比为54.85%，主要系其2026年上半年其他应收款（内部资金往来）由3,952.53万元增加至16,640.95万元所致。建议在重组实施前先行清理中发邢台与集团内部的资金往来，清理后中发邢台资产总额约10,587.40万元、占比约21.33%。该项清理同时有助于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⑥实施步骤及时间安排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建议按四个阶段推进，全程留痕，确保重组完成后运营稳定、合规可核查。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阶段，方案论证与预沟通，建议于2026年8-9月完成。成立专项工作小组，统筹发行人财务、法务、业务部门与各中介机构。就本次增资采取非公开协议方式的适用性、评估备案路径及审批权限，与北控集团、北京市国资委及北京产权交易所开展预沟通并取得明确意见。就特殊性税务处理的适用性与主管税务机关沟通。同步核查中发邢台的股权权属是否清晰、有无质押冻结，以及土地、房产、资质等资产权属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阶段，审计评估与方案固化，建议于2026年9-10月完成。以统一基准日完成中发邢台专项审计及资产评估，出具审计报告、评估报告并完成国资备案。据以确定交易作价、新增注册资本及交易后股权结构。拟定增资协议、公司章程修正案等法律文件。同步完成中发邢台内部资金往来的清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阶段，内部决策与国资审批，建议于2026年10-11月完成。中发邢台、发行人及燕京啤酒分别履行董事会、股东会决策程序，关联方回避表决。燕京啤酒按上市公司规则履行审议及信息披露程序。方案逐级报北控集团审核并报北京市国资委批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阶段，交割与整合，建议于2026年11-12月完成。签署正式协议，完成中发邢台股东变更登记及发行人注册资本、股东变更登记。完成财务并表及账务调整。整合双方的采购、生产、销售、研发体系及内控制度。留存全套交易资料、决策文件及审批文件，以备IPO审核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按上述安排，本次重组可在发行人股改基准日（2026年10月31日）前后完成主体程序，建议最迟于2026年12月股份制改造完成前实施完毕，使股份制改造以整合后的主体架构为基础。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第一，全面排查其他潜在同业主体。对燕京啤酒、燕京集团、北控集团及其控制的其他企业进行排查，核查是否存在其他从事纳豆及大健康食品业务的主体，一并纳入整合方案或作出说明。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第二，取得避免同业竞争承诺。取得控股股东燕京啤酒、股东燕京集团及实际控制人北控集团出具的《关于避免同业竞争的承诺函》，明确承诺内容、约束范围、违约责任及有效期限。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规范过渡期交易。在重组交割完成前，规范发行人与中发邢台之间的产品采购、品牌使用、人员借用及资金往来，签署书面协议并按公允价格定价，保留交易单据。同时完整保存中发邢台的财务资料及生产经营记录，便于后续纳入合并报表及中介机构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核查发行条件的持续满足。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同时结合《上市公司分拆规则（试行）》的相关条件，核查本次资产注入对燕京啤酒分拆发行人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中发邢台的生产经营场所位于河北省邢台市南和区城西工业园区和鼎路19号，即燕京健康产业园（邢台）一期纳豆智能工厂。经尽调了解，中发邢台生产经营实际使用的土地约300亩，该宗土地的使用权登记在燕京啤酒名下，中发邢台不拥有该等土地的使用权。据了解，该宗土地系以出让方式取得，截至目前尚未取得不动产权证书等权属文件。</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资产总额27,228.35万元，其中固定资产账面价值2,489.64万元、在建工程账面余额5,924.02万元，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相关事项包括代付或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交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是纳豆生产的基础生产要素。若上市主体（含拟纳入合并范围的中发邢台）不拥有生产经营所必需土地的使用权，将影响对资产完整性的判断，并形成对控股股东的依赖。该事项属于审核中的重点关注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建筑物所有权人与土地使用权人不一致的，地上房屋通常无法办理不动产首次登记，亦难以办理抵押融资；在土地被处分或征收拆迁时，权属及补偿归属存在不确定性。中发邢台在建工程账面余额5,924.02万元，若土地权属问题未解决，后续转固及办理产权证书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由中发邢台向燕京啤酒购入土地构成关联交易，同时属于国有资产转让，须以经备案的资产评估结果作为定价基础，并履行内部决策及国资审批程序。燕京啤酒作为A股上市公司，出售资产还需履行相应的审议及信息披露程序。定价依据及审批程序的完备性，直接关系到交易的合法有效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权属文件及税费。该宗土地目前尚未取得不动产权证书，权属文件的取得是启动交易的前提。土地使用权转让涉及土地增值税、增值税及附加、契税、印花税及企业所得税，税负金额与土地评估增值幅度直接相关，需在取得评估结果后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建议由中发邢台向燕京啤酒购入其实际占用的土地使用权，实现房、地权属统一。该方案与本节3、同业竞争项下的股权重组统筹推进。具体安排如下：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①完成权属确认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首先取得该宗土地的权属文件。核实要点包括权利人、宗地编号、四至范围、实际面积、土地用途、取得方式、出让年限及剩余年限，以及是否存在抵押、查封等权利限制。同时核实中发邢台实际占用范围与权属证载范围是否一致，是否存在超占或与其他主体混用的情形。若权证尚在办理中，需了解办理进度及预计取得时间，并取得自然资源主管部门出具的相关证明或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②确定交易方案及与股权重组的衔接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标的为该宗土地的使用权及地上附着物（如有），受让方为中发邢台，出让方为燕京啤酒。建议先完成土地权属过户，再实施发行人对中发邢台的股权收购，使注入上市主体的中发邢台已实现房、地权属统一。若两项交易时间安排上难以先后进行，亦可同步交割，但需在协议中明确交割条件的先后顺序，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根据《企业国有资产交易监督管理办法》（国务院国资委、财政部令第32号），同一国家出资企业内部各级子企业之间的资产转让可采取非公开协议方式，具体适用性建议事先与国资监管部门沟通确认。燕京啤酒作为A股上市公司，同步履行审议及披露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出让用地口径，本次交易涉及的主要税种为：出让方燕京啤酒需就土地增值额缴纳土地增值税，就转让行为缴纳增值税及附加，就转让所得缴纳企业所得税；受让方中发邢台需按成交价格缴纳契税；双方就产权转移书据分别缴纳印花税。其中土地增值税采用四级超率累进税率，税负与增值幅度相关，是本次交易税费的主要构成。建议在取得评估结果后进行测算，并在交易协议中明确税费承担方式。同时，就是否可适用企业改制重组有关土地增值税、契税优惠政策，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完成不动产权属转移登记，取得以中发邢台为权利人的不动产权证书。同步核查邢台生产基地房屋建筑物及在建工程的手续完备性，包括建设用地规划许可证、建设工程规划许可证、建筑工程施工许可证及竣工验收备案，并办理房屋所有权首次登记，避免出现无产权证书的房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发行人为中发邢台代垫、代付的各项费用及设备款进行全面梳理，补充签署书面协议、完善审批手续，并在申报基准日前完成结清。对已发生的代垫事项取得相关方确认函，说明交易背景及商业合理性。该项清理可与中发邢台内部资金往来的清理一并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土地过户在申报基准日前无法完成，建议先行签署过渡性协议。由燕京啤酒与中发邢台签署书面的土地及厂房租赁协议并办理租赁备案，明确租金定价依据及公允性。同时取得燕京啤酒出具的承诺函，承诺保障中发邢台持续、稳定使用该宗土地，并在约定期限内完成权属转移。需说明的是，租赁方案属于过渡性安排，在资产完整性的论证上仍存在不足，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该做法与《企业会计准则第14号——收入》关于在客户取得相关商品控制权时确认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该结果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对收入确认具体方法的表述情况如下。公司2024年度审计报告附注载明：本公司生产啤酒产品并销售予经销商，按照合同或协议规定，在经销商取得产品的控制权，即啤酒产品发出时，按照扣除应付经销商的对价后确认收入。该表述与公司实际经营的纳豆及纳豆衍生产品业务不符。公司2025年度审计报告附注已将上述表述中的啤酒调整为纳豆，载明：本公司生产纳豆产品并销售予经销商，按照合同或协议规定，在经销商取得产品的控制权，即纳豆产品发出时，按照扣除应付经销商的对价后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上可见，2025年度附注在调整产品表述后，收入确认时点仍为产品发出时。即报告期内经审计财务报表附注所披露的收入确认时点，与公司实际执行的出库确认口径一致。该收入确认时点早于合同约定的客户签收验收时点，需按前述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商、定制餐调及其他渠道：根据销售订单信息将商品发运到指定地点，并取得客户书面签收文件，此时商品的控制权转移，在此时点确认收入；②线下直销超市渠道：系委托代销关系，在收到超市开具的结算单时确认收入；③电商渠道：电商自营系将商品发运到指定地点由指定人员签收，待其签收确认时确认收入，电商商超（天猫、京东等自营平台）确认政策与线下直销超市一致；④外贸渠道：客户出口与国内经销商渠道一致，自营出口于货物报关装船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客户书面签收文件（客户签收单，签字或盖章并载明签收日期）；销售订单、发货单及物流记录作为辅助核对。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根据销售合同或者订单约定将货物交付至客户指定地点，客户签收后确认收入；②线下商超：根据与客户的约定，与客户完成对账流程后确认收入；③自营电商：在终端客户确认收货或系统自动确认收货并收到货款后确认收入；④平台电商：根据与客户的约定，与客户完成对账流程后确认收入；⑤境外销售：以货物出口报关或货物送达客户、客户指定签收人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客户签收单据（含客户确认及签收日期）；少量瑕疵单据以发货台账、第三方物流记录和客户对账单交叉印证。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客户盖章或签字确认的销售发货单（核心单据）；车辆派出单、订货系统订单及回款记录作为辅助核对。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除大型商超连锁、自营奶屋和电商平台的商品销售外，对客户自行提货的商品销售，在商品发出后确认收入；对公司负责送货的商品销售，在客户收货后确认收入；②对大型商超连锁的商品销售，在与商超连锁办理商品结算时确认收入；③自营奶屋和电商平台的商品销售，在商品提供给客户并收取货款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①自提：最新版招股书未单独明确决定性单据，问询核查列示销售合同、货物订单、销售出库单/发运单据；②配送：经客户确认的送货单，并以物流及到货信息辅助核对。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①合同约定签收即完成检验：客户签收时确认收入；②合同约定收货后按月对账、结算：双方对账确认时确认收入。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①签收确认：送货签收单/客户签收凭据；②对账确认：客户对账单据。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仲景食品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300908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①公司送货：商品发运至指定地点并由客户签收后确认收入；②客户自提：公司开具发货单，以客户在发货单上签收后确认收入。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①公司送货：客户签收凭证；②客户自提：经客户签收的发货单。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欢乐家</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300997</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商品发出并经经销商验收后确认收入。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客户签收单（核心单据）；销售订单、产品发货单作为辅助核对。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①预收款销售的标准化浓缩乳制品：发货时确认收入；②按客户要求生产的浓缩乳制品：发出商品并取得客户收货或验收合格的确认凭据时确认收入。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①标准化预收款销售：正式文件未明确唯一决定性单据，按披露列示发货/出库记录；②定制产品：客户收到货物账单或验收合格确认凭据。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品渥食品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300892</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线下经销商确认收货后确认收入。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客户签收单或受托物流公司签收单。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海融科技</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300915</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境内经销客户收到货物后现场核对、抽样验收并在销售发货单/签收单上签字，客户验收无误签收后确认收入。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经销商签字盖章的送货单、销售发货单/签收单。</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上述案例反映出四点行业共识：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以签收或验收作为控制权转移时点是食品行业经销模式的主流做法。10家案例中有8家以客户签收、验收或双方对账时点确认收入，其中骑士乳业（920786）系北交所上市公司，其审核口径对本次申报更具参考意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即使采用发货时点确认，亦有严格的前提条件。菊乐股份、仲景食品在客户自提情形下以发出（或客户在发货单上签收）时点确认，系因客户提货时已实际取得商品占有；熊猫乳品对预收款销售的标准化产品以发货时点确认，则以产品标准化、款项预收为前提。公司同样采取先款后货模式。但《销售模式说明》明确约定，货物到达后由客户签收并验收，破损、短少及质量问题应于收货当日提出。据此，运输途中的风险仍由公司承担，控制权在客户签收时方转移。公司不具备援引发货确认的合同基础。若公司拟改为发货时点确认，则须先行修改经销协议、将风险转移点前移，但此举将与现行验收条款不一致，且在审核中可能被关注修改条款的原因及合理性。综合考虑，建议仍以客户签收作为确认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关键单据均为经客户签字或盖章并载明日期的签收单、发货单或对账单，销售订单、发货单、物流记录及回款记录仅作为辅助核对资料。公司目前以出库单作为收入确认的支持性单据，与上述行业普遍做法及审核口径存在差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电商渠道普遍单独设定确认时点，且区分自营店铺零售与平台入仓、平台代销两类。幺麻子对电商自营以客户签收确认时确认收入、对天猫及京东等电商商超按委托代销收到结算单时确认；百利食品对自营电商以终端客户确认收货或系统自动确认收货并收到货款后确认、对平台电商以完成对账流程后确认；菊乐股份对电商平台销售以商品提供给客户并收取货款时确认。公司存在天猫、京东、拼多多、抖音等电商渠道销售，需比照上述做法分渠道单独设定确认时点，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部分区域经销商、部分直供终端商、网络分销商的销售采用买断模式，以货物到达指定地点并经客户确认验收的时间作为风险和报酬的转移时点确认销售收入；②买断模式外的其他区域经销商、直供终端商采用委托代销模式，以收到客户委托代销结算清单的时间作为风险报酬的转移时点确认销售收入；③线上B2C模式：客户通过网上平台向公司下单，公司收到客户订单后发货，根据发货及交付客户的快递数据计算平均到货期为4天，公司在发货后4天确认收入；④平台B2B（统一入仓）模式：公司将货物运送至平台指定地点，根据合同约定的对账时间，收到电商平台的确认清单核对无误后确认收入；⑤平台B2B（委托代销）模式：以收到平台委托代销结算清单的时间作为风险报酬的转移时点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销售以本公司已根据合同约定将产品交付给客户并经客户签收确认收货后，确认销售收入；境外销售以本公司已根据合同约定将产品报关、完成出口报关手续后，确认销售收入。②自主品牌销售收入：以本公司已根据合同或订单约定将产品交付给客户并经客户签收确认收货后，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以货物到达指定地点并经客户确认时确认销售收入；境外以按照不同贸易条款下货物控制权转移给客户的时点确认销售收入。②品牌产品销售收入：买断销售方式是在已将商品交付予客户并经客户确认时确认销售收入。③技术服务收入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收入，以发出产品后按照双方约定的收货方式作为确认依据；②出口贸易收入以海关审批返回的出口报关单为确认收入的依据，按出口批次取得海关出口报关单或电子口岸相关出口信息时确认销售收入。</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用于说明行业惯例及监管审核口径，其中幺麻子、百利食品、菊乐股份的收入确认方式摘录自其招股说明书，监管关注重点摘录自其审核问询回复；本表系公司同行业（保健食品）可比上市公司，摘录自各公司2025年年度报告，用于招股说明书所需的会计政策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可比公司中，汤臣倍健、百合股份、仙乐健康对自有品牌（买断经销）销售均以客户签收或经客户确认验收作为收入确认时点，与前述食品行业案例一致，无一家以货物出库时点确认收入；金达威的披露相对概括，表述为以发出产品后按照双方约定的收货方式作为确认依据，其确认时点亦指向客户收货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尤其值得关注的是汤臣倍健按渠道分别确定确认时点的做法：线下买断经销以货物到达指定地点并经客户确认验收为确认时点；委托代销以收到结算清单为确认时点；线上B2C以快递数据测算的平均到货期（4天）为基础，在发货后第4天确认收入；平台B2B统一入仓模式以收到电商平台确认清单并核对无误为确认时点。公司同样存在天猫、京东、拼多多、抖音等电商渠道销售。该等渠道零售订单笔数多、单笔金额小，难以逐笔取得客户签收凭据。汤臣倍健按平均到货期确认的处理方式已在年度报告中披露，对公司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同行业可比公司的收入确认原则，结合公司实际业务实质，建议将经销模式下的内销收入确认时点调整为客户签收（含客户自提），以经客户签署姓名及日期并加盖公章的签收单、验收单作为收入确认的支持性单据，销售订单、出库单、运单及回款记录作为辅助核对资料；对月末已发出但客户尚未签收的商品，通过发出商品科目核算，于次月客户签收时确认收入并结转相应成本；对电商渠道销售，应区分自营店铺零售与平台入仓、平台代销分别设定确认时点：自营店铺零售（天猫、京东、拼多多、抖音等）以平台确认收货或系统自动确认收货时点确认收入（参照百利食品、幺麻子），若因订单笔数多、单笔金额小而无法逐笔取得签收数据，可参照汤臣倍健根据历史快递数据测算平均到货期、以发货后平均到货天数确认收入，但须完整留存测算依据及各期复核记录；平台入仓（统一入仓）模式以与平台完成对账、收到平台确认清单核对无误时确认收入；平台委托代销模式以收到平台结算清单时确认收入。同时应根据公司在各渠道交易中的身份，审慎判断采用总额法或净额法核算。会计政策确定后，需按照确定的政策对报告期各期收入进行重新计算，作为前期差错更正处理，并在审计报告中充分披露；同时应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从上述案例的问询情况看，监管机构对食品行业经销收入的审核关注点高度集中，且多项关注方向与公司目前存在的问题直接对应。具体归纳如下：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经销收入确认方法、确认依据及签收时点是否符合控制权转移原则和行业惯例；收入确认政策是否与合同约定的交付、验收及风险转移条款一致；是否存在相近时点下单而收入确认时间差异异常的情形。</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且2024年度审计报告附注的收入政策沿用燕京啤酒模板。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签收单缺失、未签字盖章、未载明签收日期等单据瑕疵是否导致跨期确认；发出商品、客户签收与收入确认的截止性是否准确；销售相关内部控制是否有效。</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目前以出库单为唯一支持性单据，签收单、验收单的取得及归档情况尚待核查；发出商品科目期初、期末余额均为零，未对在途商品进行核算。需建立签收单管理制度、补全报告期签收记录，并在各期末执行销售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经销商备货、进销存、期末库存、期后销售及终端销售是否匹配；是否存在渠道压货、期末突击发货或提前确认收入；期末发货的月度分布是否异常。</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公司尚未建立经销商进销存台账，尽调清单2-4-5-2经销商管理台账及2-4-5-5经销商库存、终端销售数据尚未提供。需要求主要经销商按月报送进销存及终端销售数据，并分析报告期各期末发货的月度分布。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经销商返利、预付款折扣、未开票收入及第三方回款的真实性、合理性及会计处理；返利比例波动及高返利客户的商业合理性；第三方回款下合同流、货物流、资金流是否一致。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亦未建立返利台账（详见本节2、经销商返利政策的会计处理）；对经销商销售存在第三方回款情形。需建立返利台账并规范会计处理，梳理第三方回款明细并取得代付协议及相关方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经销商成立时间与合作时间、注册资本、经营能力与采购规模是否匹配；是否存在关联方、前员工、发行人董监高或员工持股、代持及异常资金往来；销售人员与经销商之间是否存在资金往来。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经销商入股），该项安排将使部分经销商同时具备股东身份，属审核重点关注事项。需建立经销商台账、穿透核查主要经销商的股东及实际控制人，并就入股安排的商业合理性、定价公允性及是否影响销售真实性作出充分说明。</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物流与运费的匹配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第三方物流的运输量、运输金额及单价与销量是否匹配；运输记录能否支持发出商品与客户签收的划分。</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公司尚未建立运费台账，出库单与运单无法逐笔匹配。需与承运商协商在对账单中补充运单号，建立运费台账并在系统中实现出库单与运单的匹配。</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六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与财务报表列报要求存在差异。</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入库、出库与收入确认之间尚未建立严格的匹配机制。</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返利形成的当期，公司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查阅公司2024年度至2026年6月的序时账，未见与返利相关的会计科目或凭证摘要，公司亦未建立返利台账。报告期内返利的发生金额、兑现金额及期末未兑现余额，目前无法从账面直接取得。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与前述账面未反映返利的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（2）返利会计处理的准则要求及差异分析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二条规定，企业向客户授予的额外购买选择权，如销售激励、客户奖励积分、未来购买商品的折扣券等，应当评估该选择权是否向客户提供了一项重大权利。企业提供了重大权利的，应当作为单项履约义务，按照该选择权的单独售价与所转让商品的单独售价的相对比例分摊交易价格，并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进一步明确了返利的处理路径。对于基于客户在一定期间内累计购买数量或金额而给予的实物返利，或者仅可用于未来采购的价格折扣，应当按照附有客户额外购买选择权的销售进行会计处理，评估其是否向客户提供了重大权利，构成重大权利的应作为单项履约义务并分摊交易价格。对于以现金支付或可直接抵减客户应付款项的返利，则属于可变对价，应当在确认收入时按照期望值或最可能发生金额进行估计并冲减当期收入，且估计的金额应满足累计已确认收入极可能不会发生重大转回的限制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公司现行处理方式与上述要求的差异及可能产生的影响如下：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按分摊后的金额确认收入，当期收入及利润相应偏高；返利兑现期以0元出售、仅结转成本，当期收入偏低、成本偏高。两个期间的毛利率因此产生波动，报告期各期经营成果的可比性受到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②负债的完整性。返利形成时未确认合同负债或预计负债，资产负债表相应少计负债、多计净资产。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③单据及内部控制。公司未建立返利台账，返利的计算依据、审批过程及兑现记录未系统留痕。中介机构在收入核查中难以取得支持返利金额准确性与完整性的证据。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务处理。以0元出售方式兑现返利货物，可能被认定为无偿赠送并适用增值税视同销售的规定，涉及增值税及企业所得税的补缴。同时该等交易未开具发票或按0元开具发票，与经销商端的进项抵扣、成本列支不相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⑤核查关注度。返利以实物形式在账外流转，与第三方回款、经销商入股等事项相叠加，在审核中可能被一并关注，需要提供完整的商业合理性说明。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由于公司尚未建立返利台账，报告期内返利涉及的具体金额目前无法准确取得。对各期收入、成本及利润的影响金额为【】，需在会计师进场后据实测算。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及有效期，形成书面的返利政策文本并作为销售合同附件。②建立返利台账。按经销商、按考核期建立返利台账，逐笔记录返利的计提、审批、兑现及未兑现余额，并与销售系统、财务账及出库记录相互勾稽。③区分返利性质并确定会计处理方法。对于以货物形式兑现且仅可用于未来采购的返利，按附有客户额外购买选择权的销售处理，评估是否构成重大权利，构成重大权利的作为单项履约义务，按单独售价的相对比例分摊交易价格并确认合同负债，于客户行使选择权取得相关商品控制权时或选择权失效时确认收入；对于以现金返还或直接抵减货款的返利，按可变对价处理，在确认收入时估计并冲减当期收入，同时确认合同负债或其他应付款。④报告期模拟测算及差错更正。在确定会计处理方法后，对报告期各期返利进行重新计算，作为前期差错更正调整各期收入、成本、负债及利润，并分析调整后各期毛利率的变动趋势。⑤规范兑现操作。实物返利按公允价格开具发票并作视同销售处理，或改以红字发票冲减销售额、在同一张发票上以折扣方式体现，具体方式事先与主管税务机关沟通确认，不再采用0元出库方式。⑥完善内部控制。将返利的计提、审批、兑现纳入销售与财务的内部控制流程，在系统中设置返利模块，明确销售部门与财务部门的职责分工及审批权限，按月计提并定期与经销商对账确认。⑦与相关事项统筹推进。返利事项的整改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8-17T07:09:52Z" w:initials="C">
    <w:p w14:paraId="65EF5E8C" w14:textId="77777777">
      <w:r>
        <w:rPr>
          <w:rStyle w:val="CommentReference"/>
        </w:rPr>
        <w:annotationRef/>
      </w:r>
      <w:r>
        <w:rPr>
          <w:color w:val="000000"/>
          <w:sz w:val="20"/>
          <w:szCs w:val="20"/>
        </w:rPr>
        <w:t xml:space="preserve">该宗土地暂按出让用地口径撰写。经了解应为出让方式取得，公司尚未取得不动产权证书。取得权证后需复核土地性质、面积、四至范围、出让年限及剩余年限。若核查确认为划拨用地，须先经有批准权的人民政府批准并补缴土地出让金转为出让用地后方可转让，本节交易方案及税费测算需相应调整。</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EF5E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572FF1F" w16cex:dateUtc="2026-08-17T07:09:5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EF5E8C" w16cid:durableId="5572FF1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