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60"/>
        <w:jc w:val="center"/>
      </w:pPr>
      <w:r>
        <w:rPr>
          <w:rFonts w:ascii="Times New Roman" w:hAnsi="Times New Roman" w:eastAsia="黑体" w:hint="eastAsia"/>
          <w:b/>
          <w:sz w:val="32"/>
        </w:rPr>
        <w:t>关于北京燕京中发生物技术有限公司</w:t>
        <w:br/>
        <w:t>符合主板上市财务指标情况的测算</w:t>
      </w:r>
    </w:p>
    <w:p>
      <w:pPr>
        <w:spacing w:before="0" w:after="360" w:lineRule="auto" w:line="360"/>
        <w:jc w:val="center"/>
      </w:pPr>
      <w:r>
        <w:rPr>
          <w:rFonts w:ascii="Times New Roman" w:hAnsi="Times New Roman" w:eastAsia="宋体" w:hint="eastAsia"/>
          <w:b w:val="0"/>
          <w:sz w:val="21"/>
        </w:rPr>
        <w:t>国泰海通证券股份有限公司　二〇二六年九月</w:t>
      </w:r>
    </w:p>
    <w:p>
      <w:pPr>
        <w:spacing w:before="200" w:after="80" w:lineRule="auto" w:line="360"/>
        <w:ind w:firstLine="480"/>
      </w:pPr>
      <w:r>
        <w:rPr>
          <w:rFonts w:ascii="Times New Roman" w:hAnsi="Times New Roman" w:eastAsia="黑体" w:hint="eastAsia"/>
          <w:b/>
          <w:sz w:val="24"/>
        </w:rPr>
        <w:t>一、测算依据与说明</w:t>
      </w:r>
    </w:p>
    <w:p>
      <w:pPr>
        <w:spacing w:before="40" w:after="40" w:lineRule="auto" w:line="360"/>
        <w:ind w:firstLine="480"/>
        <w:jc w:val="both"/>
      </w:pPr>
      <w:r>
        <w:rPr>
          <w:rFonts w:ascii="Times New Roman" w:hAnsi="Times New Roman" w:eastAsia="宋体" w:hint="eastAsia"/>
          <w:b w:val="0"/>
          <w:sz w:val="24"/>
        </w:rPr>
        <w:t>本测算依据上海证券交易所公布的主板发行上市条件，检索日期为2026年9月10日。重组上市部分依据《上市公司重大资产重组管理办法》（2023年2月17日修订）。深圳证券交易所主板的对应标准与上海证券交易所一致。适用时需核对届时有效的版本。</w:t>
      </w:r>
    </w:p>
    <w:p>
      <w:pPr>
        <w:spacing w:before="40" w:after="40" w:lineRule="auto" w:line="360"/>
        <w:ind w:firstLine="480"/>
        <w:jc w:val="both"/>
      </w:pPr>
      <w:r>
        <w:rPr>
          <w:rFonts w:ascii="Times New Roman" w:hAnsi="Times New Roman" w:eastAsia="宋体" w:hint="eastAsia"/>
          <w:b w:val="0"/>
          <w:sz w:val="24"/>
        </w:rPr>
        <w:t>主板上市条件对指标口径有明确规定。净利润以扣除非经常性损益前后的孰低者为准。净利润、营业收入、经营活动产生的现金流量净额均指经审计的数值。预计市值指股票公开发行后按总股本乘以发行价格计算的股票名义总价值。即上述指标不接受未经审计的数据，也不接受模拟还原口径。本报告第四部分的还原测算用于说明数据构成，不属于申报口径。</w:t>
      </w:r>
    </w:p>
    <w:p>
      <w:pPr>
        <w:spacing w:before="40" w:after="40" w:lineRule="auto" w:line="360"/>
        <w:ind w:firstLine="480"/>
        <w:jc w:val="both"/>
      </w:pPr>
      <w:r>
        <w:rPr>
          <w:rFonts w:ascii="Times New Roman" w:hAnsi="Times New Roman" w:eastAsia="宋体" w:hint="eastAsia"/>
          <w:b w:val="0"/>
          <w:sz w:val="24"/>
        </w:rPr>
        <w:t>发行人财务数据取自三项资料：2024年度审计报告（含2023年度比较数据）、2025年度审计报告（中兴华审字（2026）第00004762号）、2026年1—6月财务报表。其中2026年1—6月数据未经审计。发行人系有限责任公司，上述报表为单体报表。发行人持有中发邢台33.00%股权，不纳入合并范围。</w:t>
      </w:r>
    </w:p>
    <w:p>
      <w:pPr>
        <w:spacing w:before="40" w:after="40" w:lineRule="auto" w:line="360"/>
        <w:ind w:firstLine="480"/>
        <w:jc w:val="both"/>
      </w:pPr>
      <w:r>
        <w:rPr>
          <w:rFonts w:ascii="Times New Roman" w:hAnsi="Times New Roman" w:eastAsia="宋体" w:hint="eastAsia"/>
          <w:b w:val="0"/>
          <w:sz w:val="24"/>
        </w:rPr>
        <w:t>本测算的报告期假定为2023年度至2025年度。金额单位除特别注明外均为人民币万元。比例保留两位小数。尾数差异系四舍五入所致。</w:t>
      </w:r>
    </w:p>
    <w:p>
      <w:pPr>
        <w:spacing w:before="200" w:after="80" w:lineRule="auto" w:line="360"/>
        <w:ind w:firstLine="480"/>
      </w:pPr>
      <w:r>
        <w:rPr>
          <w:rFonts w:ascii="Times New Roman" w:hAnsi="Times New Roman" w:eastAsia="黑体" w:hint="eastAsia"/>
          <w:b/>
          <w:sz w:val="24"/>
        </w:rPr>
        <w:t>二、发行人主要财务数据</w:t>
      </w:r>
    </w:p>
    <w:p>
      <w:pPr>
        <w:spacing w:before="40" w:after="40" w:lineRule="auto" w:line="360"/>
        <w:ind w:firstLine="480"/>
        <w:jc w:val="both"/>
      </w:pPr>
      <w:r>
        <w:rPr>
          <w:rFonts w:ascii="Times New Roman" w:hAnsi="Times New Roman" w:eastAsia="宋体" w:hint="eastAsia"/>
          <w:b w:val="0"/>
          <w:sz w:val="24"/>
        </w:rPr>
        <w:t>发行人2023年度至2026年1—6月的主要财务数据如下：</w:t>
      </w:r>
    </w:p>
    <w:p>
      <w:pPr>
        <w:spacing w:before="80" w:after="0" w:lineRule="auto" w:line="240"/>
        <w:jc w:val="right"/>
      </w:pPr>
      <w:r>
        <w:rPr>
          <w:rFonts w:ascii="Times New Roman" w:hAnsi="Times New Roman" w:eastAsia="宋体" w:hint="eastAsia"/>
          <w:b w:val="0"/>
          <w:sz w:val="18"/>
        </w:rPr>
        <w:t>单位：万元</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1662"/>
        <w:gridCol w:w="1662"/>
        <w:gridCol w:w="1662"/>
        <w:gridCol w:w="1662"/>
        <w:gridCol w:w="1662"/>
      </w:tblGrid>
      <w:tr>
        <w:tc>
          <w:tcPr>
            <w:tcW w:type="dxa" w:w="2100"/>
            <w:vAlign w:val="center"/>
          </w:tcPr>
          <w:p>
            <w:pPr>
              <w:spacing w:before="30" w:after="30" w:line="240" w:lineRule="auto"/>
              <w:jc w:val="center"/>
            </w:pPr>
            <w:r>
              <w:rPr>
                <w:rFonts w:ascii="Times New Roman" w:hAnsi="Times New Roman" w:eastAsia="宋体" w:hint="eastAsia"/>
                <w:b/>
                <w:sz w:val="18"/>
              </w:rPr>
              <w:t>项目</w:t>
            </w:r>
          </w:p>
        </w:tc>
        <w:tc>
          <w:tcPr>
            <w:tcW w:type="dxa" w:w="1550"/>
            <w:vAlign w:val="center"/>
          </w:tcPr>
          <w:p>
            <w:pPr>
              <w:spacing w:before="30" w:after="30" w:line="240" w:lineRule="auto"/>
              <w:jc w:val="center"/>
            </w:pPr>
            <w:r>
              <w:rPr>
                <w:rFonts w:ascii="Times New Roman" w:hAnsi="Times New Roman" w:eastAsia="宋体" w:hint="eastAsia"/>
                <w:b/>
                <w:sz w:val="18"/>
              </w:rPr>
              <w:t>2026年1—6月</w:t>
            </w:r>
          </w:p>
        </w:tc>
        <w:tc>
          <w:tcPr>
            <w:tcW w:type="dxa" w:w="1550"/>
            <w:vAlign w:val="center"/>
          </w:tcPr>
          <w:p>
            <w:pPr>
              <w:spacing w:before="30" w:after="30" w:line="240" w:lineRule="auto"/>
              <w:jc w:val="center"/>
            </w:pPr>
            <w:r>
              <w:rPr>
                <w:rFonts w:ascii="Times New Roman" w:hAnsi="Times New Roman" w:eastAsia="宋体" w:hint="eastAsia"/>
                <w:b/>
                <w:sz w:val="18"/>
              </w:rPr>
              <w:t>2025年度</w:t>
            </w:r>
          </w:p>
        </w:tc>
        <w:tc>
          <w:tcPr>
            <w:tcW w:type="dxa" w:w="1550"/>
            <w:vAlign w:val="center"/>
          </w:tcPr>
          <w:p>
            <w:pPr>
              <w:spacing w:before="30" w:after="30" w:line="240" w:lineRule="auto"/>
              <w:jc w:val="center"/>
            </w:pPr>
            <w:r>
              <w:rPr>
                <w:rFonts w:ascii="Times New Roman" w:hAnsi="Times New Roman" w:eastAsia="宋体" w:hint="eastAsia"/>
                <w:b/>
                <w:sz w:val="18"/>
              </w:rPr>
              <w:t>2024年度</w:t>
            </w:r>
          </w:p>
        </w:tc>
        <w:tc>
          <w:tcPr>
            <w:tcW w:type="dxa" w:w="1550"/>
            <w:vAlign w:val="center"/>
          </w:tcPr>
          <w:p>
            <w:pPr>
              <w:spacing w:before="30" w:after="30" w:line="240" w:lineRule="auto"/>
              <w:jc w:val="center"/>
            </w:pPr>
            <w:r>
              <w:rPr>
                <w:rFonts w:ascii="Times New Roman" w:hAnsi="Times New Roman" w:eastAsia="宋体" w:hint="eastAsia"/>
                <w:b/>
                <w:sz w:val="18"/>
              </w:rPr>
              <w:t>2023年度</w:t>
            </w:r>
          </w:p>
        </w:tc>
      </w:tr>
      <w:tr>
        <w:tc>
          <w:tcPr>
            <w:tcW w:type="dxa" w:w="2100"/>
            <w:vAlign w:val="center"/>
          </w:tcPr>
          <w:p>
            <w:pPr>
              <w:spacing w:before="30" w:after="30" w:line="240" w:lineRule="auto"/>
              <w:jc w:val="left"/>
            </w:pPr>
            <w:r>
              <w:rPr>
                <w:rFonts w:ascii="Times New Roman" w:hAnsi="Times New Roman" w:eastAsia="宋体" w:hint="eastAsia"/>
                <w:b w:val="0"/>
                <w:sz w:val="18"/>
              </w:rPr>
              <w:t>营业收入</w:t>
            </w:r>
          </w:p>
        </w:tc>
        <w:tc>
          <w:tcPr>
            <w:tcW w:type="dxa" w:w="1550"/>
            <w:vAlign w:val="center"/>
          </w:tcPr>
          <w:p>
            <w:pPr>
              <w:spacing w:before="30" w:after="30" w:line="240" w:lineRule="auto"/>
              <w:jc w:val="right"/>
            </w:pPr>
            <w:r>
              <w:rPr>
                <w:rFonts w:ascii="Times New Roman" w:hAnsi="Times New Roman" w:eastAsia="宋体" w:hint="eastAsia"/>
                <w:b w:val="0"/>
                <w:sz w:val="18"/>
              </w:rPr>
              <w:t>20,814.62</w:t>
            </w:r>
          </w:p>
        </w:tc>
        <w:tc>
          <w:tcPr>
            <w:tcW w:type="dxa" w:w="1550"/>
            <w:vAlign w:val="center"/>
          </w:tcPr>
          <w:p>
            <w:pPr>
              <w:spacing w:before="30" w:after="30" w:line="240" w:lineRule="auto"/>
              <w:jc w:val="right"/>
            </w:pPr>
            <w:r>
              <w:rPr>
                <w:rFonts w:ascii="Times New Roman" w:hAnsi="Times New Roman" w:eastAsia="宋体" w:hint="eastAsia"/>
                <w:b w:val="0"/>
                <w:sz w:val="18"/>
              </w:rPr>
              <w:t>43,435.86</w:t>
            </w:r>
          </w:p>
        </w:tc>
        <w:tc>
          <w:tcPr>
            <w:tcW w:type="dxa" w:w="1550"/>
            <w:vAlign w:val="center"/>
          </w:tcPr>
          <w:p>
            <w:pPr>
              <w:spacing w:before="30" w:after="30" w:line="240" w:lineRule="auto"/>
              <w:jc w:val="right"/>
            </w:pPr>
            <w:r>
              <w:rPr>
                <w:rFonts w:ascii="Times New Roman" w:hAnsi="Times New Roman" w:eastAsia="宋体" w:hint="eastAsia"/>
                <w:b w:val="0"/>
                <w:sz w:val="18"/>
              </w:rPr>
              <w:t>21,265.64</w:t>
            </w:r>
          </w:p>
        </w:tc>
        <w:tc>
          <w:tcPr>
            <w:tcW w:type="dxa" w:w="1550"/>
            <w:vAlign w:val="center"/>
          </w:tcPr>
          <w:p>
            <w:pPr>
              <w:spacing w:before="30" w:after="30" w:line="240" w:lineRule="auto"/>
              <w:jc w:val="right"/>
            </w:pPr>
            <w:r>
              <w:rPr>
                <w:rFonts w:ascii="Times New Roman" w:hAnsi="Times New Roman" w:eastAsia="宋体" w:hint="eastAsia"/>
                <w:b w:val="0"/>
                <w:sz w:val="18"/>
              </w:rPr>
              <w:t>5,368.73</w:t>
            </w:r>
          </w:p>
        </w:tc>
      </w:tr>
      <w:tr>
        <w:tc>
          <w:tcPr>
            <w:tcW w:type="dxa" w:w="2100"/>
            <w:vAlign w:val="center"/>
          </w:tcPr>
          <w:p>
            <w:pPr>
              <w:spacing w:before="30" w:after="30" w:line="240" w:lineRule="auto"/>
              <w:jc w:val="left"/>
            </w:pPr>
            <w:r>
              <w:rPr>
                <w:rFonts w:ascii="Times New Roman" w:hAnsi="Times New Roman" w:eastAsia="宋体" w:hint="eastAsia"/>
                <w:b w:val="0"/>
                <w:sz w:val="18"/>
              </w:rPr>
              <w:t>营业成本</w:t>
            </w:r>
          </w:p>
        </w:tc>
        <w:tc>
          <w:tcPr>
            <w:tcW w:type="dxa" w:w="1550"/>
            <w:vAlign w:val="center"/>
          </w:tcPr>
          <w:p>
            <w:pPr>
              <w:spacing w:before="30" w:after="30" w:line="240" w:lineRule="auto"/>
              <w:jc w:val="right"/>
            </w:pPr>
            <w:r>
              <w:rPr>
                <w:rFonts w:ascii="Times New Roman" w:hAnsi="Times New Roman" w:eastAsia="宋体" w:hint="eastAsia"/>
                <w:b w:val="0"/>
                <w:sz w:val="18"/>
              </w:rPr>
              <w:t>9,890.45</w:t>
            </w:r>
          </w:p>
        </w:tc>
        <w:tc>
          <w:tcPr>
            <w:tcW w:type="dxa" w:w="1550"/>
            <w:vAlign w:val="center"/>
          </w:tcPr>
          <w:p>
            <w:pPr>
              <w:spacing w:before="30" w:after="30" w:line="240" w:lineRule="auto"/>
              <w:jc w:val="right"/>
            </w:pPr>
            <w:r>
              <w:rPr>
                <w:rFonts w:ascii="Times New Roman" w:hAnsi="Times New Roman" w:eastAsia="宋体" w:hint="eastAsia"/>
                <w:b w:val="0"/>
                <w:sz w:val="18"/>
              </w:rPr>
              <w:t>22,860.78</w:t>
            </w:r>
          </w:p>
        </w:tc>
        <w:tc>
          <w:tcPr>
            <w:tcW w:type="dxa" w:w="1550"/>
            <w:vAlign w:val="center"/>
          </w:tcPr>
          <w:p>
            <w:pPr>
              <w:spacing w:before="30" w:after="30" w:line="240" w:lineRule="auto"/>
              <w:jc w:val="right"/>
            </w:pPr>
            <w:r>
              <w:rPr>
                <w:rFonts w:ascii="Times New Roman" w:hAnsi="Times New Roman" w:eastAsia="宋体" w:hint="eastAsia"/>
                <w:b w:val="0"/>
                <w:sz w:val="18"/>
              </w:rPr>
              <w:t>8,326.29</w:t>
            </w:r>
          </w:p>
        </w:tc>
        <w:tc>
          <w:tcPr>
            <w:tcW w:type="dxa" w:w="1550"/>
            <w:vAlign w:val="center"/>
          </w:tcPr>
          <w:p>
            <w:pPr>
              <w:spacing w:before="30" w:after="30" w:line="240" w:lineRule="auto"/>
              <w:jc w:val="right"/>
            </w:pPr>
            <w:r>
              <w:rPr>
                <w:rFonts w:ascii="Times New Roman" w:hAnsi="Times New Roman" w:eastAsia="宋体" w:hint="eastAsia"/>
                <w:b w:val="0"/>
                <w:sz w:val="18"/>
              </w:rPr>
              <w:t>2,213.25</w:t>
            </w:r>
          </w:p>
        </w:tc>
      </w:tr>
      <w:tr>
        <w:tc>
          <w:tcPr>
            <w:tcW w:type="dxa" w:w="2100"/>
            <w:vAlign w:val="center"/>
          </w:tcPr>
          <w:p>
            <w:pPr>
              <w:spacing w:before="30" w:after="30" w:line="240" w:lineRule="auto"/>
              <w:jc w:val="left"/>
            </w:pPr>
            <w:r>
              <w:rPr>
                <w:rFonts w:ascii="Times New Roman" w:hAnsi="Times New Roman" w:eastAsia="宋体" w:hint="eastAsia"/>
                <w:b w:val="0"/>
                <w:sz w:val="18"/>
              </w:rPr>
              <w:t>研发费用</w:t>
            </w:r>
          </w:p>
        </w:tc>
        <w:tc>
          <w:tcPr>
            <w:tcW w:type="dxa" w:w="1550"/>
            <w:vAlign w:val="center"/>
          </w:tcPr>
          <w:p>
            <w:pPr>
              <w:spacing w:before="30" w:after="30" w:line="240" w:lineRule="auto"/>
              <w:jc w:val="right"/>
            </w:pPr>
            <w:r>
              <w:rPr>
                <w:rFonts w:ascii="Times New Roman" w:hAnsi="Times New Roman" w:eastAsia="宋体" w:hint="eastAsia"/>
                <w:b w:val="0"/>
                <w:sz w:val="18"/>
              </w:rPr>
              <w:t>467.04</w:t>
            </w:r>
          </w:p>
        </w:tc>
        <w:tc>
          <w:tcPr>
            <w:tcW w:type="dxa" w:w="1550"/>
            <w:vAlign w:val="center"/>
          </w:tcPr>
          <w:p>
            <w:pPr>
              <w:spacing w:before="30" w:after="30" w:line="240" w:lineRule="auto"/>
              <w:jc w:val="right"/>
            </w:pPr>
            <w:r>
              <w:rPr>
                <w:rFonts w:ascii="Times New Roman" w:hAnsi="Times New Roman" w:eastAsia="宋体" w:hint="eastAsia"/>
                <w:b w:val="0"/>
                <w:sz w:val="18"/>
              </w:rPr>
              <w:t>1,263.27</w:t>
            </w:r>
          </w:p>
        </w:tc>
        <w:tc>
          <w:tcPr>
            <w:tcW w:type="dxa" w:w="1550"/>
            <w:vAlign w:val="center"/>
          </w:tcPr>
          <w:p>
            <w:pPr>
              <w:spacing w:before="30" w:after="30" w:line="240" w:lineRule="auto"/>
              <w:jc w:val="right"/>
            </w:pPr>
            <w:r>
              <w:rPr>
                <w:rFonts w:ascii="Times New Roman" w:hAnsi="Times New Roman" w:eastAsia="宋体" w:hint="eastAsia"/>
                <w:b w:val="0"/>
                <w:sz w:val="18"/>
              </w:rPr>
              <w:t>607.34</w:t>
            </w:r>
          </w:p>
        </w:tc>
        <w:tc>
          <w:tcPr>
            <w:tcW w:type="dxa" w:w="1550"/>
            <w:vAlign w:val="center"/>
          </w:tcPr>
          <w:p>
            <w:pPr>
              <w:spacing w:before="30" w:after="30" w:line="240" w:lineRule="auto"/>
              <w:jc w:val="right"/>
            </w:pPr>
            <w:r>
              <w:rPr>
                <w:rFonts w:ascii="Times New Roman" w:hAnsi="Times New Roman" w:eastAsia="宋体" w:hint="eastAsia"/>
                <w:b w:val="0"/>
                <w:sz w:val="18"/>
              </w:rPr>
              <w:t>254.92</w:t>
            </w:r>
          </w:p>
        </w:tc>
      </w:tr>
      <w:tr>
        <w:tc>
          <w:tcPr>
            <w:tcW w:type="dxa" w:w="2100"/>
            <w:vAlign w:val="center"/>
          </w:tcPr>
          <w:p>
            <w:pPr>
              <w:spacing w:before="30" w:after="30" w:line="240" w:lineRule="auto"/>
              <w:jc w:val="left"/>
            </w:pPr>
            <w:r>
              <w:rPr>
                <w:rFonts w:ascii="Times New Roman" w:hAnsi="Times New Roman" w:eastAsia="宋体" w:hint="eastAsia"/>
                <w:b w:val="0"/>
                <w:sz w:val="18"/>
              </w:rPr>
              <w:t>利润总额</w:t>
            </w:r>
          </w:p>
        </w:tc>
        <w:tc>
          <w:tcPr>
            <w:tcW w:type="dxa" w:w="1550"/>
            <w:vAlign w:val="center"/>
          </w:tcPr>
          <w:p>
            <w:pPr>
              <w:spacing w:before="30" w:after="30" w:line="240" w:lineRule="auto"/>
              <w:jc w:val="right"/>
            </w:pPr>
            <w:r>
              <w:rPr>
                <w:rFonts w:ascii="Times New Roman" w:hAnsi="Times New Roman" w:eastAsia="宋体" w:hint="eastAsia"/>
                <w:b w:val="0"/>
                <w:sz w:val="18"/>
              </w:rPr>
              <w:t>7,422.18</w:t>
            </w:r>
          </w:p>
        </w:tc>
        <w:tc>
          <w:tcPr>
            <w:tcW w:type="dxa" w:w="1550"/>
            <w:vAlign w:val="center"/>
          </w:tcPr>
          <w:p>
            <w:pPr>
              <w:spacing w:before="30" w:after="30" w:line="240" w:lineRule="auto"/>
              <w:jc w:val="right"/>
            </w:pPr>
            <w:r>
              <w:rPr>
                <w:rFonts w:ascii="Times New Roman" w:hAnsi="Times New Roman" w:eastAsia="宋体" w:hint="eastAsia"/>
                <w:b w:val="0"/>
                <w:sz w:val="18"/>
              </w:rPr>
              <w:t>15,071.95</w:t>
            </w:r>
          </w:p>
        </w:tc>
        <w:tc>
          <w:tcPr>
            <w:tcW w:type="dxa" w:w="1550"/>
            <w:vAlign w:val="center"/>
          </w:tcPr>
          <w:p>
            <w:pPr>
              <w:spacing w:before="30" w:after="30" w:line="240" w:lineRule="auto"/>
              <w:jc w:val="right"/>
            </w:pPr>
            <w:r>
              <w:rPr>
                <w:rFonts w:ascii="Times New Roman" w:hAnsi="Times New Roman" w:eastAsia="宋体" w:hint="eastAsia"/>
                <w:b w:val="0"/>
                <w:sz w:val="18"/>
              </w:rPr>
              <w:t>10,212.48</w:t>
            </w:r>
          </w:p>
        </w:tc>
        <w:tc>
          <w:tcPr>
            <w:tcW w:type="dxa" w:w="1550"/>
            <w:vAlign w:val="center"/>
          </w:tcPr>
          <w:p>
            <w:pPr>
              <w:spacing w:before="30" w:after="30" w:line="240" w:lineRule="auto"/>
              <w:jc w:val="right"/>
            </w:pPr>
            <w:r>
              <w:rPr>
                <w:rFonts w:ascii="Times New Roman" w:hAnsi="Times New Roman" w:eastAsia="宋体" w:hint="eastAsia"/>
                <w:b w:val="0"/>
                <w:sz w:val="18"/>
              </w:rPr>
              <w:t>2,010.41</w:t>
            </w:r>
          </w:p>
        </w:tc>
      </w:tr>
      <w:tr>
        <w:tc>
          <w:tcPr>
            <w:tcW w:type="dxa" w:w="2100"/>
            <w:vAlign w:val="center"/>
          </w:tcPr>
          <w:p>
            <w:pPr>
              <w:spacing w:before="30" w:after="30" w:line="240" w:lineRule="auto"/>
              <w:jc w:val="left"/>
            </w:pPr>
            <w:r>
              <w:rPr>
                <w:rFonts w:ascii="Times New Roman" w:hAnsi="Times New Roman" w:eastAsia="宋体" w:hint="eastAsia"/>
                <w:b w:val="0"/>
                <w:sz w:val="18"/>
              </w:rPr>
              <w:t>净利润</w:t>
            </w:r>
          </w:p>
        </w:tc>
        <w:tc>
          <w:tcPr>
            <w:tcW w:type="dxa" w:w="1550"/>
            <w:vAlign w:val="center"/>
          </w:tcPr>
          <w:p>
            <w:pPr>
              <w:spacing w:before="30" w:after="30" w:line="240" w:lineRule="auto"/>
              <w:jc w:val="right"/>
            </w:pPr>
            <w:r>
              <w:rPr>
                <w:rFonts w:ascii="Times New Roman" w:hAnsi="Times New Roman" w:eastAsia="宋体" w:hint="eastAsia"/>
                <w:b w:val="0"/>
                <w:sz w:val="18"/>
              </w:rPr>
              <w:t>6,308.86</w:t>
            </w:r>
          </w:p>
        </w:tc>
        <w:tc>
          <w:tcPr>
            <w:tcW w:type="dxa" w:w="1550"/>
            <w:vAlign w:val="center"/>
          </w:tcPr>
          <w:p>
            <w:pPr>
              <w:spacing w:before="30" w:after="30" w:line="240" w:lineRule="auto"/>
              <w:jc w:val="right"/>
            </w:pPr>
            <w:r>
              <w:rPr>
                <w:rFonts w:ascii="Times New Roman" w:hAnsi="Times New Roman" w:eastAsia="宋体" w:hint="eastAsia"/>
                <w:b w:val="0"/>
                <w:sz w:val="18"/>
              </w:rPr>
              <w:t>13,343.75</w:t>
            </w:r>
          </w:p>
        </w:tc>
        <w:tc>
          <w:tcPr>
            <w:tcW w:type="dxa" w:w="1550"/>
            <w:vAlign w:val="center"/>
          </w:tcPr>
          <w:p>
            <w:pPr>
              <w:spacing w:before="30" w:after="30" w:line="240" w:lineRule="auto"/>
              <w:jc w:val="right"/>
            </w:pPr>
            <w:r>
              <w:rPr>
                <w:rFonts w:ascii="Times New Roman" w:hAnsi="Times New Roman" w:eastAsia="宋体" w:hint="eastAsia"/>
                <w:b w:val="0"/>
                <w:sz w:val="18"/>
              </w:rPr>
              <w:t>8,712.34</w:t>
            </w:r>
          </w:p>
        </w:tc>
        <w:tc>
          <w:tcPr>
            <w:tcW w:type="dxa" w:w="1550"/>
            <w:vAlign w:val="center"/>
          </w:tcPr>
          <w:p>
            <w:pPr>
              <w:spacing w:before="30" w:after="30" w:line="240" w:lineRule="auto"/>
              <w:jc w:val="right"/>
            </w:pPr>
            <w:r>
              <w:rPr>
                <w:rFonts w:ascii="Times New Roman" w:hAnsi="Times New Roman" w:eastAsia="宋体" w:hint="eastAsia"/>
                <w:b w:val="0"/>
                <w:sz w:val="18"/>
              </w:rPr>
              <w:t>1,799.85</w:t>
            </w:r>
          </w:p>
        </w:tc>
      </w:tr>
      <w:tr>
        <w:tc>
          <w:tcPr>
            <w:tcW w:type="dxa" w:w="2100"/>
            <w:vAlign w:val="center"/>
          </w:tcPr>
          <w:p>
            <w:pPr>
              <w:spacing w:before="30" w:after="30" w:line="240" w:lineRule="auto"/>
              <w:jc w:val="left"/>
            </w:pPr>
            <w:r>
              <w:rPr>
                <w:rFonts w:ascii="Times New Roman" w:hAnsi="Times New Roman" w:eastAsia="宋体" w:hint="eastAsia"/>
                <w:b w:val="0"/>
                <w:sz w:val="18"/>
              </w:rPr>
              <w:t>经营活动产生的现金流量净额</w:t>
            </w:r>
          </w:p>
        </w:tc>
        <w:tc>
          <w:tcPr>
            <w:tcW w:type="dxa" w:w="1550"/>
            <w:vAlign w:val="center"/>
          </w:tcPr>
          <w:p>
            <w:pPr>
              <w:spacing w:before="30" w:after="30" w:line="240" w:lineRule="auto"/>
              <w:jc w:val="right"/>
            </w:pPr>
            <w:r>
              <w:rPr>
                <w:rFonts w:ascii="Times New Roman" w:hAnsi="Times New Roman" w:eastAsia="宋体" w:hint="eastAsia"/>
                <w:b w:val="0"/>
                <w:sz w:val="18"/>
              </w:rPr>
              <w:t>246.20</w:t>
            </w:r>
          </w:p>
        </w:tc>
        <w:tc>
          <w:tcPr>
            <w:tcW w:type="dxa" w:w="1550"/>
            <w:vAlign w:val="center"/>
          </w:tcPr>
          <w:p>
            <w:pPr>
              <w:spacing w:before="30" w:after="30" w:line="240" w:lineRule="auto"/>
              <w:jc w:val="right"/>
            </w:pPr>
            <w:r>
              <w:rPr>
                <w:rFonts w:ascii="Times New Roman" w:hAnsi="Times New Roman" w:eastAsia="宋体" w:hint="eastAsia"/>
                <w:b w:val="0"/>
                <w:sz w:val="18"/>
              </w:rPr>
              <w:t>4,723.32</w:t>
            </w:r>
          </w:p>
        </w:tc>
        <w:tc>
          <w:tcPr>
            <w:tcW w:type="dxa" w:w="1550"/>
            <w:vAlign w:val="center"/>
          </w:tcPr>
          <w:p>
            <w:pPr>
              <w:spacing w:before="30" w:after="30" w:line="240" w:lineRule="auto"/>
              <w:jc w:val="right"/>
            </w:pPr>
            <w:r>
              <w:rPr>
                <w:rFonts w:ascii="Times New Roman" w:hAnsi="Times New Roman" w:eastAsia="宋体" w:hint="eastAsia"/>
                <w:b w:val="0"/>
                <w:sz w:val="18"/>
              </w:rPr>
              <w:t>5,279.36</w:t>
            </w:r>
          </w:p>
        </w:tc>
        <w:tc>
          <w:tcPr>
            <w:tcW w:type="dxa" w:w="1550"/>
            <w:vAlign w:val="center"/>
          </w:tcPr>
          <w:p>
            <w:pPr>
              <w:spacing w:before="30" w:after="30" w:line="240" w:lineRule="auto"/>
              <w:jc w:val="right"/>
            </w:pPr>
            <w:r>
              <w:rPr>
                <w:rFonts w:ascii="Times New Roman" w:hAnsi="Times New Roman" w:eastAsia="宋体" w:hint="eastAsia"/>
                <w:b w:val="0"/>
                <w:sz w:val="18"/>
              </w:rPr>
              <w:t>448.13</w:t>
            </w:r>
          </w:p>
        </w:tc>
      </w:tr>
      <w:tr>
        <w:tc>
          <w:tcPr>
            <w:tcW w:type="dxa" w:w="2100"/>
            <w:vAlign w:val="center"/>
          </w:tcPr>
          <w:p>
            <w:pPr>
              <w:spacing w:before="30" w:after="30" w:line="240" w:lineRule="auto"/>
              <w:jc w:val="left"/>
            </w:pPr>
            <w:r>
              <w:rPr>
                <w:rFonts w:ascii="Times New Roman" w:hAnsi="Times New Roman" w:eastAsia="宋体" w:hint="eastAsia"/>
                <w:b w:val="0"/>
                <w:sz w:val="18"/>
              </w:rPr>
              <w:t>资产总计</w:t>
            </w:r>
          </w:p>
        </w:tc>
        <w:tc>
          <w:tcPr>
            <w:tcW w:type="dxa" w:w="1550"/>
            <w:vAlign w:val="center"/>
          </w:tcPr>
          <w:p>
            <w:pPr>
              <w:spacing w:before="30" w:after="30" w:line="240" w:lineRule="auto"/>
              <w:jc w:val="right"/>
            </w:pPr>
            <w:r>
              <w:rPr>
                <w:rFonts w:ascii="Times New Roman" w:hAnsi="Times New Roman" w:eastAsia="宋体" w:hint="eastAsia"/>
                <w:b w:val="0"/>
                <w:sz w:val="18"/>
              </w:rPr>
              <w:t>49,644.72</w:t>
            </w:r>
          </w:p>
        </w:tc>
        <w:tc>
          <w:tcPr>
            <w:tcW w:type="dxa" w:w="1550"/>
            <w:vAlign w:val="center"/>
          </w:tcPr>
          <w:p>
            <w:pPr>
              <w:spacing w:before="30" w:after="30" w:line="240" w:lineRule="auto"/>
              <w:jc w:val="right"/>
            </w:pPr>
            <w:r>
              <w:rPr>
                <w:rFonts w:ascii="Times New Roman" w:hAnsi="Times New Roman" w:eastAsia="宋体" w:hint="eastAsia"/>
                <w:b w:val="0"/>
                <w:sz w:val="18"/>
              </w:rPr>
              <w:t>39,986.23</w:t>
            </w:r>
          </w:p>
        </w:tc>
        <w:tc>
          <w:tcPr>
            <w:tcW w:type="dxa" w:w="1550"/>
            <w:vAlign w:val="center"/>
          </w:tcPr>
          <w:p>
            <w:pPr>
              <w:spacing w:before="30" w:after="30" w:line="240" w:lineRule="auto"/>
              <w:jc w:val="right"/>
            </w:pPr>
            <w:r>
              <w:rPr>
                <w:rFonts w:ascii="Times New Roman" w:hAnsi="Times New Roman" w:eastAsia="宋体" w:hint="eastAsia"/>
                <w:b w:val="0"/>
                <w:sz w:val="18"/>
              </w:rPr>
              <w:t>25,325.74</w:t>
            </w:r>
          </w:p>
        </w:tc>
        <w:tc>
          <w:tcPr>
            <w:tcW w:type="dxa" w:w="1550"/>
            <w:vAlign w:val="center"/>
          </w:tcPr>
          <w:p>
            <w:pPr>
              <w:spacing w:before="30" w:after="30" w:line="240" w:lineRule="auto"/>
              <w:jc w:val="right"/>
            </w:pPr>
            <w:r>
              <w:rPr>
                <w:rFonts w:ascii="Times New Roman" w:hAnsi="Times New Roman" w:eastAsia="宋体" w:hint="eastAsia"/>
                <w:b w:val="0"/>
                <w:sz w:val="18"/>
              </w:rPr>
              <w:t>9,658.51</w:t>
            </w:r>
          </w:p>
        </w:tc>
      </w:tr>
      <w:tr>
        <w:tc>
          <w:tcPr>
            <w:tcW w:type="dxa" w:w="2100"/>
            <w:vAlign w:val="center"/>
          </w:tcPr>
          <w:p>
            <w:pPr>
              <w:spacing w:before="30" w:after="30" w:line="240" w:lineRule="auto"/>
              <w:jc w:val="left"/>
            </w:pPr>
            <w:r>
              <w:rPr>
                <w:rFonts w:ascii="Times New Roman" w:hAnsi="Times New Roman" w:eastAsia="宋体" w:hint="eastAsia"/>
                <w:b w:val="0"/>
                <w:sz w:val="18"/>
              </w:rPr>
              <w:t>负债合计</w:t>
            </w:r>
          </w:p>
        </w:tc>
        <w:tc>
          <w:tcPr>
            <w:tcW w:type="dxa" w:w="1550"/>
            <w:vAlign w:val="center"/>
          </w:tcPr>
          <w:p>
            <w:pPr>
              <w:spacing w:before="30" w:after="30" w:line="240" w:lineRule="auto"/>
              <w:jc w:val="right"/>
            </w:pPr>
            <w:r>
              <w:rPr>
                <w:rFonts w:ascii="Times New Roman" w:hAnsi="Times New Roman" w:eastAsia="宋体" w:hint="eastAsia"/>
                <w:b w:val="0"/>
                <w:sz w:val="18"/>
              </w:rPr>
              <w:t>18,694.63</w:t>
            </w:r>
          </w:p>
        </w:tc>
        <w:tc>
          <w:tcPr>
            <w:tcW w:type="dxa" w:w="1550"/>
            <w:vAlign w:val="center"/>
          </w:tcPr>
          <w:p>
            <w:pPr>
              <w:spacing w:before="30" w:after="30" w:line="240" w:lineRule="auto"/>
              <w:jc w:val="right"/>
            </w:pPr>
            <w:r>
              <w:rPr>
                <w:rFonts w:ascii="Times New Roman" w:hAnsi="Times New Roman" w:eastAsia="宋体" w:hint="eastAsia"/>
                <w:b w:val="0"/>
                <w:sz w:val="18"/>
              </w:rPr>
              <w:t>15,345.00</w:t>
            </w:r>
          </w:p>
        </w:tc>
        <w:tc>
          <w:tcPr>
            <w:tcW w:type="dxa" w:w="1550"/>
            <w:vAlign w:val="center"/>
          </w:tcPr>
          <w:p>
            <w:pPr>
              <w:spacing w:before="30" w:after="30" w:line="240" w:lineRule="auto"/>
              <w:jc w:val="right"/>
            </w:pPr>
            <w:r>
              <w:rPr>
                <w:rFonts w:ascii="Times New Roman" w:hAnsi="Times New Roman" w:eastAsia="宋体" w:hint="eastAsia"/>
                <w:b w:val="0"/>
                <w:sz w:val="18"/>
              </w:rPr>
              <w:t>10,028.27</w:t>
            </w:r>
          </w:p>
        </w:tc>
        <w:tc>
          <w:tcPr>
            <w:tcW w:type="dxa" w:w="1550"/>
            <w:vAlign w:val="center"/>
          </w:tcPr>
          <w:p>
            <w:pPr>
              <w:spacing w:before="30" w:after="30" w:line="240" w:lineRule="auto"/>
              <w:jc w:val="right"/>
            </w:pPr>
            <w:r>
              <w:rPr>
                <w:rFonts w:ascii="Times New Roman" w:hAnsi="Times New Roman" w:eastAsia="宋体" w:hint="eastAsia"/>
                <w:b w:val="0"/>
                <w:sz w:val="18"/>
              </w:rPr>
              <w:t>2,573.38</w:t>
            </w:r>
          </w:p>
        </w:tc>
      </w:tr>
      <w:tr>
        <w:tc>
          <w:tcPr>
            <w:tcW w:type="dxa" w:w="2100"/>
            <w:vAlign w:val="center"/>
          </w:tcPr>
          <w:p>
            <w:pPr>
              <w:spacing w:before="30" w:after="30" w:line="240" w:lineRule="auto"/>
              <w:jc w:val="left"/>
            </w:pPr>
            <w:r>
              <w:rPr>
                <w:rFonts w:ascii="Times New Roman" w:hAnsi="Times New Roman" w:eastAsia="宋体" w:hint="eastAsia"/>
                <w:b w:val="0"/>
                <w:sz w:val="18"/>
              </w:rPr>
              <w:t>所有者权益合计</w:t>
            </w:r>
          </w:p>
        </w:tc>
        <w:tc>
          <w:tcPr>
            <w:tcW w:type="dxa" w:w="1550"/>
            <w:vAlign w:val="center"/>
          </w:tcPr>
          <w:p>
            <w:pPr>
              <w:spacing w:before="30" w:after="30" w:line="240" w:lineRule="auto"/>
              <w:jc w:val="right"/>
            </w:pPr>
            <w:r>
              <w:rPr>
                <w:rFonts w:ascii="Times New Roman" w:hAnsi="Times New Roman" w:eastAsia="宋体" w:hint="eastAsia"/>
                <w:b w:val="0"/>
                <w:sz w:val="18"/>
              </w:rPr>
              <w:t>30,950.09</w:t>
            </w:r>
          </w:p>
        </w:tc>
        <w:tc>
          <w:tcPr>
            <w:tcW w:type="dxa" w:w="1550"/>
            <w:vAlign w:val="center"/>
          </w:tcPr>
          <w:p>
            <w:pPr>
              <w:spacing w:before="30" w:after="30" w:line="240" w:lineRule="auto"/>
              <w:jc w:val="right"/>
            </w:pPr>
            <w:r>
              <w:rPr>
                <w:rFonts w:ascii="Times New Roman" w:hAnsi="Times New Roman" w:eastAsia="宋体" w:hint="eastAsia"/>
                <w:b w:val="0"/>
                <w:sz w:val="18"/>
              </w:rPr>
              <w:t>24,641.23</w:t>
            </w:r>
          </w:p>
        </w:tc>
        <w:tc>
          <w:tcPr>
            <w:tcW w:type="dxa" w:w="1550"/>
            <w:vAlign w:val="center"/>
          </w:tcPr>
          <w:p>
            <w:pPr>
              <w:spacing w:before="30" w:after="30" w:line="240" w:lineRule="auto"/>
              <w:jc w:val="right"/>
            </w:pPr>
            <w:r>
              <w:rPr>
                <w:rFonts w:ascii="Times New Roman" w:hAnsi="Times New Roman" w:eastAsia="宋体" w:hint="eastAsia"/>
                <w:b w:val="0"/>
                <w:sz w:val="18"/>
              </w:rPr>
              <w:t>15,297.47</w:t>
            </w:r>
          </w:p>
        </w:tc>
        <w:tc>
          <w:tcPr>
            <w:tcW w:type="dxa" w:w="1550"/>
            <w:vAlign w:val="center"/>
          </w:tcPr>
          <w:p>
            <w:pPr>
              <w:spacing w:before="30" w:after="30" w:line="240" w:lineRule="auto"/>
              <w:jc w:val="right"/>
            </w:pPr>
            <w:r>
              <w:rPr>
                <w:rFonts w:ascii="Times New Roman" w:hAnsi="Times New Roman" w:eastAsia="宋体" w:hint="eastAsia"/>
                <w:b w:val="0"/>
                <w:sz w:val="18"/>
              </w:rPr>
              <w:t>7,085.13</w:t>
            </w:r>
          </w:p>
        </w:tc>
      </w:tr>
    </w:tbl>
    <w:p>
      <w:pPr>
        <w:spacing w:before="40" w:after="160" w:lineRule="auto" w:line="336"/>
        <w:jc w:val="left"/>
      </w:pPr>
      <w:r>
        <w:rPr>
          <w:rFonts w:ascii="Times New Roman" w:hAnsi="Times New Roman" w:eastAsia="宋体" w:hint="eastAsia"/>
          <w:b w:val="0"/>
          <w:sz w:val="18"/>
        </w:rPr>
        <w:t>注：2026年1—6月数据未经审计。资产、负债及所有者权益为各期期末数。</w:t>
      </w:r>
    </w:p>
    <w:p>
      <w:pPr>
        <w:spacing w:before="40" w:after="40" w:lineRule="auto" w:line="360"/>
        <w:ind w:firstLine="480"/>
        <w:jc w:val="both"/>
      </w:pPr>
      <w:r>
        <w:rPr>
          <w:rFonts w:ascii="Times New Roman" w:hAnsi="Times New Roman" w:eastAsia="宋体" w:hint="eastAsia"/>
          <w:b w:val="0"/>
          <w:sz w:val="24"/>
        </w:rPr>
        <w:t>发行人营业收入由2023年度的5,368.73万元增至2025年度的43,435.86万元，三年增长7.09倍。2025年度营业收入同比增长104.25%。净利润由1,799.85万元增至13,343.75万元。</w:t>
      </w:r>
    </w:p>
    <w:p>
      <w:pPr>
        <w:spacing w:before="40" w:after="40" w:lineRule="auto" w:line="360"/>
        <w:ind w:firstLine="480"/>
        <w:jc w:val="both"/>
      </w:pPr>
      <w:r>
        <w:rPr>
          <w:rFonts w:ascii="Times New Roman" w:hAnsi="Times New Roman" w:eastAsia="宋体" w:hint="eastAsia"/>
          <w:b w:val="0"/>
          <w:sz w:val="24"/>
        </w:rPr>
        <w:t>同期经营活动产生的现金流量净额分别为448.13万元、5,279.36万元和4,723.32万元，三年合计10,450.81万元。该合计数占同期净利润合计的43.81%。分年度看，该比值分别为24.90%、60.60%和35.40%。相关构成见本报告第四部分。</w:t>
      </w:r>
    </w:p>
    <w:p>
      <w:pPr>
        <w:spacing w:before="200" w:after="80" w:lineRule="auto" w:line="360"/>
        <w:ind w:firstLine="480"/>
      </w:pPr>
      <w:r>
        <w:rPr>
          <w:rFonts w:ascii="Times New Roman" w:hAnsi="Times New Roman" w:eastAsia="黑体" w:hint="eastAsia"/>
          <w:b/>
          <w:sz w:val="24"/>
        </w:rPr>
        <w:t>三、主板首次公开发行上市财务指标要求及逐项比对</w:t>
      </w:r>
    </w:p>
    <w:p>
      <w:pPr>
        <w:spacing w:before="120" w:after="40" w:lineRule="auto" w:line="360"/>
        <w:ind w:firstLine="480"/>
      </w:pPr>
      <w:r>
        <w:rPr>
          <w:rFonts w:ascii="Times New Roman" w:hAnsi="Times New Roman" w:eastAsia="宋体" w:hint="eastAsia"/>
          <w:b/>
          <w:sz w:val="24"/>
        </w:rPr>
        <w:t>（一）第一套标准</w:t>
      </w:r>
    </w:p>
    <w:p>
      <w:pPr>
        <w:spacing w:before="40" w:after="40" w:lineRule="auto" w:line="360"/>
        <w:ind w:firstLine="480"/>
        <w:jc w:val="both"/>
      </w:pPr>
      <w:r>
        <w:rPr>
          <w:rFonts w:ascii="Times New Roman" w:hAnsi="Times New Roman" w:eastAsia="宋体" w:hint="eastAsia"/>
          <w:b w:val="0"/>
          <w:sz w:val="24"/>
        </w:rPr>
        <w:t>第一套标准为：最近三年净利润均为正，且最近三年净利润累计不低于2亿元，最近一年净利润不低于1亿元，最近三年经营活动产生的现金流量净额累计不低于2亿元或营业收入累计不低于15亿元。逐项比对如下：</w:t>
      </w:r>
    </w:p>
    <w:p>
      <w:pPr>
        <w:spacing w:before="80" w:after="0" w:lineRule="auto" w:line="240"/>
        <w:jc w:val="right"/>
      </w:pPr>
      <w:r>
        <w:rPr>
          <w:rFonts w:ascii="Times New Roman" w:hAnsi="Times New Roman" w:eastAsia="宋体" w:hint="eastAsia"/>
          <w:b w:val="0"/>
          <w:sz w:val="18"/>
        </w:rPr>
        <w:t>单位：万元</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2078"/>
        <w:gridCol w:w="2078"/>
        <w:gridCol w:w="2078"/>
        <w:gridCol w:w="2078"/>
      </w:tblGrid>
      <w:tr>
        <w:tc>
          <w:tcPr>
            <w:tcW w:type="dxa" w:w="3200"/>
            <w:vAlign w:val="center"/>
          </w:tcPr>
          <w:p>
            <w:pPr>
              <w:spacing w:before="30" w:after="30" w:line="240" w:lineRule="auto"/>
              <w:jc w:val="center"/>
            </w:pPr>
            <w:r>
              <w:rPr>
                <w:rFonts w:ascii="Times New Roman" w:hAnsi="Times New Roman" w:eastAsia="宋体" w:hint="eastAsia"/>
                <w:b/>
                <w:sz w:val="18"/>
              </w:rPr>
              <w:t>指标要求</w:t>
            </w:r>
          </w:p>
        </w:tc>
        <w:tc>
          <w:tcPr>
            <w:tcW w:type="dxa" w:w="1250"/>
            <w:vAlign w:val="center"/>
          </w:tcPr>
          <w:p>
            <w:pPr>
              <w:spacing w:before="30" w:after="30" w:line="240" w:lineRule="auto"/>
              <w:jc w:val="center"/>
            </w:pPr>
            <w:r>
              <w:rPr>
                <w:rFonts w:ascii="Times New Roman" w:hAnsi="Times New Roman" w:eastAsia="宋体" w:hint="eastAsia"/>
                <w:b/>
                <w:sz w:val="18"/>
              </w:rPr>
              <w:t>门槛值</w:t>
            </w:r>
          </w:p>
        </w:tc>
        <w:tc>
          <w:tcPr>
            <w:tcW w:type="dxa" w:w="2250"/>
            <w:vAlign w:val="center"/>
          </w:tcPr>
          <w:p>
            <w:pPr>
              <w:spacing w:before="30" w:after="30" w:line="240" w:lineRule="auto"/>
              <w:jc w:val="center"/>
            </w:pPr>
            <w:r>
              <w:rPr>
                <w:rFonts w:ascii="Times New Roman" w:hAnsi="Times New Roman" w:eastAsia="宋体" w:hint="eastAsia"/>
                <w:b/>
                <w:sz w:val="18"/>
              </w:rPr>
              <w:t>发行人测算值</w:t>
            </w:r>
          </w:p>
        </w:tc>
        <w:tc>
          <w:tcPr>
            <w:tcW w:type="dxa" w:w="1600"/>
            <w:vAlign w:val="center"/>
          </w:tcPr>
          <w:p>
            <w:pPr>
              <w:spacing w:before="30" w:after="30" w:line="240" w:lineRule="auto"/>
              <w:jc w:val="center"/>
            </w:pPr>
            <w:r>
              <w:rPr>
                <w:rFonts w:ascii="Times New Roman" w:hAnsi="Times New Roman" w:eastAsia="宋体" w:hint="eastAsia"/>
                <w:b/>
                <w:sz w:val="18"/>
              </w:rPr>
              <w:t>是否满足</w:t>
            </w:r>
          </w:p>
        </w:tc>
      </w:tr>
      <w:tr>
        <w:tc>
          <w:tcPr>
            <w:tcW w:type="dxa" w:w="3200"/>
            <w:vAlign w:val="center"/>
          </w:tcPr>
          <w:p>
            <w:pPr>
              <w:spacing w:before="30" w:after="30" w:line="240" w:lineRule="auto"/>
              <w:jc w:val="left"/>
            </w:pPr>
            <w:r>
              <w:rPr>
                <w:rFonts w:ascii="Times New Roman" w:hAnsi="Times New Roman" w:eastAsia="宋体" w:hint="eastAsia"/>
                <w:b w:val="0"/>
                <w:sz w:val="18"/>
              </w:rPr>
              <w:t>最近三年净利润均为正</w:t>
            </w:r>
          </w:p>
        </w:tc>
        <w:tc>
          <w:tcPr>
            <w:tcW w:type="dxa" w:w="1250"/>
            <w:vAlign w:val="center"/>
          </w:tcPr>
          <w:p>
            <w:pPr>
              <w:spacing w:before="30" w:after="30" w:line="240" w:lineRule="auto"/>
              <w:jc w:val="right"/>
            </w:pPr>
            <w:r>
              <w:rPr>
                <w:rFonts w:ascii="Times New Roman" w:hAnsi="Times New Roman" w:eastAsia="宋体" w:hint="eastAsia"/>
                <w:b w:val="0"/>
                <w:sz w:val="18"/>
              </w:rPr>
              <w:t>—</w:t>
            </w:r>
          </w:p>
        </w:tc>
        <w:tc>
          <w:tcPr>
            <w:tcW w:type="dxa" w:w="2250"/>
            <w:vAlign w:val="center"/>
          </w:tcPr>
          <w:p>
            <w:pPr>
              <w:spacing w:before="30" w:after="30" w:line="240" w:lineRule="auto"/>
              <w:jc w:val="right"/>
            </w:pPr>
            <w:r>
              <w:rPr>
                <w:rFonts w:ascii="Times New Roman" w:hAnsi="Times New Roman" w:eastAsia="宋体" w:hint="eastAsia"/>
                <w:b w:val="0"/>
                <w:sz w:val="18"/>
              </w:rPr>
              <w:t>1,799.85／8,712.34／13,343.75</w:t>
            </w:r>
          </w:p>
        </w:tc>
        <w:tc>
          <w:tcPr>
            <w:tcW w:type="dxa" w:w="1600"/>
            <w:vAlign w:val="center"/>
          </w:tcPr>
          <w:p>
            <w:pPr>
              <w:spacing w:before="30" w:after="30" w:line="240" w:lineRule="auto"/>
              <w:jc w:val="center"/>
            </w:pPr>
            <w:r>
              <w:rPr>
                <w:rFonts w:ascii="Times New Roman" w:hAnsi="Times New Roman" w:eastAsia="宋体" w:hint="eastAsia"/>
                <w:b w:val="0"/>
                <w:sz w:val="18"/>
              </w:rPr>
              <w:t>是</w:t>
            </w:r>
          </w:p>
        </w:tc>
      </w:tr>
      <w:tr>
        <w:tc>
          <w:tcPr>
            <w:tcW w:type="dxa" w:w="3200"/>
            <w:vAlign w:val="center"/>
          </w:tcPr>
          <w:p>
            <w:pPr>
              <w:spacing w:before="30" w:after="30" w:line="240" w:lineRule="auto"/>
              <w:jc w:val="left"/>
            </w:pPr>
            <w:r>
              <w:rPr>
                <w:rFonts w:ascii="Times New Roman" w:hAnsi="Times New Roman" w:eastAsia="宋体" w:hint="eastAsia"/>
                <w:b w:val="0"/>
                <w:sz w:val="18"/>
              </w:rPr>
              <w:t>最近三年净利润累计</w:t>
            </w:r>
          </w:p>
        </w:tc>
        <w:tc>
          <w:tcPr>
            <w:tcW w:type="dxa" w:w="1250"/>
            <w:vAlign w:val="center"/>
          </w:tcPr>
          <w:p>
            <w:pPr>
              <w:spacing w:before="30" w:after="30" w:line="240" w:lineRule="auto"/>
              <w:jc w:val="right"/>
            </w:pPr>
            <w:r>
              <w:rPr>
                <w:rFonts w:ascii="Times New Roman" w:hAnsi="Times New Roman" w:eastAsia="宋体" w:hint="eastAsia"/>
                <w:b w:val="0"/>
                <w:sz w:val="18"/>
              </w:rPr>
              <w:t>20,000.00</w:t>
            </w:r>
          </w:p>
        </w:tc>
        <w:tc>
          <w:tcPr>
            <w:tcW w:type="dxa" w:w="2250"/>
            <w:vAlign w:val="center"/>
          </w:tcPr>
          <w:p>
            <w:pPr>
              <w:spacing w:before="30" w:after="30" w:line="240" w:lineRule="auto"/>
              <w:jc w:val="right"/>
            </w:pPr>
            <w:r>
              <w:rPr>
                <w:rFonts w:ascii="Times New Roman" w:hAnsi="Times New Roman" w:eastAsia="宋体" w:hint="eastAsia"/>
                <w:b w:val="0"/>
                <w:sz w:val="18"/>
              </w:rPr>
              <w:t>23,855.94</w:t>
            </w:r>
          </w:p>
        </w:tc>
        <w:tc>
          <w:tcPr>
            <w:tcW w:type="dxa" w:w="1600"/>
            <w:vAlign w:val="center"/>
          </w:tcPr>
          <w:p>
            <w:pPr>
              <w:spacing w:before="30" w:after="30" w:line="240" w:lineRule="auto"/>
              <w:jc w:val="center"/>
            </w:pPr>
            <w:r>
              <w:rPr>
                <w:rFonts w:ascii="Times New Roman" w:hAnsi="Times New Roman" w:eastAsia="宋体" w:hint="eastAsia"/>
                <w:b w:val="0"/>
                <w:sz w:val="18"/>
              </w:rPr>
              <w:t>是</w:t>
            </w:r>
          </w:p>
        </w:tc>
      </w:tr>
      <w:tr>
        <w:tc>
          <w:tcPr>
            <w:tcW w:type="dxa" w:w="3200"/>
            <w:vAlign w:val="center"/>
          </w:tcPr>
          <w:p>
            <w:pPr>
              <w:spacing w:before="30" w:after="30" w:line="240" w:lineRule="auto"/>
              <w:jc w:val="left"/>
            </w:pPr>
            <w:r>
              <w:rPr>
                <w:rFonts w:ascii="Times New Roman" w:hAnsi="Times New Roman" w:eastAsia="宋体" w:hint="eastAsia"/>
                <w:b w:val="0"/>
                <w:sz w:val="18"/>
              </w:rPr>
              <w:t>最近一年净利润</w:t>
            </w:r>
          </w:p>
        </w:tc>
        <w:tc>
          <w:tcPr>
            <w:tcW w:type="dxa" w:w="1250"/>
            <w:vAlign w:val="center"/>
          </w:tcPr>
          <w:p>
            <w:pPr>
              <w:spacing w:before="30" w:after="30" w:line="240" w:lineRule="auto"/>
              <w:jc w:val="right"/>
            </w:pPr>
            <w:r>
              <w:rPr>
                <w:rFonts w:ascii="Times New Roman" w:hAnsi="Times New Roman" w:eastAsia="宋体" w:hint="eastAsia"/>
                <w:b w:val="0"/>
                <w:sz w:val="18"/>
              </w:rPr>
              <w:t>10,000.00</w:t>
            </w:r>
          </w:p>
        </w:tc>
        <w:tc>
          <w:tcPr>
            <w:tcW w:type="dxa" w:w="2250"/>
            <w:vAlign w:val="center"/>
          </w:tcPr>
          <w:p>
            <w:pPr>
              <w:spacing w:before="30" w:after="30" w:line="240" w:lineRule="auto"/>
              <w:jc w:val="right"/>
            </w:pPr>
            <w:r>
              <w:rPr>
                <w:rFonts w:ascii="Times New Roman" w:hAnsi="Times New Roman" w:eastAsia="宋体" w:hint="eastAsia"/>
                <w:b w:val="0"/>
                <w:sz w:val="18"/>
              </w:rPr>
              <w:t>13,343.75</w:t>
            </w:r>
          </w:p>
        </w:tc>
        <w:tc>
          <w:tcPr>
            <w:tcW w:type="dxa" w:w="1600"/>
            <w:vAlign w:val="center"/>
          </w:tcPr>
          <w:p>
            <w:pPr>
              <w:spacing w:before="30" w:after="30" w:line="240" w:lineRule="auto"/>
              <w:jc w:val="center"/>
            </w:pPr>
            <w:r>
              <w:rPr>
                <w:rFonts w:ascii="Times New Roman" w:hAnsi="Times New Roman" w:eastAsia="宋体" w:hint="eastAsia"/>
                <w:b w:val="0"/>
                <w:sz w:val="18"/>
              </w:rPr>
              <w:t>是</w:t>
            </w:r>
          </w:p>
        </w:tc>
      </w:tr>
      <w:tr>
        <w:tc>
          <w:tcPr>
            <w:tcW w:type="dxa" w:w="3200"/>
            <w:vAlign w:val="center"/>
          </w:tcPr>
          <w:p>
            <w:pPr>
              <w:spacing w:before="30" w:after="30" w:line="240" w:lineRule="auto"/>
              <w:jc w:val="left"/>
            </w:pPr>
            <w:r>
              <w:rPr>
                <w:rFonts w:ascii="Times New Roman" w:hAnsi="Times New Roman" w:eastAsia="宋体" w:hint="eastAsia"/>
                <w:b w:val="0"/>
                <w:sz w:val="18"/>
              </w:rPr>
              <w:t>最近三年经营活动现金流量净额累计</w:t>
            </w:r>
          </w:p>
        </w:tc>
        <w:tc>
          <w:tcPr>
            <w:tcW w:type="dxa" w:w="1250"/>
            <w:vAlign w:val="center"/>
          </w:tcPr>
          <w:p>
            <w:pPr>
              <w:spacing w:before="30" w:after="30" w:line="240" w:lineRule="auto"/>
              <w:jc w:val="right"/>
            </w:pPr>
            <w:r>
              <w:rPr>
                <w:rFonts w:ascii="Times New Roman" w:hAnsi="Times New Roman" w:eastAsia="宋体" w:hint="eastAsia"/>
                <w:b w:val="0"/>
                <w:sz w:val="18"/>
              </w:rPr>
              <w:t>20,000.00</w:t>
            </w:r>
          </w:p>
        </w:tc>
        <w:tc>
          <w:tcPr>
            <w:tcW w:type="dxa" w:w="2250"/>
            <w:vAlign w:val="center"/>
          </w:tcPr>
          <w:p>
            <w:pPr>
              <w:spacing w:before="30" w:after="30" w:line="240" w:lineRule="auto"/>
              <w:jc w:val="right"/>
            </w:pPr>
            <w:r>
              <w:rPr>
                <w:rFonts w:ascii="Times New Roman" w:hAnsi="Times New Roman" w:eastAsia="宋体" w:hint="eastAsia"/>
                <w:b w:val="0"/>
                <w:sz w:val="18"/>
              </w:rPr>
              <w:t>10,450.81</w:t>
            </w:r>
          </w:p>
        </w:tc>
        <w:tc>
          <w:tcPr>
            <w:tcW w:type="dxa" w:w="1600"/>
            <w:vAlign w:val="center"/>
          </w:tcPr>
          <w:p>
            <w:pPr>
              <w:spacing w:before="30" w:after="30" w:line="240" w:lineRule="auto"/>
              <w:jc w:val="center"/>
            </w:pPr>
            <w:r>
              <w:rPr>
                <w:rFonts w:ascii="Times New Roman" w:hAnsi="Times New Roman" w:eastAsia="宋体" w:hint="eastAsia"/>
                <w:b w:val="0"/>
                <w:sz w:val="18"/>
              </w:rPr>
              <w:t>否</w:t>
            </w:r>
          </w:p>
        </w:tc>
      </w:tr>
      <w:tr>
        <w:tc>
          <w:tcPr>
            <w:tcW w:type="dxa" w:w="3200"/>
            <w:vAlign w:val="center"/>
          </w:tcPr>
          <w:p>
            <w:pPr>
              <w:spacing w:before="30" w:after="30" w:line="240" w:lineRule="auto"/>
              <w:jc w:val="left"/>
            </w:pPr>
            <w:r>
              <w:rPr>
                <w:rFonts w:ascii="Times New Roman" w:hAnsi="Times New Roman" w:eastAsia="宋体" w:hint="eastAsia"/>
                <w:b w:val="0"/>
                <w:sz w:val="18"/>
              </w:rPr>
              <w:t>或：最近三年营业收入累计</w:t>
            </w:r>
          </w:p>
        </w:tc>
        <w:tc>
          <w:tcPr>
            <w:tcW w:type="dxa" w:w="1250"/>
            <w:vAlign w:val="center"/>
          </w:tcPr>
          <w:p>
            <w:pPr>
              <w:spacing w:before="30" w:after="30" w:line="240" w:lineRule="auto"/>
              <w:jc w:val="right"/>
            </w:pPr>
            <w:r>
              <w:rPr>
                <w:rFonts w:ascii="Times New Roman" w:hAnsi="Times New Roman" w:eastAsia="宋体" w:hint="eastAsia"/>
                <w:b w:val="0"/>
                <w:sz w:val="18"/>
              </w:rPr>
              <w:t>150,000.00</w:t>
            </w:r>
          </w:p>
        </w:tc>
        <w:tc>
          <w:tcPr>
            <w:tcW w:type="dxa" w:w="2250"/>
            <w:vAlign w:val="center"/>
          </w:tcPr>
          <w:p>
            <w:pPr>
              <w:spacing w:before="30" w:after="30" w:line="240" w:lineRule="auto"/>
              <w:jc w:val="right"/>
            </w:pPr>
            <w:r>
              <w:rPr>
                <w:rFonts w:ascii="Times New Roman" w:hAnsi="Times New Roman" w:eastAsia="宋体" w:hint="eastAsia"/>
                <w:b w:val="0"/>
                <w:sz w:val="18"/>
              </w:rPr>
              <w:t>70,070.23</w:t>
            </w:r>
          </w:p>
        </w:tc>
        <w:tc>
          <w:tcPr>
            <w:tcW w:type="dxa" w:w="1600"/>
            <w:vAlign w:val="center"/>
          </w:tcPr>
          <w:p>
            <w:pPr>
              <w:spacing w:before="30" w:after="30" w:line="240" w:lineRule="auto"/>
              <w:jc w:val="center"/>
            </w:pPr>
            <w:r>
              <w:rPr>
                <w:rFonts w:ascii="Times New Roman" w:hAnsi="Times New Roman" w:eastAsia="宋体" w:hint="eastAsia"/>
                <w:b w:val="0"/>
                <w:sz w:val="18"/>
              </w:rPr>
              <w:t>否</w:t>
            </w:r>
          </w:p>
        </w:tc>
      </w:tr>
    </w:tbl>
    <w:p>
      <w:pPr>
        <w:spacing w:before="40" w:after="160" w:lineRule="auto" w:line="336"/>
        <w:jc w:val="left"/>
      </w:pPr>
      <w:r>
        <w:rPr>
          <w:rFonts w:ascii="Times New Roman" w:hAnsi="Times New Roman" w:eastAsia="宋体" w:hint="eastAsia"/>
          <w:b w:val="0"/>
          <w:sz w:val="18"/>
        </w:rPr>
        <w:t>注：净利润以未扣除非经常性损益的数据测算，扣非影响见本报告第五部分之（二）。</w:t>
      </w:r>
    </w:p>
    <w:p>
      <w:pPr>
        <w:spacing w:before="40" w:after="40" w:lineRule="auto" w:line="360"/>
        <w:ind w:firstLine="480"/>
        <w:jc w:val="both"/>
      </w:pPr>
      <w:r>
        <w:rPr>
          <w:rFonts w:ascii="Times New Roman" w:hAnsi="Times New Roman" w:eastAsia="宋体" w:hint="eastAsia"/>
          <w:b w:val="0"/>
          <w:sz w:val="24"/>
        </w:rPr>
        <w:t>净利润的三项指标均满足，并有余量。最近三年净利润累计23,855.94万元，超出门槛3,855.94万元。最近一年净利润13,343.75万元，超出门槛3,343.75万元。</w:t>
      </w:r>
    </w:p>
    <w:p>
      <w:pPr>
        <w:spacing w:before="40" w:after="40" w:lineRule="auto" w:line="360"/>
        <w:ind w:firstLine="480"/>
        <w:jc w:val="both"/>
      </w:pPr>
      <w:r>
        <w:rPr>
          <w:rFonts w:ascii="Times New Roman" w:hAnsi="Times New Roman" w:eastAsia="宋体" w:hint="eastAsia"/>
          <w:b w:val="0"/>
          <w:sz w:val="24"/>
        </w:rPr>
        <w:t>第四项为“或”条件，两条支路均未达到。经营活动现金流量净额累计10,450.81万元，差9,549.19万元。营业收入累计70,070.23万元，差79,929.77万元。该套标准不满足。</w:t>
      </w:r>
    </w:p>
    <w:p>
      <w:pPr>
        <w:spacing w:before="120" w:after="40" w:lineRule="auto" w:line="360"/>
        <w:ind w:firstLine="480"/>
      </w:pPr>
      <w:r>
        <w:rPr>
          <w:rFonts w:ascii="Times New Roman" w:hAnsi="Times New Roman" w:eastAsia="宋体" w:hint="eastAsia"/>
          <w:b/>
          <w:sz w:val="24"/>
        </w:rPr>
        <w:t>（二）第二套标准</w:t>
      </w:r>
    </w:p>
    <w:p>
      <w:pPr>
        <w:spacing w:before="40" w:after="40" w:lineRule="auto" w:line="360"/>
        <w:ind w:firstLine="480"/>
        <w:jc w:val="both"/>
      </w:pPr>
      <w:r>
        <w:rPr>
          <w:rFonts w:ascii="Times New Roman" w:hAnsi="Times New Roman" w:eastAsia="宋体" w:hint="eastAsia"/>
          <w:b w:val="0"/>
          <w:sz w:val="24"/>
        </w:rPr>
        <w:t>第二套标准为：预计市值不低于50亿元，且最近一年净利润为正，最近一年营业收入不低于6亿元，最近三年经营活动产生的现金流量净额累计不低于2.5亿元。</w:t>
      </w:r>
    </w:p>
    <w:p>
      <w:pPr>
        <w:spacing w:before="80" w:after="0" w:lineRule="auto" w:line="240"/>
        <w:jc w:val="right"/>
      </w:pPr>
      <w:r>
        <w:rPr>
          <w:rFonts w:ascii="Times New Roman" w:hAnsi="Times New Roman" w:eastAsia="宋体" w:hint="eastAsia"/>
          <w:b w:val="0"/>
          <w:sz w:val="18"/>
        </w:rPr>
        <w:t>单位：万元</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2078"/>
        <w:gridCol w:w="2078"/>
        <w:gridCol w:w="2078"/>
        <w:gridCol w:w="2078"/>
      </w:tblGrid>
      <w:tr>
        <w:tc>
          <w:tcPr>
            <w:tcW w:type="dxa" w:w="3200"/>
            <w:vAlign w:val="center"/>
          </w:tcPr>
          <w:p>
            <w:pPr>
              <w:spacing w:before="30" w:after="30" w:line="240" w:lineRule="auto"/>
              <w:jc w:val="center"/>
            </w:pPr>
            <w:r>
              <w:rPr>
                <w:rFonts w:ascii="Times New Roman" w:hAnsi="Times New Roman" w:eastAsia="宋体" w:hint="eastAsia"/>
                <w:b/>
                <w:sz w:val="18"/>
              </w:rPr>
              <w:t>指标要求</w:t>
            </w:r>
          </w:p>
        </w:tc>
        <w:tc>
          <w:tcPr>
            <w:tcW w:type="dxa" w:w="1250"/>
            <w:vAlign w:val="center"/>
          </w:tcPr>
          <w:p>
            <w:pPr>
              <w:spacing w:before="30" w:after="30" w:line="240" w:lineRule="auto"/>
              <w:jc w:val="center"/>
            </w:pPr>
            <w:r>
              <w:rPr>
                <w:rFonts w:ascii="Times New Roman" w:hAnsi="Times New Roman" w:eastAsia="宋体" w:hint="eastAsia"/>
                <w:b/>
                <w:sz w:val="18"/>
              </w:rPr>
              <w:t>门槛值</w:t>
            </w:r>
          </w:p>
        </w:tc>
        <w:tc>
          <w:tcPr>
            <w:tcW w:type="dxa" w:w="2250"/>
            <w:vAlign w:val="center"/>
          </w:tcPr>
          <w:p>
            <w:pPr>
              <w:spacing w:before="30" w:after="30" w:line="240" w:lineRule="auto"/>
              <w:jc w:val="center"/>
            </w:pPr>
            <w:r>
              <w:rPr>
                <w:rFonts w:ascii="Times New Roman" w:hAnsi="Times New Roman" w:eastAsia="宋体" w:hint="eastAsia"/>
                <w:b/>
                <w:sz w:val="18"/>
              </w:rPr>
              <w:t>发行人测算值</w:t>
            </w:r>
          </w:p>
        </w:tc>
        <w:tc>
          <w:tcPr>
            <w:tcW w:type="dxa" w:w="1600"/>
            <w:vAlign w:val="center"/>
          </w:tcPr>
          <w:p>
            <w:pPr>
              <w:spacing w:before="30" w:after="30" w:line="240" w:lineRule="auto"/>
              <w:jc w:val="center"/>
            </w:pPr>
            <w:r>
              <w:rPr>
                <w:rFonts w:ascii="Times New Roman" w:hAnsi="Times New Roman" w:eastAsia="宋体" w:hint="eastAsia"/>
                <w:b/>
                <w:sz w:val="18"/>
              </w:rPr>
              <w:t>是否满足</w:t>
            </w:r>
          </w:p>
        </w:tc>
      </w:tr>
      <w:tr>
        <w:tc>
          <w:tcPr>
            <w:tcW w:type="dxa" w:w="3200"/>
            <w:vAlign w:val="center"/>
          </w:tcPr>
          <w:p>
            <w:pPr>
              <w:spacing w:before="30" w:after="30" w:line="240" w:lineRule="auto"/>
              <w:jc w:val="left"/>
            </w:pPr>
            <w:r>
              <w:rPr>
                <w:rFonts w:ascii="Times New Roman" w:hAnsi="Times New Roman" w:eastAsia="宋体" w:hint="eastAsia"/>
                <w:b w:val="0"/>
                <w:sz w:val="18"/>
              </w:rPr>
              <w:t>预计市值</w:t>
            </w:r>
          </w:p>
        </w:tc>
        <w:tc>
          <w:tcPr>
            <w:tcW w:type="dxa" w:w="1250"/>
            <w:vAlign w:val="center"/>
          </w:tcPr>
          <w:p>
            <w:pPr>
              <w:spacing w:before="30" w:after="30" w:line="240" w:lineRule="auto"/>
              <w:jc w:val="right"/>
            </w:pPr>
            <w:r>
              <w:rPr>
                <w:rFonts w:ascii="Times New Roman" w:hAnsi="Times New Roman" w:eastAsia="宋体" w:hint="eastAsia"/>
                <w:b w:val="0"/>
                <w:sz w:val="18"/>
              </w:rPr>
              <w:t>500,000.00</w:t>
            </w:r>
          </w:p>
        </w:tc>
        <w:tc>
          <w:tcPr>
            <w:tcW w:type="dxa" w:w="2250"/>
            <w:vAlign w:val="center"/>
          </w:tcPr>
          <w:p>
            <w:pPr>
              <w:spacing w:before="30" w:after="30" w:line="240" w:lineRule="auto"/>
              <w:jc w:val="right"/>
            </w:pPr>
            <w:r>
              <w:rPr>
                <w:rFonts w:ascii="Times New Roman" w:hAnsi="Times New Roman" w:eastAsia="宋体" w:hint="eastAsia"/>
                <w:b w:val="0"/>
                <w:sz w:val="18"/>
              </w:rPr>
              <w:t>尚未评估</w:t>
            </w:r>
          </w:p>
        </w:tc>
        <w:tc>
          <w:tcPr>
            <w:tcW w:type="dxa" w:w="1600"/>
            <w:vAlign w:val="center"/>
          </w:tcPr>
          <w:p>
            <w:pPr>
              <w:spacing w:before="30" w:after="30" w:line="240" w:lineRule="auto"/>
              <w:jc w:val="center"/>
            </w:pPr>
            <w:r>
              <w:rPr>
                <w:rFonts w:ascii="Times New Roman" w:hAnsi="Times New Roman" w:eastAsia="宋体" w:hint="eastAsia"/>
                <w:b w:val="0"/>
                <w:sz w:val="18"/>
              </w:rPr>
              <w:t>待定</w:t>
            </w:r>
          </w:p>
        </w:tc>
      </w:tr>
      <w:tr>
        <w:tc>
          <w:tcPr>
            <w:tcW w:type="dxa" w:w="3200"/>
            <w:vAlign w:val="center"/>
          </w:tcPr>
          <w:p>
            <w:pPr>
              <w:spacing w:before="30" w:after="30" w:line="240" w:lineRule="auto"/>
              <w:jc w:val="left"/>
            </w:pPr>
            <w:r>
              <w:rPr>
                <w:rFonts w:ascii="Times New Roman" w:hAnsi="Times New Roman" w:eastAsia="宋体" w:hint="eastAsia"/>
                <w:b w:val="0"/>
                <w:sz w:val="18"/>
              </w:rPr>
              <w:t>最近一年净利润为正</w:t>
            </w:r>
          </w:p>
        </w:tc>
        <w:tc>
          <w:tcPr>
            <w:tcW w:type="dxa" w:w="1250"/>
            <w:vAlign w:val="center"/>
          </w:tcPr>
          <w:p>
            <w:pPr>
              <w:spacing w:before="30" w:after="30" w:line="240" w:lineRule="auto"/>
              <w:jc w:val="right"/>
            </w:pPr>
            <w:r>
              <w:rPr>
                <w:rFonts w:ascii="Times New Roman" w:hAnsi="Times New Roman" w:eastAsia="宋体" w:hint="eastAsia"/>
                <w:b w:val="0"/>
                <w:sz w:val="18"/>
              </w:rPr>
              <w:t>—</w:t>
            </w:r>
          </w:p>
        </w:tc>
        <w:tc>
          <w:tcPr>
            <w:tcW w:type="dxa" w:w="2250"/>
            <w:vAlign w:val="center"/>
          </w:tcPr>
          <w:p>
            <w:pPr>
              <w:spacing w:before="30" w:after="30" w:line="240" w:lineRule="auto"/>
              <w:jc w:val="right"/>
            </w:pPr>
            <w:r>
              <w:rPr>
                <w:rFonts w:ascii="Times New Roman" w:hAnsi="Times New Roman" w:eastAsia="宋体" w:hint="eastAsia"/>
                <w:b w:val="0"/>
                <w:sz w:val="18"/>
              </w:rPr>
              <w:t>13,343.75</w:t>
            </w:r>
          </w:p>
        </w:tc>
        <w:tc>
          <w:tcPr>
            <w:tcW w:type="dxa" w:w="1600"/>
            <w:vAlign w:val="center"/>
          </w:tcPr>
          <w:p>
            <w:pPr>
              <w:spacing w:before="30" w:after="30" w:line="240" w:lineRule="auto"/>
              <w:jc w:val="center"/>
            </w:pPr>
            <w:r>
              <w:rPr>
                <w:rFonts w:ascii="Times New Roman" w:hAnsi="Times New Roman" w:eastAsia="宋体" w:hint="eastAsia"/>
                <w:b w:val="0"/>
                <w:sz w:val="18"/>
              </w:rPr>
              <w:t>是</w:t>
            </w:r>
          </w:p>
        </w:tc>
      </w:tr>
      <w:tr>
        <w:tc>
          <w:tcPr>
            <w:tcW w:type="dxa" w:w="3200"/>
            <w:vAlign w:val="center"/>
          </w:tcPr>
          <w:p>
            <w:pPr>
              <w:spacing w:before="30" w:after="30" w:line="240" w:lineRule="auto"/>
              <w:jc w:val="left"/>
            </w:pPr>
            <w:r>
              <w:rPr>
                <w:rFonts w:ascii="Times New Roman" w:hAnsi="Times New Roman" w:eastAsia="宋体" w:hint="eastAsia"/>
                <w:b w:val="0"/>
                <w:sz w:val="18"/>
              </w:rPr>
              <w:t>最近一年营业收入</w:t>
            </w:r>
          </w:p>
        </w:tc>
        <w:tc>
          <w:tcPr>
            <w:tcW w:type="dxa" w:w="1250"/>
            <w:vAlign w:val="center"/>
          </w:tcPr>
          <w:p>
            <w:pPr>
              <w:spacing w:before="30" w:after="30" w:line="240" w:lineRule="auto"/>
              <w:jc w:val="right"/>
            </w:pPr>
            <w:r>
              <w:rPr>
                <w:rFonts w:ascii="Times New Roman" w:hAnsi="Times New Roman" w:eastAsia="宋体" w:hint="eastAsia"/>
                <w:b w:val="0"/>
                <w:sz w:val="18"/>
              </w:rPr>
              <w:t>60,000.00</w:t>
            </w:r>
          </w:p>
        </w:tc>
        <w:tc>
          <w:tcPr>
            <w:tcW w:type="dxa" w:w="2250"/>
            <w:vAlign w:val="center"/>
          </w:tcPr>
          <w:p>
            <w:pPr>
              <w:spacing w:before="30" w:after="30" w:line="240" w:lineRule="auto"/>
              <w:jc w:val="right"/>
            </w:pPr>
            <w:r>
              <w:rPr>
                <w:rFonts w:ascii="Times New Roman" w:hAnsi="Times New Roman" w:eastAsia="宋体" w:hint="eastAsia"/>
                <w:b w:val="0"/>
                <w:sz w:val="18"/>
              </w:rPr>
              <w:t>43,435.86</w:t>
            </w:r>
          </w:p>
        </w:tc>
        <w:tc>
          <w:tcPr>
            <w:tcW w:type="dxa" w:w="1600"/>
            <w:vAlign w:val="center"/>
          </w:tcPr>
          <w:p>
            <w:pPr>
              <w:spacing w:before="30" w:after="30" w:line="240" w:lineRule="auto"/>
              <w:jc w:val="center"/>
            </w:pPr>
            <w:r>
              <w:rPr>
                <w:rFonts w:ascii="Times New Roman" w:hAnsi="Times New Roman" w:eastAsia="宋体" w:hint="eastAsia"/>
                <w:b w:val="0"/>
                <w:sz w:val="18"/>
              </w:rPr>
              <w:t>否</w:t>
            </w:r>
          </w:p>
        </w:tc>
      </w:tr>
      <w:tr>
        <w:tc>
          <w:tcPr>
            <w:tcW w:type="dxa" w:w="3200"/>
            <w:vAlign w:val="center"/>
          </w:tcPr>
          <w:p>
            <w:pPr>
              <w:spacing w:before="30" w:after="30" w:line="240" w:lineRule="auto"/>
              <w:jc w:val="left"/>
            </w:pPr>
            <w:r>
              <w:rPr>
                <w:rFonts w:ascii="Times New Roman" w:hAnsi="Times New Roman" w:eastAsia="宋体" w:hint="eastAsia"/>
                <w:b w:val="0"/>
                <w:sz w:val="18"/>
              </w:rPr>
              <w:t>最近三年经营活动现金流量净额累计</w:t>
            </w:r>
          </w:p>
        </w:tc>
        <w:tc>
          <w:tcPr>
            <w:tcW w:type="dxa" w:w="1250"/>
            <w:vAlign w:val="center"/>
          </w:tcPr>
          <w:p>
            <w:pPr>
              <w:spacing w:before="30" w:after="30" w:line="240" w:lineRule="auto"/>
              <w:jc w:val="right"/>
            </w:pPr>
            <w:r>
              <w:rPr>
                <w:rFonts w:ascii="Times New Roman" w:hAnsi="Times New Roman" w:eastAsia="宋体" w:hint="eastAsia"/>
                <w:b w:val="0"/>
                <w:sz w:val="18"/>
              </w:rPr>
              <w:t>25,000.00</w:t>
            </w:r>
          </w:p>
        </w:tc>
        <w:tc>
          <w:tcPr>
            <w:tcW w:type="dxa" w:w="2250"/>
            <w:vAlign w:val="center"/>
          </w:tcPr>
          <w:p>
            <w:pPr>
              <w:spacing w:before="30" w:after="30" w:line="240" w:lineRule="auto"/>
              <w:jc w:val="right"/>
            </w:pPr>
            <w:r>
              <w:rPr>
                <w:rFonts w:ascii="Times New Roman" w:hAnsi="Times New Roman" w:eastAsia="宋体" w:hint="eastAsia"/>
                <w:b w:val="0"/>
                <w:sz w:val="18"/>
              </w:rPr>
              <w:t>10,450.81</w:t>
            </w:r>
          </w:p>
        </w:tc>
        <w:tc>
          <w:tcPr>
            <w:tcW w:type="dxa" w:w="1600"/>
            <w:vAlign w:val="center"/>
          </w:tcPr>
          <w:p>
            <w:pPr>
              <w:spacing w:before="30" w:after="30" w:line="240" w:lineRule="auto"/>
              <w:jc w:val="center"/>
            </w:pPr>
            <w:r>
              <w:rPr>
                <w:rFonts w:ascii="Times New Roman" w:hAnsi="Times New Roman" w:eastAsia="宋体" w:hint="eastAsia"/>
                <w:b w:val="0"/>
                <w:sz w:val="18"/>
              </w:rPr>
              <w:t>否</w:t>
            </w:r>
          </w:p>
        </w:tc>
      </w:tr>
    </w:tbl>
    <w:p>
      <w:pPr>
        <w:spacing w:before="40" w:after="40" w:lineRule="auto" w:line="360"/>
        <w:ind w:firstLine="480"/>
        <w:jc w:val="both"/>
      </w:pPr>
      <w:r>
        <w:rPr>
          <w:rFonts w:ascii="Times New Roman" w:hAnsi="Times New Roman" w:eastAsia="宋体" w:hint="eastAsia"/>
          <w:b w:val="0"/>
          <w:sz w:val="24"/>
        </w:rPr>
        <w:t>最近一年营业收入43,435.86万元，差16,564.14万元。最近三年经营活动现金流量净额累计10,450.81万元，差14,549.19万元。预计市值尚未评估，按2025年度净利润13,343.75万元测算，达到50亿元市值对应约37.47倍市盈率。该套标准不满足。</w:t>
      </w:r>
    </w:p>
    <w:p>
      <w:pPr>
        <w:spacing w:before="120" w:after="40" w:lineRule="auto" w:line="360"/>
        <w:ind w:firstLine="480"/>
      </w:pPr>
      <w:r>
        <w:rPr>
          <w:rFonts w:ascii="Times New Roman" w:hAnsi="Times New Roman" w:eastAsia="宋体" w:hint="eastAsia"/>
          <w:b/>
          <w:sz w:val="24"/>
        </w:rPr>
        <w:t>（三）第三套标准</w:t>
      </w:r>
    </w:p>
    <w:p>
      <w:pPr>
        <w:spacing w:before="40" w:after="40" w:lineRule="auto" w:line="360"/>
        <w:ind w:firstLine="480"/>
        <w:jc w:val="both"/>
      </w:pPr>
      <w:r>
        <w:rPr>
          <w:rFonts w:ascii="Times New Roman" w:hAnsi="Times New Roman" w:eastAsia="宋体" w:hint="eastAsia"/>
          <w:b w:val="0"/>
          <w:sz w:val="24"/>
        </w:rPr>
        <w:t>第三套标准为：预计市值不低于100亿元，且最近一年净利润为正，最近一年营业收入不低于10亿元。</w:t>
      </w:r>
    </w:p>
    <w:p>
      <w:pPr>
        <w:spacing w:before="80" w:after="0" w:lineRule="auto" w:line="240"/>
        <w:jc w:val="right"/>
      </w:pPr>
      <w:r>
        <w:rPr>
          <w:rFonts w:ascii="Times New Roman" w:hAnsi="Times New Roman" w:eastAsia="宋体" w:hint="eastAsia"/>
          <w:b w:val="0"/>
          <w:sz w:val="18"/>
        </w:rPr>
        <w:t>单位：万元</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2078"/>
        <w:gridCol w:w="2078"/>
        <w:gridCol w:w="2078"/>
        <w:gridCol w:w="2078"/>
      </w:tblGrid>
      <w:tr>
        <w:tc>
          <w:tcPr>
            <w:tcW w:type="dxa" w:w="3200"/>
            <w:vAlign w:val="center"/>
          </w:tcPr>
          <w:p>
            <w:pPr>
              <w:spacing w:before="30" w:after="30" w:line="240" w:lineRule="auto"/>
              <w:jc w:val="center"/>
            </w:pPr>
            <w:r>
              <w:rPr>
                <w:rFonts w:ascii="Times New Roman" w:hAnsi="Times New Roman" w:eastAsia="宋体" w:hint="eastAsia"/>
                <w:b/>
                <w:sz w:val="18"/>
              </w:rPr>
              <w:t>指标要求</w:t>
            </w:r>
          </w:p>
        </w:tc>
        <w:tc>
          <w:tcPr>
            <w:tcW w:type="dxa" w:w="1250"/>
            <w:vAlign w:val="center"/>
          </w:tcPr>
          <w:p>
            <w:pPr>
              <w:spacing w:before="30" w:after="30" w:line="240" w:lineRule="auto"/>
              <w:jc w:val="center"/>
            </w:pPr>
            <w:r>
              <w:rPr>
                <w:rFonts w:ascii="Times New Roman" w:hAnsi="Times New Roman" w:eastAsia="宋体" w:hint="eastAsia"/>
                <w:b/>
                <w:sz w:val="18"/>
              </w:rPr>
              <w:t>门槛值</w:t>
            </w:r>
          </w:p>
        </w:tc>
        <w:tc>
          <w:tcPr>
            <w:tcW w:type="dxa" w:w="2250"/>
            <w:vAlign w:val="center"/>
          </w:tcPr>
          <w:p>
            <w:pPr>
              <w:spacing w:before="30" w:after="30" w:line="240" w:lineRule="auto"/>
              <w:jc w:val="center"/>
            </w:pPr>
            <w:r>
              <w:rPr>
                <w:rFonts w:ascii="Times New Roman" w:hAnsi="Times New Roman" w:eastAsia="宋体" w:hint="eastAsia"/>
                <w:b/>
                <w:sz w:val="18"/>
              </w:rPr>
              <w:t>发行人测算值</w:t>
            </w:r>
          </w:p>
        </w:tc>
        <w:tc>
          <w:tcPr>
            <w:tcW w:type="dxa" w:w="1600"/>
            <w:vAlign w:val="center"/>
          </w:tcPr>
          <w:p>
            <w:pPr>
              <w:spacing w:before="30" w:after="30" w:line="240" w:lineRule="auto"/>
              <w:jc w:val="center"/>
            </w:pPr>
            <w:r>
              <w:rPr>
                <w:rFonts w:ascii="Times New Roman" w:hAnsi="Times New Roman" w:eastAsia="宋体" w:hint="eastAsia"/>
                <w:b/>
                <w:sz w:val="18"/>
              </w:rPr>
              <w:t>是否满足</w:t>
            </w:r>
          </w:p>
        </w:tc>
      </w:tr>
      <w:tr>
        <w:tc>
          <w:tcPr>
            <w:tcW w:type="dxa" w:w="3200"/>
            <w:vAlign w:val="center"/>
          </w:tcPr>
          <w:p>
            <w:pPr>
              <w:spacing w:before="30" w:after="30" w:line="240" w:lineRule="auto"/>
              <w:jc w:val="left"/>
            </w:pPr>
            <w:r>
              <w:rPr>
                <w:rFonts w:ascii="Times New Roman" w:hAnsi="Times New Roman" w:eastAsia="宋体" w:hint="eastAsia"/>
                <w:b w:val="0"/>
                <w:sz w:val="18"/>
              </w:rPr>
              <w:t>预计市值</w:t>
            </w:r>
          </w:p>
        </w:tc>
        <w:tc>
          <w:tcPr>
            <w:tcW w:type="dxa" w:w="1250"/>
            <w:vAlign w:val="center"/>
          </w:tcPr>
          <w:p>
            <w:pPr>
              <w:spacing w:before="30" w:after="30" w:line="240" w:lineRule="auto"/>
              <w:jc w:val="right"/>
            </w:pPr>
            <w:r>
              <w:rPr>
                <w:rFonts w:ascii="Times New Roman" w:hAnsi="Times New Roman" w:eastAsia="宋体" w:hint="eastAsia"/>
                <w:b w:val="0"/>
                <w:sz w:val="18"/>
              </w:rPr>
              <w:t>1,000,000.00</w:t>
            </w:r>
          </w:p>
        </w:tc>
        <w:tc>
          <w:tcPr>
            <w:tcW w:type="dxa" w:w="2250"/>
            <w:vAlign w:val="center"/>
          </w:tcPr>
          <w:p>
            <w:pPr>
              <w:spacing w:before="30" w:after="30" w:line="240" w:lineRule="auto"/>
              <w:jc w:val="right"/>
            </w:pPr>
            <w:r>
              <w:rPr>
                <w:rFonts w:ascii="Times New Roman" w:hAnsi="Times New Roman" w:eastAsia="宋体" w:hint="eastAsia"/>
                <w:b w:val="0"/>
                <w:sz w:val="18"/>
              </w:rPr>
              <w:t>尚未评估</w:t>
            </w:r>
          </w:p>
        </w:tc>
        <w:tc>
          <w:tcPr>
            <w:tcW w:type="dxa" w:w="1600"/>
            <w:vAlign w:val="center"/>
          </w:tcPr>
          <w:p>
            <w:pPr>
              <w:spacing w:before="30" w:after="30" w:line="240" w:lineRule="auto"/>
              <w:jc w:val="center"/>
            </w:pPr>
            <w:r>
              <w:rPr>
                <w:rFonts w:ascii="Times New Roman" w:hAnsi="Times New Roman" w:eastAsia="宋体" w:hint="eastAsia"/>
                <w:b w:val="0"/>
                <w:sz w:val="18"/>
              </w:rPr>
              <w:t>待定</w:t>
            </w:r>
          </w:p>
        </w:tc>
      </w:tr>
      <w:tr>
        <w:tc>
          <w:tcPr>
            <w:tcW w:type="dxa" w:w="3200"/>
            <w:vAlign w:val="center"/>
          </w:tcPr>
          <w:p>
            <w:pPr>
              <w:spacing w:before="30" w:after="30" w:line="240" w:lineRule="auto"/>
              <w:jc w:val="left"/>
            </w:pPr>
            <w:r>
              <w:rPr>
                <w:rFonts w:ascii="Times New Roman" w:hAnsi="Times New Roman" w:eastAsia="宋体" w:hint="eastAsia"/>
                <w:b w:val="0"/>
                <w:sz w:val="18"/>
              </w:rPr>
              <w:t>最近一年净利润为正</w:t>
            </w:r>
          </w:p>
        </w:tc>
        <w:tc>
          <w:tcPr>
            <w:tcW w:type="dxa" w:w="1250"/>
            <w:vAlign w:val="center"/>
          </w:tcPr>
          <w:p>
            <w:pPr>
              <w:spacing w:before="30" w:after="30" w:line="240" w:lineRule="auto"/>
              <w:jc w:val="right"/>
            </w:pPr>
            <w:r>
              <w:rPr>
                <w:rFonts w:ascii="Times New Roman" w:hAnsi="Times New Roman" w:eastAsia="宋体" w:hint="eastAsia"/>
                <w:b w:val="0"/>
                <w:sz w:val="18"/>
              </w:rPr>
              <w:t>—</w:t>
            </w:r>
          </w:p>
        </w:tc>
        <w:tc>
          <w:tcPr>
            <w:tcW w:type="dxa" w:w="2250"/>
            <w:vAlign w:val="center"/>
          </w:tcPr>
          <w:p>
            <w:pPr>
              <w:spacing w:before="30" w:after="30" w:line="240" w:lineRule="auto"/>
              <w:jc w:val="right"/>
            </w:pPr>
            <w:r>
              <w:rPr>
                <w:rFonts w:ascii="Times New Roman" w:hAnsi="Times New Roman" w:eastAsia="宋体" w:hint="eastAsia"/>
                <w:b w:val="0"/>
                <w:sz w:val="18"/>
              </w:rPr>
              <w:t>13,343.75</w:t>
            </w:r>
          </w:p>
        </w:tc>
        <w:tc>
          <w:tcPr>
            <w:tcW w:type="dxa" w:w="1600"/>
            <w:vAlign w:val="center"/>
          </w:tcPr>
          <w:p>
            <w:pPr>
              <w:spacing w:before="30" w:after="30" w:line="240" w:lineRule="auto"/>
              <w:jc w:val="center"/>
            </w:pPr>
            <w:r>
              <w:rPr>
                <w:rFonts w:ascii="Times New Roman" w:hAnsi="Times New Roman" w:eastAsia="宋体" w:hint="eastAsia"/>
                <w:b w:val="0"/>
                <w:sz w:val="18"/>
              </w:rPr>
              <w:t>是</w:t>
            </w:r>
          </w:p>
        </w:tc>
      </w:tr>
      <w:tr>
        <w:tc>
          <w:tcPr>
            <w:tcW w:type="dxa" w:w="3200"/>
            <w:vAlign w:val="center"/>
          </w:tcPr>
          <w:p>
            <w:pPr>
              <w:spacing w:before="30" w:after="30" w:line="240" w:lineRule="auto"/>
              <w:jc w:val="left"/>
            </w:pPr>
            <w:r>
              <w:rPr>
                <w:rFonts w:ascii="Times New Roman" w:hAnsi="Times New Roman" w:eastAsia="宋体" w:hint="eastAsia"/>
                <w:b w:val="0"/>
                <w:sz w:val="18"/>
              </w:rPr>
              <w:t>最近一年营业收入</w:t>
            </w:r>
          </w:p>
        </w:tc>
        <w:tc>
          <w:tcPr>
            <w:tcW w:type="dxa" w:w="1250"/>
            <w:vAlign w:val="center"/>
          </w:tcPr>
          <w:p>
            <w:pPr>
              <w:spacing w:before="30" w:after="30" w:line="240" w:lineRule="auto"/>
              <w:jc w:val="right"/>
            </w:pPr>
            <w:r>
              <w:rPr>
                <w:rFonts w:ascii="Times New Roman" w:hAnsi="Times New Roman" w:eastAsia="宋体" w:hint="eastAsia"/>
                <w:b w:val="0"/>
                <w:sz w:val="18"/>
              </w:rPr>
              <w:t>100,000.00</w:t>
            </w:r>
          </w:p>
        </w:tc>
        <w:tc>
          <w:tcPr>
            <w:tcW w:type="dxa" w:w="2250"/>
            <w:vAlign w:val="center"/>
          </w:tcPr>
          <w:p>
            <w:pPr>
              <w:spacing w:before="30" w:after="30" w:line="240" w:lineRule="auto"/>
              <w:jc w:val="right"/>
            </w:pPr>
            <w:r>
              <w:rPr>
                <w:rFonts w:ascii="Times New Roman" w:hAnsi="Times New Roman" w:eastAsia="宋体" w:hint="eastAsia"/>
                <w:b w:val="0"/>
                <w:sz w:val="18"/>
              </w:rPr>
              <w:t>43,435.86</w:t>
            </w:r>
          </w:p>
        </w:tc>
        <w:tc>
          <w:tcPr>
            <w:tcW w:type="dxa" w:w="1600"/>
            <w:vAlign w:val="center"/>
          </w:tcPr>
          <w:p>
            <w:pPr>
              <w:spacing w:before="30" w:after="30" w:line="240" w:lineRule="auto"/>
              <w:jc w:val="center"/>
            </w:pPr>
            <w:r>
              <w:rPr>
                <w:rFonts w:ascii="Times New Roman" w:hAnsi="Times New Roman" w:eastAsia="宋体" w:hint="eastAsia"/>
                <w:b w:val="0"/>
                <w:sz w:val="18"/>
              </w:rPr>
              <w:t>否</w:t>
            </w:r>
          </w:p>
        </w:tc>
      </w:tr>
    </w:tbl>
    <w:p>
      <w:pPr>
        <w:spacing w:before="40" w:after="40" w:lineRule="auto" w:line="360"/>
        <w:ind w:firstLine="480"/>
        <w:jc w:val="both"/>
      </w:pPr>
      <w:r>
        <w:rPr>
          <w:rFonts w:ascii="Times New Roman" w:hAnsi="Times New Roman" w:eastAsia="宋体" w:hint="eastAsia"/>
          <w:b w:val="0"/>
          <w:sz w:val="24"/>
        </w:rPr>
        <w:t>最近一年营业收入43,435.86万元，差56,564.14万元。预计市值尚未评估，按2025年度净利润测算，达到100亿元市值对应约74.94倍市盈率。该套标准不满足。</w:t>
      </w:r>
    </w:p>
    <w:p>
      <w:pPr>
        <w:spacing w:before="120" w:after="40" w:lineRule="auto" w:line="360"/>
        <w:ind w:firstLine="480"/>
      </w:pPr>
      <w:r>
        <w:rPr>
          <w:rFonts w:ascii="Times New Roman" w:hAnsi="Times New Roman" w:eastAsia="宋体" w:hint="eastAsia"/>
          <w:b/>
          <w:sz w:val="24"/>
        </w:rPr>
        <w:t>（四）比对结果</w:t>
      </w:r>
    </w:p>
    <w:p>
      <w:pPr>
        <w:spacing w:before="40" w:after="40" w:lineRule="auto" w:line="360"/>
        <w:ind w:firstLine="480"/>
        <w:jc w:val="both"/>
      </w:pPr>
      <w:r>
        <w:rPr>
          <w:rFonts w:ascii="Times New Roman" w:hAnsi="Times New Roman" w:eastAsia="宋体" w:hint="eastAsia"/>
          <w:b w:val="0"/>
          <w:sz w:val="24"/>
        </w:rPr>
        <w:t>按现有数据，主板三套上市财务指标均不满足。第二套、第三套标准的未达标项为最近一年营业收入，差额分别为16,564.14万元和56,564.14万元。第一套标准的未达标项为最近三年经营活动现金流量净额累计及营业收入累计，差额分别为9,549.19万元和79,929.77万元。</w:t>
      </w:r>
    </w:p>
    <w:p>
      <w:pPr>
        <w:spacing w:before="200" w:after="80" w:lineRule="auto" w:line="360"/>
        <w:ind w:firstLine="480"/>
      </w:pPr>
      <w:r>
        <w:rPr>
          <w:rFonts w:ascii="Times New Roman" w:hAnsi="Times New Roman" w:eastAsia="黑体" w:hint="eastAsia"/>
          <w:b/>
          <w:sz w:val="24"/>
        </w:rPr>
        <w:t>四、经营活动现金流量净额的构成分析</w:t>
      </w:r>
    </w:p>
    <w:p>
      <w:pPr>
        <w:spacing w:before="120" w:after="40" w:lineRule="auto" w:line="360"/>
        <w:ind w:firstLine="480"/>
      </w:pPr>
      <w:r>
        <w:rPr>
          <w:rFonts w:ascii="Times New Roman" w:hAnsi="Times New Roman" w:eastAsia="宋体" w:hint="eastAsia"/>
          <w:b/>
          <w:sz w:val="24"/>
        </w:rPr>
        <w:t>（一）资金归集情况</w:t>
      </w:r>
    </w:p>
    <w:p>
      <w:pPr>
        <w:spacing w:before="40" w:after="40" w:lineRule="auto" w:line="360"/>
        <w:ind w:firstLine="480"/>
        <w:jc w:val="both"/>
      </w:pPr>
      <w:r>
        <w:rPr>
          <w:rFonts w:ascii="Times New Roman" w:hAnsi="Times New Roman" w:eastAsia="宋体" w:hint="eastAsia"/>
          <w:b w:val="0"/>
          <w:sz w:val="24"/>
        </w:rPr>
        <w:t>发行人各期科目余额表中，其他应收款项下设有“内部存款”明细科目，核算发行人存放于集团内部的资金。该科目余额及占资产总计的比例如下：</w:t>
      </w:r>
    </w:p>
    <w:p>
      <w:pPr>
        <w:spacing w:before="80" w:after="0" w:lineRule="auto" w:line="240"/>
        <w:jc w:val="right"/>
      </w:pPr>
      <w:r>
        <w:rPr>
          <w:rFonts w:ascii="Times New Roman" w:hAnsi="Times New Roman" w:eastAsia="宋体" w:hint="eastAsia"/>
          <w:b w:val="0"/>
          <w:sz w:val="18"/>
        </w:rPr>
        <w:t>单位：万元</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1662"/>
        <w:gridCol w:w="1662"/>
        <w:gridCol w:w="1662"/>
        <w:gridCol w:w="1662"/>
        <w:gridCol w:w="1662"/>
      </w:tblGrid>
      <w:tr>
        <w:tc>
          <w:tcPr>
            <w:tcW w:type="dxa" w:w="2100"/>
            <w:vAlign w:val="center"/>
          </w:tcPr>
          <w:p>
            <w:pPr>
              <w:spacing w:before="30" w:after="30" w:line="240" w:lineRule="auto"/>
              <w:jc w:val="center"/>
            </w:pPr>
            <w:r>
              <w:rPr>
                <w:rFonts w:ascii="Times New Roman" w:hAnsi="Times New Roman" w:eastAsia="宋体" w:hint="eastAsia"/>
                <w:b/>
                <w:sz w:val="18"/>
              </w:rPr>
              <w:t>项目</w:t>
            </w:r>
          </w:p>
        </w:tc>
        <w:tc>
          <w:tcPr>
            <w:tcW w:type="dxa" w:w="1550"/>
            <w:vAlign w:val="center"/>
          </w:tcPr>
          <w:p>
            <w:pPr>
              <w:spacing w:before="30" w:after="30" w:line="240" w:lineRule="auto"/>
              <w:jc w:val="center"/>
            </w:pPr>
            <w:r>
              <w:rPr>
                <w:rFonts w:ascii="Times New Roman" w:hAnsi="Times New Roman" w:eastAsia="宋体" w:hint="eastAsia"/>
                <w:b/>
                <w:sz w:val="18"/>
              </w:rPr>
              <w:t>2026年6月末</w:t>
            </w:r>
          </w:p>
        </w:tc>
        <w:tc>
          <w:tcPr>
            <w:tcW w:type="dxa" w:w="1550"/>
            <w:vAlign w:val="center"/>
          </w:tcPr>
          <w:p>
            <w:pPr>
              <w:spacing w:before="30" w:after="30" w:line="240" w:lineRule="auto"/>
              <w:jc w:val="center"/>
            </w:pPr>
            <w:r>
              <w:rPr>
                <w:rFonts w:ascii="Times New Roman" w:hAnsi="Times New Roman" w:eastAsia="宋体" w:hint="eastAsia"/>
                <w:b/>
                <w:sz w:val="18"/>
              </w:rPr>
              <w:t>2025年末</w:t>
            </w:r>
          </w:p>
        </w:tc>
        <w:tc>
          <w:tcPr>
            <w:tcW w:type="dxa" w:w="1550"/>
            <w:vAlign w:val="center"/>
          </w:tcPr>
          <w:p>
            <w:pPr>
              <w:spacing w:before="30" w:after="30" w:line="240" w:lineRule="auto"/>
              <w:jc w:val="center"/>
            </w:pPr>
            <w:r>
              <w:rPr>
                <w:rFonts w:ascii="Times New Roman" w:hAnsi="Times New Roman" w:eastAsia="宋体" w:hint="eastAsia"/>
                <w:b/>
                <w:sz w:val="18"/>
              </w:rPr>
              <w:t>2024年末</w:t>
            </w:r>
          </w:p>
        </w:tc>
        <w:tc>
          <w:tcPr>
            <w:tcW w:type="dxa" w:w="1550"/>
            <w:vAlign w:val="center"/>
          </w:tcPr>
          <w:p>
            <w:pPr>
              <w:spacing w:before="30" w:after="30" w:line="240" w:lineRule="auto"/>
              <w:jc w:val="center"/>
            </w:pPr>
            <w:r>
              <w:rPr>
                <w:rFonts w:ascii="Times New Roman" w:hAnsi="Times New Roman" w:eastAsia="宋体" w:hint="eastAsia"/>
                <w:b/>
                <w:sz w:val="18"/>
              </w:rPr>
              <w:t>2023年末</w:t>
            </w:r>
          </w:p>
        </w:tc>
      </w:tr>
      <w:tr>
        <w:tc>
          <w:tcPr>
            <w:tcW w:type="dxa" w:w="2100"/>
            <w:vAlign w:val="center"/>
          </w:tcPr>
          <w:p>
            <w:pPr>
              <w:spacing w:before="30" w:after="30" w:line="240" w:lineRule="auto"/>
              <w:jc w:val="left"/>
            </w:pPr>
            <w:r>
              <w:rPr>
                <w:rFonts w:ascii="Times New Roman" w:hAnsi="Times New Roman" w:eastAsia="宋体" w:hint="eastAsia"/>
                <w:b w:val="0"/>
                <w:sz w:val="18"/>
              </w:rPr>
              <w:t>其他应收款—内部存款</w:t>
            </w:r>
          </w:p>
        </w:tc>
        <w:tc>
          <w:tcPr>
            <w:tcW w:type="dxa" w:w="1550"/>
            <w:vAlign w:val="center"/>
          </w:tcPr>
          <w:p>
            <w:pPr>
              <w:spacing w:before="30" w:after="30" w:line="240" w:lineRule="auto"/>
              <w:jc w:val="right"/>
            </w:pPr>
            <w:r>
              <w:rPr>
                <w:rFonts w:ascii="Times New Roman" w:hAnsi="Times New Roman" w:eastAsia="宋体" w:hint="eastAsia"/>
                <w:b w:val="0"/>
                <w:sz w:val="18"/>
              </w:rPr>
              <w:t>38,048.24</w:t>
            </w:r>
          </w:p>
        </w:tc>
        <w:tc>
          <w:tcPr>
            <w:tcW w:type="dxa" w:w="1550"/>
            <w:vAlign w:val="center"/>
          </w:tcPr>
          <w:p>
            <w:pPr>
              <w:spacing w:before="30" w:after="30" w:line="240" w:lineRule="auto"/>
              <w:jc w:val="right"/>
            </w:pPr>
            <w:r>
              <w:rPr>
                <w:rFonts w:ascii="Times New Roman" w:hAnsi="Times New Roman" w:eastAsia="宋体" w:hint="eastAsia"/>
                <w:b w:val="0"/>
                <w:sz w:val="18"/>
              </w:rPr>
              <w:t>24,763.26</w:t>
            </w:r>
          </w:p>
        </w:tc>
        <w:tc>
          <w:tcPr>
            <w:tcW w:type="dxa" w:w="1550"/>
            <w:vAlign w:val="center"/>
          </w:tcPr>
          <w:p>
            <w:pPr>
              <w:spacing w:before="30" w:after="30" w:line="240" w:lineRule="auto"/>
              <w:jc w:val="right"/>
            </w:pPr>
            <w:r>
              <w:rPr>
                <w:rFonts w:ascii="Times New Roman" w:hAnsi="Times New Roman" w:eastAsia="宋体" w:hint="eastAsia"/>
                <w:b w:val="0"/>
                <w:sz w:val="18"/>
              </w:rPr>
              <w:t>13,175.74</w:t>
            </w:r>
          </w:p>
        </w:tc>
        <w:tc>
          <w:tcPr>
            <w:tcW w:type="dxa" w:w="1550"/>
            <w:vAlign w:val="center"/>
          </w:tcPr>
          <w:p>
            <w:pPr>
              <w:spacing w:before="30" w:after="30" w:line="240" w:lineRule="auto"/>
              <w:jc w:val="right"/>
            </w:pPr>
            <w:r>
              <w:rPr>
                <w:rFonts w:ascii="Times New Roman" w:hAnsi="Times New Roman" w:eastAsia="宋体" w:hint="eastAsia"/>
                <w:b w:val="0"/>
                <w:sz w:val="18"/>
              </w:rPr>
              <w:t>6,423.38</w:t>
            </w:r>
          </w:p>
        </w:tc>
      </w:tr>
      <w:tr>
        <w:tc>
          <w:tcPr>
            <w:tcW w:type="dxa" w:w="2100"/>
            <w:vAlign w:val="center"/>
          </w:tcPr>
          <w:p>
            <w:pPr>
              <w:spacing w:before="30" w:after="30" w:line="240" w:lineRule="auto"/>
              <w:jc w:val="left"/>
            </w:pPr>
            <w:r>
              <w:rPr>
                <w:rFonts w:ascii="Times New Roman" w:hAnsi="Times New Roman" w:eastAsia="宋体" w:hint="eastAsia"/>
                <w:b w:val="0"/>
                <w:sz w:val="18"/>
              </w:rPr>
              <w:t>其他应收款账面余额合计</w:t>
            </w:r>
          </w:p>
        </w:tc>
        <w:tc>
          <w:tcPr>
            <w:tcW w:type="dxa" w:w="1550"/>
            <w:vAlign w:val="center"/>
          </w:tcPr>
          <w:p>
            <w:pPr>
              <w:spacing w:before="30" w:after="30" w:line="240" w:lineRule="auto"/>
              <w:jc w:val="right"/>
            </w:pPr>
            <w:r>
              <w:rPr>
                <w:rFonts w:ascii="Times New Roman" w:hAnsi="Times New Roman" w:eastAsia="宋体" w:hint="eastAsia"/>
                <w:b w:val="0"/>
                <w:sz w:val="18"/>
              </w:rPr>
              <w:t>38,059.54</w:t>
            </w:r>
          </w:p>
        </w:tc>
        <w:tc>
          <w:tcPr>
            <w:tcW w:type="dxa" w:w="1550"/>
            <w:vAlign w:val="center"/>
          </w:tcPr>
          <w:p>
            <w:pPr>
              <w:spacing w:before="30" w:after="30" w:line="240" w:lineRule="auto"/>
              <w:jc w:val="right"/>
            </w:pPr>
            <w:r>
              <w:rPr>
                <w:rFonts w:ascii="Times New Roman" w:hAnsi="Times New Roman" w:eastAsia="宋体" w:hint="eastAsia"/>
                <w:b w:val="0"/>
                <w:sz w:val="18"/>
              </w:rPr>
              <w:t>24,772.03</w:t>
            </w:r>
          </w:p>
        </w:tc>
        <w:tc>
          <w:tcPr>
            <w:tcW w:type="dxa" w:w="1550"/>
            <w:vAlign w:val="center"/>
          </w:tcPr>
          <w:p>
            <w:pPr>
              <w:spacing w:before="30" w:after="30" w:line="240" w:lineRule="auto"/>
              <w:jc w:val="right"/>
            </w:pPr>
            <w:r>
              <w:rPr>
                <w:rFonts w:ascii="Times New Roman" w:hAnsi="Times New Roman" w:eastAsia="宋体" w:hint="eastAsia"/>
                <w:b w:val="0"/>
                <w:sz w:val="18"/>
              </w:rPr>
              <w:t>16,474.72</w:t>
            </w:r>
          </w:p>
        </w:tc>
        <w:tc>
          <w:tcPr>
            <w:tcW w:type="dxa" w:w="1550"/>
            <w:vAlign w:val="center"/>
          </w:tcPr>
          <w:p>
            <w:pPr>
              <w:spacing w:before="30" w:after="30" w:line="240" w:lineRule="auto"/>
              <w:jc w:val="right"/>
            </w:pPr>
            <w:r>
              <w:rPr>
                <w:rFonts w:ascii="Times New Roman" w:hAnsi="Times New Roman" w:eastAsia="宋体" w:hint="eastAsia"/>
                <w:b w:val="0"/>
                <w:sz w:val="18"/>
              </w:rPr>
              <w:t>6,435.33</w:t>
            </w:r>
          </w:p>
        </w:tc>
      </w:tr>
      <w:tr>
        <w:tc>
          <w:tcPr>
            <w:tcW w:type="dxa" w:w="2100"/>
            <w:vAlign w:val="center"/>
          </w:tcPr>
          <w:p>
            <w:pPr>
              <w:spacing w:before="30" w:after="30" w:line="240" w:lineRule="auto"/>
              <w:jc w:val="left"/>
            </w:pPr>
            <w:r>
              <w:rPr>
                <w:rFonts w:ascii="Times New Roman" w:hAnsi="Times New Roman" w:eastAsia="宋体" w:hint="eastAsia"/>
                <w:b w:val="0"/>
                <w:sz w:val="18"/>
              </w:rPr>
              <w:t>货币资金</w:t>
            </w:r>
          </w:p>
        </w:tc>
        <w:tc>
          <w:tcPr>
            <w:tcW w:type="dxa" w:w="1550"/>
            <w:vAlign w:val="center"/>
          </w:tcPr>
          <w:p>
            <w:pPr>
              <w:spacing w:before="30" w:after="30" w:line="240" w:lineRule="auto"/>
              <w:jc w:val="right"/>
            </w:pPr>
            <w:r>
              <w:rPr>
                <w:rFonts w:ascii="Times New Roman" w:hAnsi="Times New Roman" w:eastAsia="宋体" w:hint="eastAsia"/>
                <w:b w:val="0"/>
                <w:sz w:val="18"/>
              </w:rPr>
              <w:t>503.04</w:t>
            </w:r>
          </w:p>
        </w:tc>
        <w:tc>
          <w:tcPr>
            <w:tcW w:type="dxa" w:w="1550"/>
            <w:vAlign w:val="center"/>
          </w:tcPr>
          <w:p>
            <w:pPr>
              <w:spacing w:before="30" w:after="30" w:line="240" w:lineRule="auto"/>
              <w:jc w:val="right"/>
            </w:pPr>
            <w:r>
              <w:rPr>
                <w:rFonts w:ascii="Times New Roman" w:hAnsi="Times New Roman" w:eastAsia="宋体" w:hint="eastAsia"/>
                <w:b w:val="0"/>
                <w:sz w:val="18"/>
              </w:rPr>
              <w:t>256.84</w:t>
            </w:r>
          </w:p>
        </w:tc>
        <w:tc>
          <w:tcPr>
            <w:tcW w:type="dxa" w:w="1550"/>
            <w:vAlign w:val="center"/>
          </w:tcPr>
          <w:p>
            <w:pPr>
              <w:spacing w:before="30" w:after="30" w:line="240" w:lineRule="auto"/>
              <w:jc w:val="right"/>
            </w:pPr>
            <w:r>
              <w:rPr>
                <w:rFonts w:ascii="Times New Roman" w:hAnsi="Times New Roman" w:eastAsia="宋体" w:hint="eastAsia"/>
                <w:b w:val="0"/>
                <w:sz w:val="18"/>
              </w:rPr>
              <w:t>138.99</w:t>
            </w:r>
          </w:p>
        </w:tc>
        <w:tc>
          <w:tcPr>
            <w:tcW w:type="dxa" w:w="1550"/>
            <w:vAlign w:val="center"/>
          </w:tcPr>
          <w:p>
            <w:pPr>
              <w:spacing w:before="30" w:after="30" w:line="240" w:lineRule="auto"/>
              <w:jc w:val="right"/>
            </w:pPr>
            <w:r>
              <w:rPr>
                <w:rFonts w:ascii="Times New Roman" w:hAnsi="Times New Roman" w:eastAsia="宋体" w:hint="eastAsia"/>
                <w:b w:val="0"/>
                <w:sz w:val="18"/>
              </w:rPr>
              <w:t>282.83</w:t>
            </w:r>
          </w:p>
        </w:tc>
      </w:tr>
      <w:tr>
        <w:tc>
          <w:tcPr>
            <w:tcW w:type="dxa" w:w="2100"/>
            <w:vAlign w:val="center"/>
          </w:tcPr>
          <w:p>
            <w:pPr>
              <w:spacing w:before="30" w:after="30" w:line="240" w:lineRule="auto"/>
              <w:jc w:val="left"/>
            </w:pPr>
            <w:r>
              <w:rPr>
                <w:rFonts w:ascii="Times New Roman" w:hAnsi="Times New Roman" w:eastAsia="宋体" w:hint="eastAsia"/>
                <w:b w:val="0"/>
                <w:sz w:val="18"/>
              </w:rPr>
              <w:t>资产总计</w:t>
            </w:r>
          </w:p>
        </w:tc>
        <w:tc>
          <w:tcPr>
            <w:tcW w:type="dxa" w:w="1550"/>
            <w:vAlign w:val="center"/>
          </w:tcPr>
          <w:p>
            <w:pPr>
              <w:spacing w:before="30" w:after="30" w:line="240" w:lineRule="auto"/>
              <w:jc w:val="right"/>
            </w:pPr>
            <w:r>
              <w:rPr>
                <w:rFonts w:ascii="Times New Roman" w:hAnsi="Times New Roman" w:eastAsia="宋体" w:hint="eastAsia"/>
                <w:b w:val="0"/>
                <w:sz w:val="18"/>
              </w:rPr>
              <w:t>49,644.72</w:t>
            </w:r>
          </w:p>
        </w:tc>
        <w:tc>
          <w:tcPr>
            <w:tcW w:type="dxa" w:w="1550"/>
            <w:vAlign w:val="center"/>
          </w:tcPr>
          <w:p>
            <w:pPr>
              <w:spacing w:before="30" w:after="30" w:line="240" w:lineRule="auto"/>
              <w:jc w:val="right"/>
            </w:pPr>
            <w:r>
              <w:rPr>
                <w:rFonts w:ascii="Times New Roman" w:hAnsi="Times New Roman" w:eastAsia="宋体" w:hint="eastAsia"/>
                <w:b w:val="0"/>
                <w:sz w:val="18"/>
              </w:rPr>
              <w:t>39,986.23</w:t>
            </w:r>
          </w:p>
        </w:tc>
        <w:tc>
          <w:tcPr>
            <w:tcW w:type="dxa" w:w="1550"/>
            <w:vAlign w:val="center"/>
          </w:tcPr>
          <w:p>
            <w:pPr>
              <w:spacing w:before="30" w:after="30" w:line="240" w:lineRule="auto"/>
              <w:jc w:val="right"/>
            </w:pPr>
            <w:r>
              <w:rPr>
                <w:rFonts w:ascii="Times New Roman" w:hAnsi="Times New Roman" w:eastAsia="宋体" w:hint="eastAsia"/>
                <w:b w:val="0"/>
                <w:sz w:val="18"/>
              </w:rPr>
              <w:t>25,325.74</w:t>
            </w:r>
          </w:p>
        </w:tc>
        <w:tc>
          <w:tcPr>
            <w:tcW w:type="dxa" w:w="1550"/>
            <w:vAlign w:val="center"/>
          </w:tcPr>
          <w:p>
            <w:pPr>
              <w:spacing w:before="30" w:after="30" w:line="240" w:lineRule="auto"/>
              <w:jc w:val="right"/>
            </w:pPr>
            <w:r>
              <w:rPr>
                <w:rFonts w:ascii="Times New Roman" w:hAnsi="Times New Roman" w:eastAsia="宋体" w:hint="eastAsia"/>
                <w:b w:val="0"/>
                <w:sz w:val="18"/>
              </w:rPr>
              <w:t>9,658.51</w:t>
            </w:r>
          </w:p>
        </w:tc>
      </w:tr>
      <w:tr>
        <w:tc>
          <w:tcPr>
            <w:tcW w:type="dxa" w:w="2100"/>
            <w:vAlign w:val="center"/>
          </w:tcPr>
          <w:p>
            <w:pPr>
              <w:spacing w:before="30" w:after="30" w:line="240" w:lineRule="auto"/>
              <w:jc w:val="left"/>
            </w:pPr>
            <w:r>
              <w:rPr>
                <w:rFonts w:ascii="Times New Roman" w:hAnsi="Times New Roman" w:eastAsia="宋体" w:hint="eastAsia"/>
                <w:b w:val="0"/>
                <w:sz w:val="18"/>
              </w:rPr>
              <w:t>内部存款占资产总计比例</w:t>
            </w:r>
          </w:p>
        </w:tc>
        <w:tc>
          <w:tcPr>
            <w:tcW w:type="dxa" w:w="1550"/>
            <w:vAlign w:val="center"/>
          </w:tcPr>
          <w:p>
            <w:pPr>
              <w:spacing w:before="30" w:after="30" w:line="240" w:lineRule="auto"/>
              <w:jc w:val="right"/>
            </w:pPr>
            <w:r>
              <w:rPr>
                <w:rFonts w:ascii="Times New Roman" w:hAnsi="Times New Roman" w:eastAsia="宋体" w:hint="eastAsia"/>
                <w:b w:val="0"/>
                <w:sz w:val="18"/>
              </w:rPr>
              <w:t>76.64%</w:t>
            </w:r>
          </w:p>
        </w:tc>
        <w:tc>
          <w:tcPr>
            <w:tcW w:type="dxa" w:w="1550"/>
            <w:vAlign w:val="center"/>
          </w:tcPr>
          <w:p>
            <w:pPr>
              <w:spacing w:before="30" w:after="30" w:line="240" w:lineRule="auto"/>
              <w:jc w:val="right"/>
            </w:pPr>
            <w:r>
              <w:rPr>
                <w:rFonts w:ascii="Times New Roman" w:hAnsi="Times New Roman" w:eastAsia="宋体" w:hint="eastAsia"/>
                <w:b w:val="0"/>
                <w:sz w:val="18"/>
              </w:rPr>
              <w:t>61.93%</w:t>
            </w:r>
          </w:p>
        </w:tc>
        <w:tc>
          <w:tcPr>
            <w:tcW w:type="dxa" w:w="1550"/>
            <w:vAlign w:val="center"/>
          </w:tcPr>
          <w:p>
            <w:pPr>
              <w:spacing w:before="30" w:after="30" w:line="240" w:lineRule="auto"/>
              <w:jc w:val="right"/>
            </w:pPr>
            <w:r>
              <w:rPr>
                <w:rFonts w:ascii="Times New Roman" w:hAnsi="Times New Roman" w:eastAsia="宋体" w:hint="eastAsia"/>
                <w:b w:val="0"/>
                <w:sz w:val="18"/>
              </w:rPr>
              <w:t>52.02%</w:t>
            </w:r>
          </w:p>
        </w:tc>
        <w:tc>
          <w:tcPr>
            <w:tcW w:type="dxa" w:w="1550"/>
            <w:vAlign w:val="center"/>
          </w:tcPr>
          <w:p>
            <w:pPr>
              <w:spacing w:before="30" w:after="30" w:line="240" w:lineRule="auto"/>
              <w:jc w:val="right"/>
            </w:pPr>
            <w:r>
              <w:rPr>
                <w:rFonts w:ascii="Times New Roman" w:hAnsi="Times New Roman" w:eastAsia="宋体" w:hint="eastAsia"/>
                <w:b w:val="0"/>
                <w:sz w:val="18"/>
              </w:rPr>
              <w:t>66.50%</w:t>
            </w:r>
          </w:p>
        </w:tc>
      </w:tr>
    </w:tbl>
    <w:p>
      <w:pPr>
        <w:spacing w:before="40" w:after="160" w:lineRule="auto" w:line="336"/>
        <w:jc w:val="left"/>
      </w:pPr>
      <w:r>
        <w:rPr>
          <w:rFonts w:ascii="Times New Roman" w:hAnsi="Times New Roman" w:eastAsia="宋体" w:hint="eastAsia"/>
          <w:b w:val="0"/>
          <w:sz w:val="18"/>
        </w:rPr>
        <w:t>注：其他应收款为科目余额表所载账面余额，未扣除坏账准备。2023年末内部存款6,423.38万元中，定期存款3,300.00万元于2024年度转为对中发邢台的长期股权投资。</w:t>
      </w:r>
    </w:p>
    <w:p>
      <w:pPr>
        <w:spacing w:before="40" w:after="40" w:lineRule="auto" w:line="360"/>
        <w:ind w:firstLine="480"/>
        <w:jc w:val="both"/>
      </w:pPr>
      <w:r>
        <w:rPr>
          <w:rFonts w:ascii="Times New Roman" w:hAnsi="Times New Roman" w:eastAsia="宋体" w:hint="eastAsia"/>
          <w:b w:val="0"/>
          <w:sz w:val="24"/>
        </w:rPr>
        <w:t>内部存款为发行人资金的主要存放形式，各期货币资金余额均较低。截至2026年6月30日，内部存款余额38,048.24万元，占资产总计的76.64%，同期货币资金503.04万元。2025年度该科目借方发生额47,514.15万元，贷方发生额35,926.63万元，资金双向流动。</w:t>
      </w:r>
    </w:p>
    <w:p>
      <w:pPr>
        <w:spacing w:before="40" w:after="40" w:lineRule="auto" w:line="360"/>
        <w:ind w:firstLine="480"/>
        <w:jc w:val="both"/>
      </w:pPr>
      <w:r>
        <w:rPr>
          <w:rFonts w:ascii="Times New Roman" w:hAnsi="Times New Roman" w:eastAsia="宋体" w:hint="eastAsia"/>
          <w:b w:val="0"/>
          <w:sz w:val="24"/>
        </w:rPr>
        <w:t>内部存款在会计上列示为其他应收款，不属于现金及现金等价物。在现金流量表补充资料中，该科目的变动计入“经营性应收项目的增加”。即发行人经营活动实现的现金在归集当期计为经营性应收项目增加，不体现为经营活动现金流入。2025年度经营性应收项目增加10,196.59万元，2026年1—6月增加13,720.27万元，与同期内部存款的增加额基本对应。</w:t>
      </w:r>
    </w:p>
    <w:p>
      <w:pPr>
        <w:spacing w:before="120" w:after="40" w:lineRule="auto" w:line="360"/>
        <w:ind w:firstLine="480"/>
      </w:pPr>
      <w:r>
        <w:rPr>
          <w:rFonts w:ascii="Times New Roman" w:hAnsi="Times New Roman" w:eastAsia="宋体" w:hint="eastAsia"/>
          <w:b/>
          <w:sz w:val="24"/>
        </w:rPr>
        <w:t>（二）还原测算</w:t>
      </w:r>
    </w:p>
    <w:p>
      <w:pPr>
        <w:spacing w:before="40" w:after="40" w:lineRule="auto" w:line="360"/>
        <w:ind w:firstLine="480"/>
        <w:jc w:val="both"/>
      </w:pPr>
      <w:r>
        <w:rPr>
          <w:rFonts w:ascii="Times New Roman" w:hAnsi="Times New Roman" w:eastAsia="宋体" w:hint="eastAsia"/>
          <w:b w:val="0"/>
          <w:sz w:val="24"/>
        </w:rPr>
        <w:t>若将存放于集团的内部存款视同发行人自有资金，各期经营活动产生的现金流量净额还原如下：</w:t>
      </w:r>
    </w:p>
    <w:p>
      <w:pPr>
        <w:spacing w:before="80" w:after="0" w:lineRule="auto" w:line="240"/>
        <w:jc w:val="right"/>
      </w:pPr>
      <w:r>
        <w:rPr>
          <w:rFonts w:ascii="Times New Roman" w:hAnsi="Times New Roman" w:eastAsia="宋体" w:hint="eastAsia"/>
          <w:b w:val="0"/>
          <w:sz w:val="18"/>
        </w:rPr>
        <w:t>单位：万元</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1662"/>
        <w:gridCol w:w="1662"/>
        <w:gridCol w:w="1662"/>
        <w:gridCol w:w="1662"/>
        <w:gridCol w:w="1662"/>
      </w:tblGrid>
      <w:tr>
        <w:tc>
          <w:tcPr>
            <w:tcW w:type="dxa" w:w="2600"/>
            <w:vAlign w:val="center"/>
          </w:tcPr>
          <w:p>
            <w:pPr>
              <w:spacing w:before="30" w:after="30" w:line="240" w:lineRule="auto"/>
              <w:jc w:val="center"/>
            </w:pPr>
            <w:r>
              <w:rPr>
                <w:rFonts w:ascii="Times New Roman" w:hAnsi="Times New Roman" w:eastAsia="宋体" w:hint="eastAsia"/>
                <w:b/>
                <w:sz w:val="18"/>
              </w:rPr>
              <w:t>项目</w:t>
            </w:r>
          </w:p>
        </w:tc>
        <w:tc>
          <w:tcPr>
            <w:tcW w:type="dxa" w:w="1500"/>
            <w:vAlign w:val="center"/>
          </w:tcPr>
          <w:p>
            <w:pPr>
              <w:spacing w:before="30" w:after="30" w:line="240" w:lineRule="auto"/>
              <w:jc w:val="center"/>
            </w:pPr>
            <w:r>
              <w:rPr>
                <w:rFonts w:ascii="Times New Roman" w:hAnsi="Times New Roman" w:eastAsia="宋体" w:hint="eastAsia"/>
                <w:b/>
                <w:sz w:val="18"/>
              </w:rPr>
              <w:t>2025年度</w:t>
            </w:r>
          </w:p>
        </w:tc>
        <w:tc>
          <w:tcPr>
            <w:tcW w:type="dxa" w:w="1500"/>
            <w:vAlign w:val="center"/>
          </w:tcPr>
          <w:p>
            <w:pPr>
              <w:spacing w:before="30" w:after="30" w:line="240" w:lineRule="auto"/>
              <w:jc w:val="center"/>
            </w:pPr>
            <w:r>
              <w:rPr>
                <w:rFonts w:ascii="Times New Roman" w:hAnsi="Times New Roman" w:eastAsia="宋体" w:hint="eastAsia"/>
                <w:b/>
                <w:sz w:val="18"/>
              </w:rPr>
              <w:t>2024年度</w:t>
            </w:r>
          </w:p>
        </w:tc>
        <w:tc>
          <w:tcPr>
            <w:tcW w:type="dxa" w:w="1500"/>
            <w:vAlign w:val="center"/>
          </w:tcPr>
          <w:p>
            <w:pPr>
              <w:spacing w:before="30" w:after="30" w:line="240" w:lineRule="auto"/>
              <w:jc w:val="center"/>
            </w:pPr>
            <w:r>
              <w:rPr>
                <w:rFonts w:ascii="Times New Roman" w:hAnsi="Times New Roman" w:eastAsia="宋体" w:hint="eastAsia"/>
                <w:b/>
                <w:sz w:val="18"/>
              </w:rPr>
              <w:t>2023年度</w:t>
            </w:r>
          </w:p>
        </w:tc>
        <w:tc>
          <w:tcPr>
            <w:tcW w:type="dxa" w:w="1200"/>
            <w:vAlign w:val="center"/>
          </w:tcPr>
          <w:p>
            <w:pPr>
              <w:spacing w:before="30" w:after="30" w:line="240" w:lineRule="auto"/>
              <w:jc w:val="center"/>
            </w:pPr>
            <w:r>
              <w:rPr>
                <w:rFonts w:ascii="Times New Roman" w:hAnsi="Times New Roman" w:eastAsia="宋体" w:hint="eastAsia"/>
                <w:b/>
                <w:sz w:val="18"/>
              </w:rPr>
              <w:t>合计</w:t>
            </w:r>
          </w:p>
        </w:tc>
      </w:tr>
      <w:tr>
        <w:tc>
          <w:tcPr>
            <w:tcW w:type="dxa" w:w="2600"/>
            <w:vAlign w:val="center"/>
          </w:tcPr>
          <w:p>
            <w:pPr>
              <w:spacing w:before="30" w:after="30" w:line="240" w:lineRule="auto"/>
              <w:jc w:val="left"/>
            </w:pPr>
            <w:r>
              <w:rPr>
                <w:rFonts w:ascii="Times New Roman" w:hAnsi="Times New Roman" w:eastAsia="宋体" w:hint="eastAsia"/>
                <w:b w:val="0"/>
                <w:sz w:val="18"/>
              </w:rPr>
              <w:t>经营活动现金流量净额（账面）</w:t>
            </w:r>
          </w:p>
        </w:tc>
        <w:tc>
          <w:tcPr>
            <w:tcW w:type="dxa" w:w="1500"/>
            <w:vAlign w:val="center"/>
          </w:tcPr>
          <w:p>
            <w:pPr>
              <w:spacing w:before="30" w:after="30" w:line="240" w:lineRule="auto"/>
              <w:jc w:val="right"/>
            </w:pPr>
            <w:r>
              <w:rPr>
                <w:rFonts w:ascii="Times New Roman" w:hAnsi="Times New Roman" w:eastAsia="宋体" w:hint="eastAsia"/>
                <w:b w:val="0"/>
                <w:sz w:val="18"/>
              </w:rPr>
              <w:t>4,723.32</w:t>
            </w:r>
          </w:p>
        </w:tc>
        <w:tc>
          <w:tcPr>
            <w:tcW w:type="dxa" w:w="1500"/>
            <w:vAlign w:val="center"/>
          </w:tcPr>
          <w:p>
            <w:pPr>
              <w:spacing w:before="30" w:after="30" w:line="240" w:lineRule="auto"/>
              <w:jc w:val="right"/>
            </w:pPr>
            <w:r>
              <w:rPr>
                <w:rFonts w:ascii="Times New Roman" w:hAnsi="Times New Roman" w:eastAsia="宋体" w:hint="eastAsia"/>
                <w:b w:val="0"/>
                <w:sz w:val="18"/>
              </w:rPr>
              <w:t>5,279.36</w:t>
            </w:r>
          </w:p>
        </w:tc>
        <w:tc>
          <w:tcPr>
            <w:tcW w:type="dxa" w:w="1500"/>
            <w:vAlign w:val="center"/>
          </w:tcPr>
          <w:p>
            <w:pPr>
              <w:spacing w:before="30" w:after="30" w:line="240" w:lineRule="auto"/>
              <w:jc w:val="right"/>
            </w:pPr>
            <w:r>
              <w:rPr>
                <w:rFonts w:ascii="Times New Roman" w:hAnsi="Times New Roman" w:eastAsia="宋体" w:hint="eastAsia"/>
                <w:b w:val="0"/>
                <w:sz w:val="18"/>
              </w:rPr>
              <w:t>448.13</w:t>
            </w:r>
          </w:p>
        </w:tc>
        <w:tc>
          <w:tcPr>
            <w:tcW w:type="dxa" w:w="1200"/>
            <w:vAlign w:val="center"/>
          </w:tcPr>
          <w:p>
            <w:pPr>
              <w:spacing w:before="30" w:after="30" w:line="240" w:lineRule="auto"/>
              <w:jc w:val="right"/>
            </w:pPr>
            <w:r>
              <w:rPr>
                <w:rFonts w:ascii="Times New Roman" w:hAnsi="Times New Roman" w:eastAsia="宋体" w:hint="eastAsia"/>
                <w:b w:val="0"/>
                <w:sz w:val="18"/>
              </w:rPr>
              <w:t>10,450.81</w:t>
            </w:r>
          </w:p>
        </w:tc>
      </w:tr>
      <w:tr>
        <w:tc>
          <w:tcPr>
            <w:tcW w:type="dxa" w:w="2600"/>
            <w:vAlign w:val="center"/>
          </w:tcPr>
          <w:p>
            <w:pPr>
              <w:spacing w:before="30" w:after="30" w:line="240" w:lineRule="auto"/>
              <w:jc w:val="left"/>
            </w:pPr>
            <w:r>
              <w:rPr>
                <w:rFonts w:ascii="Times New Roman" w:hAnsi="Times New Roman" w:eastAsia="宋体" w:hint="eastAsia"/>
                <w:b w:val="0"/>
                <w:sz w:val="18"/>
              </w:rPr>
              <w:t>加：内部存款（活期）净增加额</w:t>
            </w:r>
          </w:p>
        </w:tc>
        <w:tc>
          <w:tcPr>
            <w:tcW w:type="dxa" w:w="1500"/>
            <w:vAlign w:val="center"/>
          </w:tcPr>
          <w:p>
            <w:pPr>
              <w:spacing w:before="30" w:after="30" w:line="240" w:lineRule="auto"/>
              <w:jc w:val="right"/>
            </w:pPr>
            <w:r>
              <w:rPr>
                <w:rFonts w:ascii="Times New Roman" w:hAnsi="Times New Roman" w:eastAsia="宋体" w:hint="eastAsia"/>
                <w:b w:val="0"/>
                <w:sz w:val="18"/>
              </w:rPr>
              <w:t>11,587.53</w:t>
            </w:r>
          </w:p>
        </w:tc>
        <w:tc>
          <w:tcPr>
            <w:tcW w:type="dxa" w:w="1500"/>
            <w:vAlign w:val="center"/>
          </w:tcPr>
          <w:p>
            <w:pPr>
              <w:spacing w:before="30" w:after="30" w:line="240" w:lineRule="auto"/>
              <w:jc w:val="right"/>
            </w:pPr>
            <w:r>
              <w:rPr>
                <w:rFonts w:ascii="Times New Roman" w:hAnsi="Times New Roman" w:eastAsia="宋体" w:hint="eastAsia"/>
                <w:b w:val="0"/>
                <w:sz w:val="18"/>
              </w:rPr>
              <w:t>10,052.35</w:t>
            </w:r>
          </w:p>
        </w:tc>
        <w:tc>
          <w:tcPr>
            <w:tcW w:type="dxa" w:w="1500"/>
            <w:vAlign w:val="center"/>
          </w:tcPr>
          <w:p>
            <w:pPr>
              <w:spacing w:before="30" w:after="30" w:line="240" w:lineRule="auto"/>
              <w:jc w:val="right"/>
            </w:pPr>
            <w:r>
              <w:rPr>
                <w:rFonts w:ascii="Times New Roman" w:hAnsi="Times New Roman" w:eastAsia="宋体" w:hint="eastAsia"/>
                <w:b w:val="0"/>
                <w:sz w:val="18"/>
              </w:rPr>
              <w:t>未测算</w:t>
            </w:r>
          </w:p>
        </w:tc>
        <w:tc>
          <w:tcPr>
            <w:tcW w:type="dxa" w:w="1200"/>
            <w:vAlign w:val="center"/>
          </w:tcPr>
          <w:p>
            <w:pPr>
              <w:spacing w:before="30" w:after="30" w:line="240" w:lineRule="auto"/>
              <w:jc w:val="right"/>
            </w:pPr>
            <w:r>
              <w:rPr>
                <w:rFonts w:ascii="Times New Roman" w:hAnsi="Times New Roman" w:eastAsia="宋体" w:hint="eastAsia"/>
                <w:b w:val="0"/>
                <w:sz w:val="18"/>
              </w:rPr>
              <w:t>21,639.88</w:t>
            </w:r>
          </w:p>
        </w:tc>
      </w:tr>
      <w:tr>
        <w:tc>
          <w:tcPr>
            <w:tcW w:type="dxa" w:w="2600"/>
            <w:vAlign w:val="center"/>
          </w:tcPr>
          <w:p>
            <w:pPr>
              <w:spacing w:before="30" w:after="30" w:line="240" w:lineRule="auto"/>
              <w:jc w:val="left"/>
            </w:pPr>
            <w:r>
              <w:rPr>
                <w:rFonts w:ascii="Times New Roman" w:hAnsi="Times New Roman" w:eastAsia="宋体" w:hint="eastAsia"/>
                <w:b w:val="0"/>
                <w:sz w:val="18"/>
              </w:rPr>
              <w:t>还原后经营活动现金流量净额</w:t>
            </w:r>
          </w:p>
        </w:tc>
        <w:tc>
          <w:tcPr>
            <w:tcW w:type="dxa" w:w="1500"/>
            <w:vAlign w:val="center"/>
          </w:tcPr>
          <w:p>
            <w:pPr>
              <w:spacing w:before="30" w:after="30" w:line="240" w:lineRule="auto"/>
              <w:jc w:val="right"/>
            </w:pPr>
            <w:r>
              <w:rPr>
                <w:rFonts w:ascii="Times New Roman" w:hAnsi="Times New Roman" w:eastAsia="宋体" w:hint="eastAsia"/>
                <w:b w:val="0"/>
                <w:sz w:val="18"/>
              </w:rPr>
              <w:t>16,310.85</w:t>
            </w:r>
          </w:p>
        </w:tc>
        <w:tc>
          <w:tcPr>
            <w:tcW w:type="dxa" w:w="1500"/>
            <w:vAlign w:val="center"/>
          </w:tcPr>
          <w:p>
            <w:pPr>
              <w:spacing w:before="30" w:after="30" w:line="240" w:lineRule="auto"/>
              <w:jc w:val="right"/>
            </w:pPr>
            <w:r>
              <w:rPr>
                <w:rFonts w:ascii="Times New Roman" w:hAnsi="Times New Roman" w:eastAsia="宋体" w:hint="eastAsia"/>
                <w:b w:val="0"/>
                <w:sz w:val="18"/>
              </w:rPr>
              <w:t>15,331.71</w:t>
            </w:r>
          </w:p>
        </w:tc>
        <w:tc>
          <w:tcPr>
            <w:tcW w:type="dxa" w:w="1500"/>
            <w:vAlign w:val="center"/>
          </w:tcPr>
          <w:p>
            <w:pPr>
              <w:spacing w:before="30" w:after="30" w:line="240" w:lineRule="auto"/>
              <w:jc w:val="right"/>
            </w:pPr>
            <w:r>
              <w:rPr>
                <w:rFonts w:ascii="Times New Roman" w:hAnsi="Times New Roman" w:eastAsia="宋体" w:hint="eastAsia"/>
                <w:b w:val="0"/>
                <w:sz w:val="18"/>
              </w:rPr>
              <w:t>448.13</w:t>
            </w:r>
          </w:p>
        </w:tc>
        <w:tc>
          <w:tcPr>
            <w:tcW w:type="dxa" w:w="1200"/>
            <w:vAlign w:val="center"/>
          </w:tcPr>
          <w:p>
            <w:pPr>
              <w:spacing w:before="30" w:after="30" w:line="240" w:lineRule="auto"/>
              <w:jc w:val="right"/>
            </w:pPr>
            <w:r>
              <w:rPr>
                <w:rFonts w:ascii="Times New Roman" w:hAnsi="Times New Roman" w:eastAsia="宋体" w:hint="eastAsia"/>
                <w:b w:val="0"/>
                <w:sz w:val="18"/>
              </w:rPr>
              <w:t>32,090.69</w:t>
            </w:r>
          </w:p>
        </w:tc>
      </w:tr>
    </w:tbl>
    <w:p>
      <w:pPr>
        <w:spacing w:before="40" w:after="160" w:lineRule="auto" w:line="336"/>
        <w:jc w:val="left"/>
      </w:pPr>
      <w:r>
        <w:rPr>
          <w:rFonts w:ascii="Times New Roman" w:hAnsi="Times New Roman" w:eastAsia="宋体" w:hint="eastAsia"/>
          <w:b w:val="0"/>
          <w:sz w:val="18"/>
        </w:rPr>
        <w:t>注：2023年度因缺少2022年末内部存款余额未作还原，该处理使还原结果偏于谨慎。</w:t>
      </w:r>
    </w:p>
    <w:p>
      <w:pPr>
        <w:spacing w:before="40" w:after="40" w:lineRule="auto" w:line="360"/>
        <w:ind w:firstLine="480"/>
        <w:jc w:val="both"/>
      </w:pPr>
      <w:r>
        <w:rPr>
          <w:rFonts w:ascii="Times New Roman" w:hAnsi="Times New Roman" w:eastAsia="宋体" w:hint="eastAsia"/>
          <w:b w:val="0"/>
          <w:sz w:val="24"/>
        </w:rPr>
        <w:t>还原后2023年度至2025年度经营活动现金流量净额累计约32,090.69万元，高于第一套标准2亿元门槛12,090.69万元。即账面经营活动现金流量净额与净利润之间的差额，主要来自资金归集在会计列示上的影响。</w:t>
      </w:r>
    </w:p>
    <w:p>
      <w:pPr>
        <w:spacing w:before="120" w:after="40" w:lineRule="auto" w:line="360"/>
        <w:ind w:firstLine="480"/>
      </w:pPr>
      <w:r>
        <w:rPr>
          <w:rFonts w:ascii="Times New Roman" w:hAnsi="Times New Roman" w:eastAsia="宋体" w:hint="eastAsia"/>
          <w:b/>
          <w:sz w:val="24"/>
        </w:rPr>
        <w:t>（三）清理资金归集对指标的影响</w:t>
      </w:r>
    </w:p>
    <w:p>
      <w:pPr>
        <w:spacing w:before="40" w:after="40" w:lineRule="auto" w:line="360"/>
        <w:ind w:firstLine="480"/>
        <w:jc w:val="both"/>
      </w:pPr>
      <w:r>
        <w:rPr>
          <w:rFonts w:ascii="Times New Roman" w:hAnsi="Times New Roman" w:eastAsia="宋体" w:hint="eastAsia"/>
          <w:b w:val="0"/>
          <w:sz w:val="24"/>
        </w:rPr>
        <w:t>还原测算为模拟口径，不能用于申报。经营活动现金流量净额为期间指标，资金归集的清理在哪一期完成，收回的款项即在哪一期计入经营活动现金流入。</w:t>
      </w:r>
    </w:p>
    <w:p>
      <w:pPr>
        <w:spacing w:before="40" w:after="40" w:lineRule="auto" w:line="360"/>
        <w:ind w:firstLine="480"/>
        <w:jc w:val="both"/>
      </w:pPr>
      <w:r>
        <w:rPr>
          <w:rFonts w:ascii="Times New Roman" w:hAnsi="Times New Roman" w:eastAsia="宋体" w:hint="eastAsia"/>
          <w:b w:val="0"/>
          <w:sz w:val="24"/>
        </w:rPr>
        <w:t>按现行分类，内部存款计入经营性应收项目，其收回形成当期经营活动现金流入。若清理于2026年度内完成，以2024年度至2026年度为报告期测算，2026年度经营活动现金流量净额需达到9,997.32万元，三年累计即达到2亿元。2026年6月末内部存款余额为38,048.24万元。该分类是否为审计师认可，需与会计师确认。若被重分类至投资活动，上述结果不成立。</w:t>
      </w:r>
    </w:p>
    <w:p>
      <w:pPr>
        <w:spacing w:before="40" w:after="40" w:lineRule="auto" w:line="360"/>
        <w:ind w:firstLine="480"/>
        <w:jc w:val="both"/>
      </w:pPr>
      <w:r>
        <w:rPr>
          <w:rFonts w:ascii="Times New Roman" w:hAnsi="Times New Roman" w:eastAsia="宋体" w:hint="eastAsia"/>
          <w:b w:val="0"/>
          <w:sz w:val="24"/>
        </w:rPr>
        <w:t>另需说明，资金归集事项本身属于发行条件的范围。《首次公开发行股票注册管理办法》第十二条要求发行人财务独立、资金独立。控股股东及其关联方占用发行人资金属于负面情形。发行人2026年6月末76.64%的资产以内部存款形式存放于集团。该情形在各板块申报中均需清理。</w:t>
      </w:r>
    </w:p>
    <w:p>
      <w:pPr>
        <w:spacing w:before="200" w:after="80" w:lineRule="auto" w:line="360"/>
        <w:ind w:firstLine="480"/>
      </w:pPr>
      <w:r>
        <w:rPr>
          <w:rFonts w:ascii="Times New Roman" w:hAnsi="Times New Roman" w:eastAsia="黑体" w:hint="eastAsia"/>
          <w:b/>
          <w:sz w:val="24"/>
        </w:rPr>
        <w:t>五、其他相关事项</w:t>
      </w:r>
    </w:p>
    <w:p>
      <w:pPr>
        <w:spacing w:before="120" w:after="40" w:lineRule="auto" w:line="360"/>
        <w:ind w:firstLine="480"/>
      </w:pPr>
      <w:r>
        <w:rPr>
          <w:rFonts w:ascii="Times New Roman" w:hAnsi="Times New Roman" w:eastAsia="宋体" w:hint="eastAsia"/>
          <w:b/>
          <w:sz w:val="24"/>
        </w:rPr>
        <w:t>（一）主板板块定位</w:t>
      </w:r>
    </w:p>
    <w:p>
      <w:pPr>
        <w:spacing w:before="40" w:after="40" w:lineRule="auto" w:line="360"/>
        <w:ind w:firstLine="480"/>
        <w:jc w:val="both"/>
      </w:pPr>
      <w:r>
        <w:rPr>
          <w:rFonts w:ascii="Times New Roman" w:hAnsi="Times New Roman" w:eastAsia="宋体" w:hint="eastAsia"/>
          <w:b w:val="0"/>
          <w:sz w:val="24"/>
        </w:rPr>
        <w:t>除财务指标外，主板设有板块定位要求。主板突出大盘蓝筹特色，重点支持业务模式成熟、经营业绩稳定、规模较大、具有行业代表性的优质企业。发行人2023年度至2025年度营业收入增长7.09倍，2025年度同比增长104.25%；2025年度营业收入4.34亿元，净利润1.33亿元。板块定位为定性条件，不通过财务指标测算得出结论，需在申报时单独论证。</w:t>
      </w:r>
    </w:p>
    <w:p>
      <w:pPr>
        <w:spacing w:before="120" w:after="40" w:lineRule="auto" w:line="360"/>
        <w:ind w:firstLine="480"/>
      </w:pPr>
      <w:r>
        <w:rPr>
          <w:rFonts w:ascii="Times New Roman" w:hAnsi="Times New Roman" w:eastAsia="宋体" w:hint="eastAsia"/>
          <w:b/>
          <w:sz w:val="24"/>
        </w:rPr>
        <w:t>（二）扣除非经常性损益后的净利润</w:t>
      </w:r>
    </w:p>
    <w:p>
      <w:pPr>
        <w:spacing w:before="40" w:after="40" w:lineRule="auto" w:line="360"/>
        <w:ind w:firstLine="480"/>
        <w:jc w:val="both"/>
      </w:pPr>
      <w:r>
        <w:rPr>
          <w:rFonts w:ascii="Times New Roman" w:hAnsi="Times New Roman" w:eastAsia="宋体" w:hint="eastAsia"/>
          <w:b w:val="0"/>
          <w:sz w:val="24"/>
        </w:rPr>
        <w:t>规则要求净利润以扣除非经常性损益前后的孰低者为准。发行人尚未编制非经常性损益明细表。据利润表估算，2025年度非经常性损益税前约85万元，主要为其他收益82.96万元及营业外收支净额2.45万元；按25%税率测算，税后约64万元，扣非后净利润约13,280万元，高于1亿元。2023年度、2024年度的同类项目金额亦较小。正式数据待会计师出具非经常性损益明细表后确定。</w:t>
      </w:r>
    </w:p>
    <w:p>
      <w:pPr>
        <w:spacing w:before="120" w:after="40" w:lineRule="auto" w:line="360"/>
        <w:ind w:firstLine="480"/>
      </w:pPr>
      <w:r>
        <w:rPr>
          <w:rFonts w:ascii="Times New Roman" w:hAnsi="Times New Roman" w:eastAsia="宋体" w:hint="eastAsia"/>
          <w:b/>
          <w:sz w:val="24"/>
        </w:rPr>
        <w:t>（三）股本及公众持股</w:t>
      </w:r>
    </w:p>
    <w:p>
      <w:pPr>
        <w:spacing w:before="40" w:after="40" w:lineRule="auto" w:line="360"/>
        <w:ind w:firstLine="480"/>
        <w:jc w:val="both"/>
      </w:pPr>
      <w:r>
        <w:rPr>
          <w:rFonts w:ascii="Times New Roman" w:hAnsi="Times New Roman" w:eastAsia="宋体" w:hint="eastAsia"/>
          <w:b w:val="0"/>
          <w:sz w:val="24"/>
        </w:rPr>
        <w:t>主板要求发行后股本总额不少于5,000万元，公开发行的股份达到公司股份总数的25%以上，股本总额超过4亿元的为10%以上。发行人注册资本4,000万元。按25%比例公开发行的，发行后股本总额约5,333万元，满足最低股本要求。若同业竞争解决方案采用股权支付方式，注册资本增至5,332.12万元，发行后股本相应更高。</w:t>
      </w:r>
    </w:p>
    <w:p>
      <w:pPr>
        <w:spacing w:before="40" w:after="40" w:lineRule="auto" w:line="360"/>
        <w:ind w:firstLine="480"/>
        <w:jc w:val="both"/>
      </w:pPr>
      <w:r>
        <w:rPr>
          <w:rFonts w:ascii="Times New Roman" w:hAnsi="Times New Roman" w:eastAsia="宋体" w:hint="eastAsia"/>
          <w:b w:val="0"/>
          <w:sz w:val="24"/>
        </w:rPr>
        <w:t>发行人现有股东为燕京啤酒、燕京集团及食品发酵研究院三名，均为国有主体。股东人数及公众持股比例的要求，需通过引入外部投资者及公开发行满足，该事项与股份制改造安排一并统筹。</w:t>
      </w:r>
    </w:p>
    <w:p>
      <w:pPr>
        <w:spacing w:before="120" w:after="40" w:lineRule="auto" w:line="360"/>
        <w:ind w:firstLine="480"/>
      </w:pPr>
      <w:r>
        <w:rPr>
          <w:rFonts w:ascii="Times New Roman" w:hAnsi="Times New Roman" w:eastAsia="宋体" w:hint="eastAsia"/>
          <w:b/>
          <w:sz w:val="24"/>
        </w:rPr>
        <w:t>（四）对中发邢台长期股权投资的核算</w:t>
      </w:r>
    </w:p>
    <w:p>
      <w:pPr>
        <w:spacing w:before="40" w:after="40" w:lineRule="auto" w:line="360"/>
        <w:ind w:firstLine="480"/>
        <w:jc w:val="both"/>
      </w:pPr>
      <w:r>
        <w:rPr>
          <w:rFonts w:ascii="Times New Roman" w:hAnsi="Times New Roman" w:eastAsia="宋体" w:hint="eastAsia"/>
          <w:b w:val="0"/>
          <w:sz w:val="24"/>
        </w:rPr>
        <w:t>发行人持有中发邢台33.00%股权，列示于长期股权投资。2024年度发行人确认投资收益11.41万元，该金额与中发邢台当年净利润34.57万元按33.00%计算的结果一致，即按权益法核算；长期股权投资账面价值由3,300.00万元增至3,311.41万元。</w:t>
      </w:r>
    </w:p>
    <w:p>
      <w:pPr>
        <w:spacing w:before="40" w:after="40" w:lineRule="auto" w:line="360"/>
        <w:ind w:firstLine="480"/>
        <w:jc w:val="both"/>
      </w:pPr>
      <w:r>
        <w:rPr>
          <w:rFonts w:ascii="Times New Roman" w:hAnsi="Times New Roman" w:eastAsia="宋体" w:hint="eastAsia"/>
          <w:b w:val="0"/>
          <w:sz w:val="24"/>
        </w:rPr>
        <w:t>2025年度发行人投资收益为零，长期股权投资账面价值未发生变动。中发邢台2025年度净利润为2,213.62万元，按33.00%计算应确认投资收益约730.49万元。该差异需与会计师核实核算方法及原因。若应予补充确认，发行人2025年度净利润增至约14,074.24万元，最近三年净利润累计增至约24,586.43万元，第三部分的比对结果不变。</w:t>
      </w:r>
    </w:p>
    <w:p>
      <w:pPr>
        <w:spacing w:before="200" w:after="80" w:lineRule="auto" w:line="360"/>
        <w:ind w:firstLine="480"/>
      </w:pPr>
      <w:r>
        <w:rPr>
          <w:rFonts w:ascii="Times New Roman" w:hAnsi="Times New Roman" w:eastAsia="黑体" w:hint="eastAsia"/>
          <w:b/>
          <w:sz w:val="24"/>
        </w:rPr>
        <w:t>六、创业板、北交所上市财务指标的比对</w:t>
      </w:r>
    </w:p>
    <w:p>
      <w:pPr>
        <w:spacing w:before="40" w:after="40" w:lineRule="auto" w:line="360"/>
        <w:ind w:firstLine="480"/>
        <w:jc w:val="both"/>
      </w:pPr>
      <w:r>
        <w:rPr>
          <w:rFonts w:ascii="Times New Roman" w:hAnsi="Times New Roman" w:eastAsia="宋体" w:hint="eastAsia"/>
          <w:b w:val="0"/>
          <w:sz w:val="24"/>
        </w:rPr>
        <w:t>以同一套财务数据对创业板及北交所的上市财务指标一并测算，结果如下：</w:t>
      </w:r>
    </w:p>
    <w:p>
      <w:pPr>
        <w:spacing w:before="80" w:after="0" w:lineRule="auto" w:line="240"/>
        <w:jc w:val="right"/>
      </w:pPr>
      <w:r>
        <w:rPr>
          <w:rFonts w:ascii="Times New Roman" w:hAnsi="Times New Roman" w:eastAsia="宋体" w:hint="eastAsia"/>
          <w:b w:val="0"/>
          <w:sz w:val="18"/>
        </w:rPr>
        <w:t>单位：万元</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1662"/>
        <w:gridCol w:w="1662"/>
        <w:gridCol w:w="1662"/>
        <w:gridCol w:w="1662"/>
        <w:gridCol w:w="1662"/>
      </w:tblGrid>
      <w:tr>
        <w:tc>
          <w:tcPr>
            <w:tcW w:type="dxa" w:w="850"/>
            <w:vAlign w:val="center"/>
          </w:tcPr>
          <w:p>
            <w:pPr>
              <w:spacing w:before="30" w:after="30" w:line="240" w:lineRule="auto"/>
              <w:jc w:val="center"/>
            </w:pPr>
            <w:r>
              <w:rPr>
                <w:rFonts w:ascii="Times New Roman" w:hAnsi="Times New Roman" w:eastAsia="宋体" w:hint="eastAsia"/>
                <w:b/>
                <w:sz w:val="18"/>
              </w:rPr>
              <w:t>板块</w:t>
            </w:r>
          </w:p>
        </w:tc>
        <w:tc>
          <w:tcPr>
            <w:tcW w:type="dxa" w:w="800"/>
            <w:vAlign w:val="center"/>
          </w:tcPr>
          <w:p>
            <w:pPr>
              <w:spacing w:before="30" w:after="30" w:line="240" w:lineRule="auto"/>
              <w:jc w:val="center"/>
            </w:pPr>
            <w:r>
              <w:rPr>
                <w:rFonts w:ascii="Times New Roman" w:hAnsi="Times New Roman" w:eastAsia="宋体" w:hint="eastAsia"/>
                <w:b/>
                <w:sz w:val="18"/>
              </w:rPr>
              <w:t>标准</w:t>
            </w:r>
          </w:p>
        </w:tc>
        <w:tc>
          <w:tcPr>
            <w:tcW w:type="dxa" w:w="3250"/>
            <w:vAlign w:val="center"/>
          </w:tcPr>
          <w:p>
            <w:pPr>
              <w:spacing w:before="30" w:after="30" w:line="240" w:lineRule="auto"/>
              <w:jc w:val="center"/>
            </w:pPr>
            <w:r>
              <w:rPr>
                <w:rFonts w:ascii="Times New Roman" w:hAnsi="Times New Roman" w:eastAsia="宋体" w:hint="eastAsia"/>
                <w:b/>
                <w:sz w:val="18"/>
              </w:rPr>
              <w:t>主要财务指标要求</w:t>
            </w:r>
          </w:p>
        </w:tc>
        <w:tc>
          <w:tcPr>
            <w:tcW w:type="dxa" w:w="2000"/>
            <w:vAlign w:val="center"/>
          </w:tcPr>
          <w:p>
            <w:pPr>
              <w:spacing w:before="30" w:after="30" w:line="240" w:lineRule="auto"/>
              <w:jc w:val="center"/>
            </w:pPr>
            <w:r>
              <w:rPr>
                <w:rFonts w:ascii="Times New Roman" w:hAnsi="Times New Roman" w:eastAsia="宋体" w:hint="eastAsia"/>
                <w:b/>
                <w:sz w:val="18"/>
              </w:rPr>
              <w:t>发行人情况</w:t>
            </w:r>
          </w:p>
        </w:tc>
        <w:tc>
          <w:tcPr>
            <w:tcW w:type="dxa" w:w="1400"/>
            <w:vAlign w:val="center"/>
          </w:tcPr>
          <w:p>
            <w:pPr>
              <w:spacing w:before="30" w:after="30" w:line="240" w:lineRule="auto"/>
              <w:jc w:val="center"/>
            </w:pPr>
            <w:r>
              <w:rPr>
                <w:rFonts w:ascii="Times New Roman" w:hAnsi="Times New Roman" w:eastAsia="宋体" w:hint="eastAsia"/>
                <w:b/>
                <w:sz w:val="18"/>
              </w:rPr>
              <w:t>是否满足</w:t>
            </w:r>
          </w:p>
        </w:tc>
      </w:tr>
      <w:tr>
        <w:tc>
          <w:tcPr>
            <w:tcW w:type="dxa" w:w="850"/>
            <w:vAlign w:val="center"/>
          </w:tcPr>
          <w:p>
            <w:pPr>
              <w:spacing w:before="30" w:after="30" w:line="240" w:lineRule="auto"/>
              <w:jc w:val="center"/>
            </w:pPr>
            <w:r>
              <w:rPr>
                <w:rFonts w:ascii="Times New Roman" w:hAnsi="Times New Roman" w:eastAsia="宋体" w:hint="eastAsia"/>
                <w:b w:val="0"/>
                <w:sz w:val="18"/>
              </w:rPr>
              <w:t>主板</w:t>
            </w:r>
          </w:p>
        </w:tc>
        <w:tc>
          <w:tcPr>
            <w:tcW w:type="dxa" w:w="800"/>
            <w:vAlign w:val="center"/>
          </w:tcPr>
          <w:p>
            <w:pPr>
              <w:spacing w:before="30" w:after="30" w:line="240" w:lineRule="auto"/>
              <w:jc w:val="center"/>
            </w:pPr>
            <w:r>
              <w:rPr>
                <w:rFonts w:ascii="Times New Roman" w:hAnsi="Times New Roman" w:eastAsia="宋体" w:hint="eastAsia"/>
                <w:b w:val="0"/>
                <w:sz w:val="18"/>
              </w:rPr>
              <w:t>第一套</w:t>
            </w:r>
          </w:p>
        </w:tc>
        <w:tc>
          <w:tcPr>
            <w:tcW w:type="dxa" w:w="3250"/>
            <w:vAlign w:val="center"/>
          </w:tcPr>
          <w:p>
            <w:pPr>
              <w:spacing w:before="30" w:after="30" w:line="240" w:lineRule="auto"/>
              <w:jc w:val="left"/>
            </w:pPr>
            <w:r>
              <w:rPr>
                <w:rFonts w:ascii="Times New Roman" w:hAnsi="Times New Roman" w:eastAsia="宋体" w:hint="eastAsia"/>
                <w:b w:val="0"/>
                <w:sz w:val="18"/>
              </w:rPr>
              <w:t>三年净利润累计≥2亿元、最近一年≥1亿元，且三年经营活动现金流量净额累计≥2亿元或营业收入累计≥15亿元</w:t>
            </w:r>
          </w:p>
        </w:tc>
        <w:tc>
          <w:tcPr>
            <w:tcW w:type="dxa" w:w="2000"/>
            <w:vAlign w:val="center"/>
          </w:tcPr>
          <w:p>
            <w:pPr>
              <w:spacing w:before="30" w:after="30" w:line="240" w:lineRule="auto"/>
              <w:jc w:val="left"/>
            </w:pPr>
            <w:r>
              <w:rPr>
                <w:rFonts w:ascii="Times New Roman" w:hAnsi="Times New Roman" w:eastAsia="宋体" w:hint="eastAsia"/>
                <w:b w:val="0"/>
                <w:sz w:val="18"/>
              </w:rPr>
              <w:t>净利润累计23,855.94万元、最近一年13,343.75万元；现金流量累计10,450.81万元、收入累计70,070.23万元</w:t>
            </w:r>
          </w:p>
        </w:tc>
        <w:tc>
          <w:tcPr>
            <w:tcW w:type="dxa" w:w="1400"/>
            <w:vAlign w:val="center"/>
          </w:tcPr>
          <w:p>
            <w:pPr>
              <w:spacing w:before="30" w:after="30" w:line="240" w:lineRule="auto"/>
              <w:jc w:val="center"/>
            </w:pPr>
            <w:r>
              <w:rPr>
                <w:rFonts w:ascii="Times New Roman" w:hAnsi="Times New Roman" w:eastAsia="宋体" w:hint="eastAsia"/>
                <w:b w:val="0"/>
                <w:sz w:val="18"/>
              </w:rPr>
              <w:t>否</w:t>
            </w:r>
          </w:p>
        </w:tc>
      </w:tr>
      <w:tr>
        <w:tc>
          <w:tcPr>
            <w:tcW w:type="dxa" w:w="850"/>
            <w:vAlign w:val="center"/>
          </w:tcPr>
          <w:p>
            <w:pPr>
              <w:spacing w:before="30" w:after="30" w:line="240" w:lineRule="auto"/>
              <w:jc w:val="center"/>
            </w:pPr>
            <w:r>
              <w:rPr>
                <w:rFonts w:ascii="Times New Roman" w:hAnsi="Times New Roman" w:eastAsia="宋体" w:hint="eastAsia"/>
                <w:b w:val="0"/>
                <w:sz w:val="18"/>
              </w:rPr>
              <w:t>主板</w:t>
            </w:r>
          </w:p>
        </w:tc>
        <w:tc>
          <w:tcPr>
            <w:tcW w:type="dxa" w:w="800"/>
            <w:vAlign w:val="center"/>
          </w:tcPr>
          <w:p>
            <w:pPr>
              <w:spacing w:before="30" w:after="30" w:line="240" w:lineRule="auto"/>
              <w:jc w:val="center"/>
            </w:pPr>
            <w:r>
              <w:rPr>
                <w:rFonts w:ascii="Times New Roman" w:hAnsi="Times New Roman" w:eastAsia="宋体" w:hint="eastAsia"/>
                <w:b w:val="0"/>
                <w:sz w:val="18"/>
              </w:rPr>
              <w:t>第二套</w:t>
            </w:r>
          </w:p>
        </w:tc>
        <w:tc>
          <w:tcPr>
            <w:tcW w:type="dxa" w:w="3250"/>
            <w:vAlign w:val="center"/>
          </w:tcPr>
          <w:p>
            <w:pPr>
              <w:spacing w:before="30" w:after="30" w:line="240" w:lineRule="auto"/>
              <w:jc w:val="left"/>
            </w:pPr>
            <w:r>
              <w:rPr>
                <w:rFonts w:ascii="Times New Roman" w:hAnsi="Times New Roman" w:eastAsia="宋体" w:hint="eastAsia"/>
                <w:b w:val="0"/>
                <w:sz w:val="18"/>
              </w:rPr>
              <w:t>预计市值≥50亿元，最近一年营业收入≥6亿元，三年经营活动现金流量净额累计≥2.5亿元</w:t>
            </w:r>
          </w:p>
        </w:tc>
        <w:tc>
          <w:tcPr>
            <w:tcW w:type="dxa" w:w="2000"/>
            <w:vAlign w:val="center"/>
          </w:tcPr>
          <w:p>
            <w:pPr>
              <w:spacing w:before="30" w:after="30" w:line="240" w:lineRule="auto"/>
              <w:jc w:val="left"/>
            </w:pPr>
            <w:r>
              <w:rPr>
                <w:rFonts w:ascii="Times New Roman" w:hAnsi="Times New Roman" w:eastAsia="宋体" w:hint="eastAsia"/>
                <w:b w:val="0"/>
                <w:sz w:val="18"/>
              </w:rPr>
              <w:t>最近一年营业收入43,435.86万元；现金流量累计10,450.81万元</w:t>
            </w:r>
          </w:p>
        </w:tc>
        <w:tc>
          <w:tcPr>
            <w:tcW w:type="dxa" w:w="1400"/>
            <w:vAlign w:val="center"/>
          </w:tcPr>
          <w:p>
            <w:pPr>
              <w:spacing w:before="30" w:after="30" w:line="240" w:lineRule="auto"/>
              <w:jc w:val="center"/>
            </w:pPr>
            <w:r>
              <w:rPr>
                <w:rFonts w:ascii="Times New Roman" w:hAnsi="Times New Roman" w:eastAsia="宋体" w:hint="eastAsia"/>
                <w:b w:val="0"/>
                <w:sz w:val="18"/>
              </w:rPr>
              <w:t>否</w:t>
            </w:r>
          </w:p>
        </w:tc>
      </w:tr>
      <w:tr>
        <w:tc>
          <w:tcPr>
            <w:tcW w:type="dxa" w:w="850"/>
            <w:vAlign w:val="center"/>
          </w:tcPr>
          <w:p>
            <w:pPr>
              <w:spacing w:before="30" w:after="30" w:line="240" w:lineRule="auto"/>
              <w:jc w:val="center"/>
            </w:pPr>
            <w:r>
              <w:rPr>
                <w:rFonts w:ascii="Times New Roman" w:hAnsi="Times New Roman" w:eastAsia="宋体" w:hint="eastAsia"/>
                <w:b w:val="0"/>
                <w:sz w:val="18"/>
              </w:rPr>
              <w:t>主板</w:t>
            </w:r>
          </w:p>
        </w:tc>
        <w:tc>
          <w:tcPr>
            <w:tcW w:type="dxa" w:w="800"/>
            <w:vAlign w:val="center"/>
          </w:tcPr>
          <w:p>
            <w:pPr>
              <w:spacing w:before="30" w:after="30" w:line="240" w:lineRule="auto"/>
              <w:jc w:val="center"/>
            </w:pPr>
            <w:r>
              <w:rPr>
                <w:rFonts w:ascii="Times New Roman" w:hAnsi="Times New Roman" w:eastAsia="宋体" w:hint="eastAsia"/>
                <w:b w:val="0"/>
                <w:sz w:val="18"/>
              </w:rPr>
              <w:t>第三套</w:t>
            </w:r>
          </w:p>
        </w:tc>
        <w:tc>
          <w:tcPr>
            <w:tcW w:type="dxa" w:w="3250"/>
            <w:vAlign w:val="center"/>
          </w:tcPr>
          <w:p>
            <w:pPr>
              <w:spacing w:before="30" w:after="30" w:line="240" w:lineRule="auto"/>
              <w:jc w:val="left"/>
            </w:pPr>
            <w:r>
              <w:rPr>
                <w:rFonts w:ascii="Times New Roman" w:hAnsi="Times New Roman" w:eastAsia="宋体" w:hint="eastAsia"/>
                <w:b w:val="0"/>
                <w:sz w:val="18"/>
              </w:rPr>
              <w:t>预计市值≥100亿元，最近一年营业收入≥10亿元</w:t>
            </w:r>
          </w:p>
        </w:tc>
        <w:tc>
          <w:tcPr>
            <w:tcW w:type="dxa" w:w="2000"/>
            <w:vAlign w:val="center"/>
          </w:tcPr>
          <w:p>
            <w:pPr>
              <w:spacing w:before="30" w:after="30" w:line="240" w:lineRule="auto"/>
              <w:jc w:val="left"/>
            </w:pPr>
            <w:r>
              <w:rPr>
                <w:rFonts w:ascii="Times New Roman" w:hAnsi="Times New Roman" w:eastAsia="宋体" w:hint="eastAsia"/>
                <w:b w:val="0"/>
                <w:sz w:val="18"/>
              </w:rPr>
              <w:t>最近一年营业收入43,435.86万元</w:t>
            </w:r>
          </w:p>
        </w:tc>
        <w:tc>
          <w:tcPr>
            <w:tcW w:type="dxa" w:w="1400"/>
            <w:vAlign w:val="center"/>
          </w:tcPr>
          <w:p>
            <w:pPr>
              <w:spacing w:before="30" w:after="30" w:line="240" w:lineRule="auto"/>
              <w:jc w:val="center"/>
            </w:pPr>
            <w:r>
              <w:rPr>
                <w:rFonts w:ascii="Times New Roman" w:hAnsi="Times New Roman" w:eastAsia="宋体" w:hint="eastAsia"/>
                <w:b w:val="0"/>
                <w:sz w:val="18"/>
              </w:rPr>
              <w:t>否</w:t>
            </w:r>
          </w:p>
        </w:tc>
      </w:tr>
      <w:tr>
        <w:tc>
          <w:tcPr>
            <w:tcW w:type="dxa" w:w="850"/>
            <w:vAlign w:val="center"/>
          </w:tcPr>
          <w:p>
            <w:pPr>
              <w:spacing w:before="30" w:after="30" w:line="240" w:lineRule="auto"/>
              <w:jc w:val="center"/>
            </w:pPr>
            <w:r>
              <w:rPr>
                <w:rFonts w:ascii="Times New Roman" w:hAnsi="Times New Roman" w:eastAsia="宋体" w:hint="eastAsia"/>
                <w:b w:val="0"/>
                <w:sz w:val="18"/>
              </w:rPr>
              <w:t>创业板</w:t>
            </w:r>
          </w:p>
        </w:tc>
        <w:tc>
          <w:tcPr>
            <w:tcW w:type="dxa" w:w="800"/>
            <w:vAlign w:val="center"/>
          </w:tcPr>
          <w:p>
            <w:pPr>
              <w:spacing w:before="30" w:after="30" w:line="240" w:lineRule="auto"/>
              <w:jc w:val="center"/>
            </w:pPr>
            <w:r>
              <w:rPr>
                <w:rFonts w:ascii="Times New Roman" w:hAnsi="Times New Roman" w:eastAsia="宋体" w:hint="eastAsia"/>
                <w:b w:val="0"/>
                <w:sz w:val="18"/>
              </w:rPr>
              <w:t>第一套</w:t>
            </w:r>
          </w:p>
        </w:tc>
        <w:tc>
          <w:tcPr>
            <w:tcW w:type="dxa" w:w="3250"/>
            <w:vAlign w:val="center"/>
          </w:tcPr>
          <w:p>
            <w:pPr>
              <w:spacing w:before="30" w:after="30" w:line="240" w:lineRule="auto"/>
              <w:jc w:val="left"/>
            </w:pPr>
            <w:r>
              <w:rPr>
                <w:rFonts w:ascii="Times New Roman" w:hAnsi="Times New Roman" w:eastAsia="宋体" w:hint="eastAsia"/>
                <w:b w:val="0"/>
                <w:sz w:val="18"/>
              </w:rPr>
              <w:t>最近两年净利润均为正且累计≥1亿元，最近一年净利润≥6,000万元</w:t>
            </w:r>
          </w:p>
        </w:tc>
        <w:tc>
          <w:tcPr>
            <w:tcW w:type="dxa" w:w="2000"/>
            <w:vAlign w:val="center"/>
          </w:tcPr>
          <w:p>
            <w:pPr>
              <w:spacing w:before="30" w:after="30" w:line="240" w:lineRule="auto"/>
              <w:jc w:val="left"/>
            </w:pPr>
            <w:r>
              <w:rPr>
                <w:rFonts w:ascii="Times New Roman" w:hAnsi="Times New Roman" w:eastAsia="宋体" w:hint="eastAsia"/>
                <w:b w:val="0"/>
                <w:sz w:val="18"/>
              </w:rPr>
              <w:t>两年净利润累计22,056.09万元、最近一年13,343.75万元</w:t>
            </w:r>
          </w:p>
        </w:tc>
        <w:tc>
          <w:tcPr>
            <w:tcW w:type="dxa" w:w="1400"/>
            <w:vAlign w:val="center"/>
          </w:tcPr>
          <w:p>
            <w:pPr>
              <w:spacing w:before="30" w:after="30" w:line="240" w:lineRule="auto"/>
              <w:jc w:val="center"/>
            </w:pPr>
            <w:r>
              <w:rPr>
                <w:rFonts w:ascii="Times New Roman" w:hAnsi="Times New Roman" w:eastAsia="宋体" w:hint="eastAsia"/>
                <w:b w:val="0"/>
                <w:sz w:val="18"/>
              </w:rPr>
              <w:t>是</w:t>
            </w:r>
          </w:p>
        </w:tc>
      </w:tr>
      <w:tr>
        <w:tc>
          <w:tcPr>
            <w:tcW w:type="dxa" w:w="850"/>
            <w:vAlign w:val="center"/>
          </w:tcPr>
          <w:p>
            <w:pPr>
              <w:spacing w:before="30" w:after="30" w:line="240" w:lineRule="auto"/>
              <w:jc w:val="center"/>
            </w:pPr>
            <w:r>
              <w:rPr>
                <w:rFonts w:ascii="Times New Roman" w:hAnsi="Times New Roman" w:eastAsia="宋体" w:hint="eastAsia"/>
                <w:b w:val="0"/>
                <w:sz w:val="18"/>
              </w:rPr>
              <w:t>创业板</w:t>
            </w:r>
          </w:p>
        </w:tc>
        <w:tc>
          <w:tcPr>
            <w:tcW w:type="dxa" w:w="800"/>
            <w:vAlign w:val="center"/>
          </w:tcPr>
          <w:p>
            <w:pPr>
              <w:spacing w:before="30" w:after="30" w:line="240" w:lineRule="auto"/>
              <w:jc w:val="center"/>
            </w:pPr>
            <w:r>
              <w:rPr>
                <w:rFonts w:ascii="Times New Roman" w:hAnsi="Times New Roman" w:eastAsia="宋体" w:hint="eastAsia"/>
                <w:b w:val="0"/>
                <w:sz w:val="18"/>
              </w:rPr>
              <w:t>第二套</w:t>
            </w:r>
          </w:p>
        </w:tc>
        <w:tc>
          <w:tcPr>
            <w:tcW w:type="dxa" w:w="3250"/>
            <w:vAlign w:val="center"/>
          </w:tcPr>
          <w:p>
            <w:pPr>
              <w:spacing w:before="30" w:after="30" w:line="240" w:lineRule="auto"/>
              <w:jc w:val="left"/>
            </w:pPr>
            <w:r>
              <w:rPr>
                <w:rFonts w:ascii="Times New Roman" w:hAnsi="Times New Roman" w:eastAsia="宋体" w:hint="eastAsia"/>
                <w:b w:val="0"/>
                <w:sz w:val="18"/>
              </w:rPr>
              <w:t>预计市值≥15亿元，最近一年营业收入≥4亿元，三年经营活动现金流量净额累计≥1亿元</w:t>
            </w:r>
          </w:p>
        </w:tc>
        <w:tc>
          <w:tcPr>
            <w:tcW w:type="dxa" w:w="2000"/>
            <w:vAlign w:val="center"/>
          </w:tcPr>
          <w:p>
            <w:pPr>
              <w:spacing w:before="30" w:after="30" w:line="240" w:lineRule="auto"/>
              <w:jc w:val="left"/>
            </w:pPr>
            <w:r>
              <w:rPr>
                <w:rFonts w:ascii="Times New Roman" w:hAnsi="Times New Roman" w:eastAsia="宋体" w:hint="eastAsia"/>
                <w:b w:val="0"/>
                <w:sz w:val="18"/>
              </w:rPr>
              <w:t>最近一年营业收入43,435.86万元；现金流量累计10,450.81万元</w:t>
            </w:r>
          </w:p>
        </w:tc>
        <w:tc>
          <w:tcPr>
            <w:tcW w:type="dxa" w:w="1400"/>
            <w:vAlign w:val="center"/>
          </w:tcPr>
          <w:p>
            <w:pPr>
              <w:spacing w:before="30" w:after="30" w:line="240" w:lineRule="auto"/>
              <w:jc w:val="center"/>
            </w:pPr>
            <w:r>
              <w:rPr>
                <w:rFonts w:ascii="Times New Roman" w:hAnsi="Times New Roman" w:eastAsia="宋体" w:hint="eastAsia"/>
                <w:b w:val="0"/>
                <w:sz w:val="18"/>
              </w:rPr>
              <w:t>除市值外满足</w:t>
            </w:r>
          </w:p>
        </w:tc>
      </w:tr>
      <w:tr>
        <w:tc>
          <w:tcPr>
            <w:tcW w:type="dxa" w:w="850"/>
            <w:vAlign w:val="center"/>
          </w:tcPr>
          <w:p>
            <w:pPr>
              <w:spacing w:before="30" w:after="30" w:line="240" w:lineRule="auto"/>
              <w:jc w:val="center"/>
            </w:pPr>
            <w:r>
              <w:rPr>
                <w:rFonts w:ascii="Times New Roman" w:hAnsi="Times New Roman" w:eastAsia="宋体" w:hint="eastAsia"/>
                <w:b w:val="0"/>
                <w:sz w:val="18"/>
              </w:rPr>
              <w:t>北交所</w:t>
            </w:r>
          </w:p>
        </w:tc>
        <w:tc>
          <w:tcPr>
            <w:tcW w:type="dxa" w:w="800"/>
            <w:vAlign w:val="center"/>
          </w:tcPr>
          <w:p>
            <w:pPr>
              <w:spacing w:before="30" w:after="30" w:line="240" w:lineRule="auto"/>
              <w:jc w:val="center"/>
            </w:pPr>
            <w:r>
              <w:rPr>
                <w:rFonts w:ascii="Times New Roman" w:hAnsi="Times New Roman" w:eastAsia="宋体" w:hint="eastAsia"/>
                <w:b w:val="0"/>
                <w:sz w:val="18"/>
              </w:rPr>
              <w:t>第一套</w:t>
            </w:r>
          </w:p>
        </w:tc>
        <w:tc>
          <w:tcPr>
            <w:tcW w:type="dxa" w:w="3250"/>
            <w:vAlign w:val="center"/>
          </w:tcPr>
          <w:p>
            <w:pPr>
              <w:spacing w:before="30" w:after="30" w:line="240" w:lineRule="auto"/>
              <w:jc w:val="left"/>
            </w:pPr>
            <w:r>
              <w:rPr>
                <w:rFonts w:ascii="Times New Roman" w:hAnsi="Times New Roman" w:eastAsia="宋体" w:hint="eastAsia"/>
                <w:b w:val="0"/>
                <w:sz w:val="18"/>
              </w:rPr>
              <w:t>预计市值≥2亿元，最近两年净利润均≥1,500万元且加权平均净资产收益率平均≥8%</w:t>
            </w:r>
          </w:p>
        </w:tc>
        <w:tc>
          <w:tcPr>
            <w:tcW w:type="dxa" w:w="2000"/>
            <w:vAlign w:val="center"/>
          </w:tcPr>
          <w:p>
            <w:pPr>
              <w:spacing w:before="30" w:after="30" w:line="240" w:lineRule="auto"/>
              <w:jc w:val="left"/>
            </w:pPr>
            <w:r>
              <w:rPr>
                <w:rFonts w:ascii="Times New Roman" w:hAnsi="Times New Roman" w:eastAsia="宋体" w:hint="eastAsia"/>
                <w:b w:val="0"/>
                <w:sz w:val="18"/>
              </w:rPr>
              <w:t>两年净利润8,712.34万元、13,343.75万元；净资产收益率约77.85%、66.82%</w:t>
            </w:r>
          </w:p>
        </w:tc>
        <w:tc>
          <w:tcPr>
            <w:tcW w:type="dxa" w:w="1400"/>
            <w:vAlign w:val="center"/>
          </w:tcPr>
          <w:p>
            <w:pPr>
              <w:spacing w:before="30" w:after="30" w:line="240" w:lineRule="auto"/>
              <w:jc w:val="center"/>
            </w:pPr>
            <w:r>
              <w:rPr>
                <w:rFonts w:ascii="Times New Roman" w:hAnsi="Times New Roman" w:eastAsia="宋体" w:hint="eastAsia"/>
                <w:b w:val="0"/>
                <w:sz w:val="18"/>
              </w:rPr>
              <w:t>是</w:t>
            </w:r>
          </w:p>
        </w:tc>
      </w:tr>
      <w:tr>
        <w:tc>
          <w:tcPr>
            <w:tcW w:type="dxa" w:w="850"/>
            <w:vAlign w:val="center"/>
          </w:tcPr>
          <w:p>
            <w:pPr>
              <w:spacing w:before="30" w:after="30" w:line="240" w:lineRule="auto"/>
              <w:jc w:val="center"/>
            </w:pPr>
            <w:r>
              <w:rPr>
                <w:rFonts w:ascii="Times New Roman" w:hAnsi="Times New Roman" w:eastAsia="宋体" w:hint="eastAsia"/>
                <w:b w:val="0"/>
                <w:sz w:val="18"/>
              </w:rPr>
              <w:t>北交所</w:t>
            </w:r>
          </w:p>
        </w:tc>
        <w:tc>
          <w:tcPr>
            <w:tcW w:type="dxa" w:w="800"/>
            <w:vAlign w:val="center"/>
          </w:tcPr>
          <w:p>
            <w:pPr>
              <w:spacing w:before="30" w:after="30" w:line="240" w:lineRule="auto"/>
              <w:jc w:val="center"/>
            </w:pPr>
            <w:r>
              <w:rPr>
                <w:rFonts w:ascii="Times New Roman" w:hAnsi="Times New Roman" w:eastAsia="宋体" w:hint="eastAsia"/>
                <w:b w:val="0"/>
                <w:sz w:val="18"/>
              </w:rPr>
              <w:t>第二套</w:t>
            </w:r>
          </w:p>
        </w:tc>
        <w:tc>
          <w:tcPr>
            <w:tcW w:type="dxa" w:w="3250"/>
            <w:vAlign w:val="center"/>
          </w:tcPr>
          <w:p>
            <w:pPr>
              <w:spacing w:before="30" w:after="30" w:line="240" w:lineRule="auto"/>
              <w:jc w:val="left"/>
            </w:pPr>
            <w:r>
              <w:rPr>
                <w:rFonts w:ascii="Times New Roman" w:hAnsi="Times New Roman" w:eastAsia="宋体" w:hint="eastAsia"/>
                <w:b w:val="0"/>
                <w:sz w:val="18"/>
              </w:rPr>
              <w:t>预计市值≥4亿元，最近两年营业收入平均≥1亿元且最近一年增长率≥30%，最近一年经营活动现金流量净额为正</w:t>
            </w:r>
          </w:p>
        </w:tc>
        <w:tc>
          <w:tcPr>
            <w:tcW w:type="dxa" w:w="2000"/>
            <w:vAlign w:val="center"/>
          </w:tcPr>
          <w:p>
            <w:pPr>
              <w:spacing w:before="30" w:after="30" w:line="240" w:lineRule="auto"/>
              <w:jc w:val="left"/>
            </w:pPr>
            <w:r>
              <w:rPr>
                <w:rFonts w:ascii="Times New Roman" w:hAnsi="Times New Roman" w:eastAsia="宋体" w:hint="eastAsia"/>
                <w:b w:val="0"/>
                <w:sz w:val="18"/>
              </w:rPr>
              <w:t>两年营业收入平均32,350.75万元、增长率104.25%；现金流量净额4,723.32万元</w:t>
            </w:r>
          </w:p>
        </w:tc>
        <w:tc>
          <w:tcPr>
            <w:tcW w:type="dxa" w:w="1400"/>
            <w:vAlign w:val="center"/>
          </w:tcPr>
          <w:p>
            <w:pPr>
              <w:spacing w:before="30" w:after="30" w:line="240" w:lineRule="auto"/>
              <w:jc w:val="center"/>
            </w:pPr>
            <w:r>
              <w:rPr>
                <w:rFonts w:ascii="Times New Roman" w:hAnsi="Times New Roman" w:eastAsia="宋体" w:hint="eastAsia"/>
                <w:b w:val="0"/>
                <w:sz w:val="18"/>
              </w:rPr>
              <w:t>是</w:t>
            </w:r>
          </w:p>
        </w:tc>
      </w:tr>
    </w:tbl>
    <w:p>
      <w:pPr>
        <w:spacing w:before="40" w:after="160" w:lineRule="auto" w:line="336"/>
        <w:jc w:val="left"/>
      </w:pPr>
      <w:r>
        <w:rPr>
          <w:rFonts w:ascii="Times New Roman" w:hAnsi="Times New Roman" w:eastAsia="宋体" w:hint="eastAsia"/>
          <w:b w:val="0"/>
          <w:sz w:val="18"/>
        </w:rPr>
        <w:t>注：净资产收益率按期初、期末净资产平均数简化测算，分红时点假定为年度中间，正式数据应按《公开发行证券的公司信息披露编报规则第9号》加权计算。</w:t>
      </w:r>
    </w:p>
    <w:p>
      <w:pPr>
        <w:spacing w:before="40" w:after="40" w:lineRule="auto" w:line="360"/>
        <w:ind w:firstLine="480"/>
        <w:jc w:val="both"/>
      </w:pPr>
      <w:r>
        <w:rPr>
          <w:rFonts w:ascii="Times New Roman" w:hAnsi="Times New Roman" w:eastAsia="宋体" w:hint="eastAsia"/>
          <w:b w:val="0"/>
          <w:sz w:val="24"/>
        </w:rPr>
        <w:t>按同一套财务数据，发行人满足创业板第一套标准，满足北交所第一套、第二套标准，不满足主板三套标准。</w:t>
      </w:r>
    </w:p>
    <w:p>
      <w:pPr>
        <w:spacing w:before="40" w:after="40" w:lineRule="auto" w:line="360"/>
        <w:ind w:firstLine="480"/>
        <w:jc w:val="both"/>
      </w:pPr>
      <w:r>
        <w:rPr>
          <w:rFonts w:ascii="Times New Roman" w:hAnsi="Times New Roman" w:eastAsia="宋体" w:hint="eastAsia"/>
          <w:b w:val="0"/>
          <w:sz w:val="24"/>
        </w:rPr>
        <w:t>北交所第一套标准下，最近两年净利润分别为1,500万元门槛的5.81倍和8.90倍，加权平均净资产收益率约为8%门槛的8倍以上。创业板第二套标准中，三年经营活动现金流量净额累计10,450.81万元，超出1亿元门槛450.81万元。</w:t>
      </w:r>
    </w:p>
    <w:p>
      <w:pPr>
        <w:spacing w:before="40" w:after="40" w:lineRule="auto" w:line="360"/>
        <w:ind w:firstLine="480"/>
        <w:jc w:val="both"/>
      </w:pPr>
      <w:r>
        <w:rPr>
          <w:rFonts w:ascii="Times New Roman" w:hAnsi="Times New Roman" w:eastAsia="宋体" w:hint="eastAsia"/>
          <w:b w:val="0"/>
          <w:sz w:val="24"/>
        </w:rPr>
        <w:t>需说明的是，创业板另有成长型创新创业企业的板块定位要求及研发投入指标要求，北交所另有挂牌满12个月并进入创新层等前置条件。上述条件不属于本次财务指标测算的范围。</w:t>
      </w:r>
    </w:p>
    <w:p>
      <w:pPr>
        <w:spacing w:before="200" w:after="80" w:lineRule="auto" w:line="360"/>
        <w:ind w:firstLine="480"/>
      </w:pPr>
      <w:r>
        <w:rPr>
          <w:rFonts w:ascii="Times New Roman" w:hAnsi="Times New Roman" w:eastAsia="黑体" w:hint="eastAsia"/>
          <w:b/>
          <w:sz w:val="24"/>
        </w:rPr>
        <w:t>七、主板重组上市的规定及比对</w:t>
      </w:r>
    </w:p>
    <w:p>
      <w:pPr>
        <w:spacing w:before="120" w:after="40" w:lineRule="auto" w:line="360"/>
        <w:ind w:firstLine="480"/>
      </w:pPr>
      <w:r>
        <w:rPr>
          <w:rFonts w:ascii="Times New Roman" w:hAnsi="Times New Roman" w:eastAsia="宋体" w:hint="eastAsia"/>
          <w:b/>
          <w:sz w:val="24"/>
        </w:rPr>
        <w:t>（一）重组上市的认定标准</w:t>
      </w:r>
    </w:p>
    <w:p>
      <w:pPr>
        <w:spacing w:before="40" w:after="40" w:lineRule="auto" w:line="360"/>
        <w:ind w:firstLine="480"/>
        <w:jc w:val="both"/>
      </w:pPr>
      <w:r>
        <w:rPr>
          <w:rFonts w:ascii="Times New Roman" w:hAnsi="Times New Roman" w:eastAsia="宋体" w:hint="eastAsia"/>
          <w:b w:val="0"/>
          <w:sz w:val="24"/>
        </w:rPr>
        <w:t>《上市公司重大资产重组管理办法》第十三条规定，上市公司自控制权发生变更之日起三十六个月内，向收购人及其关联人购买资产，导致上市公司发生根本变化情形之一的，构成重组上市。根本变化情形共六项，前四项为量化标准，均以100%为界：</w:t>
      </w:r>
    </w:p>
    <w:tbl>
      <w:tblPr>
        <w:tblW w:type="auto" w:w="0"/>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firstColumn="1" w:firstRow="1" w:lastColumn="0" w:lastRow="0" w:noHBand="0" w:noVBand="1" w:val="04A0"/>
      </w:tblPr>
      <w:tblGrid>
        <w:gridCol w:w="2078"/>
        <w:gridCol w:w="2078"/>
        <w:gridCol w:w="2078"/>
        <w:gridCol w:w="2078"/>
      </w:tblGrid>
      <w:tr>
        <w:tc>
          <w:tcPr>
            <w:tcW w:type="dxa" w:w="800"/>
            <w:vAlign w:val="center"/>
          </w:tcPr>
          <w:p>
            <w:pPr>
              <w:spacing w:before="30" w:after="30" w:line="240" w:lineRule="auto"/>
              <w:jc w:val="center"/>
            </w:pPr>
            <w:r>
              <w:rPr>
                <w:rFonts w:ascii="Times New Roman" w:hAnsi="Times New Roman" w:eastAsia="宋体" w:hint="eastAsia"/>
                <w:b/>
                <w:sz w:val="18"/>
              </w:rPr>
              <w:t>项次</w:t>
            </w:r>
          </w:p>
        </w:tc>
        <w:tc>
          <w:tcPr>
            <w:tcW w:type="dxa" w:w="2900"/>
            <w:vAlign w:val="center"/>
          </w:tcPr>
          <w:p>
            <w:pPr>
              <w:spacing w:before="30" w:after="30" w:line="240" w:lineRule="auto"/>
              <w:jc w:val="center"/>
            </w:pPr>
            <w:r>
              <w:rPr>
                <w:rFonts w:ascii="Times New Roman" w:hAnsi="Times New Roman" w:eastAsia="宋体" w:hint="eastAsia"/>
                <w:b/>
                <w:sz w:val="18"/>
              </w:rPr>
              <w:t>认定指标</w:t>
            </w:r>
          </w:p>
        </w:tc>
        <w:tc>
          <w:tcPr>
            <w:tcW w:type="dxa" w:w="3600"/>
            <w:vAlign w:val="center"/>
          </w:tcPr>
          <w:p>
            <w:pPr>
              <w:spacing w:before="30" w:after="30" w:line="240" w:lineRule="auto"/>
              <w:jc w:val="center"/>
            </w:pPr>
            <w:r>
              <w:rPr>
                <w:rFonts w:ascii="Times New Roman" w:hAnsi="Times New Roman" w:eastAsia="宋体" w:hint="eastAsia"/>
                <w:b/>
                <w:sz w:val="18"/>
              </w:rPr>
              <w:t>比较基准</w:t>
            </w:r>
          </w:p>
        </w:tc>
        <w:tc>
          <w:tcPr>
            <w:tcW w:type="dxa" w:w="1000"/>
            <w:vAlign w:val="center"/>
          </w:tcPr>
          <w:p>
            <w:pPr>
              <w:spacing w:before="30" w:after="30" w:line="240" w:lineRule="auto"/>
              <w:jc w:val="center"/>
            </w:pPr>
            <w:r>
              <w:rPr>
                <w:rFonts w:ascii="Times New Roman" w:hAnsi="Times New Roman" w:eastAsia="宋体" w:hint="eastAsia"/>
                <w:b/>
                <w:sz w:val="18"/>
              </w:rPr>
              <w:t>标准</w:t>
            </w:r>
          </w:p>
        </w:tc>
      </w:tr>
      <w:tr>
        <w:tc>
          <w:tcPr>
            <w:tcW w:type="dxa" w:w="800"/>
            <w:vAlign w:val="center"/>
          </w:tcPr>
          <w:p>
            <w:pPr>
              <w:spacing w:before="30" w:after="30" w:line="240" w:lineRule="auto"/>
              <w:jc w:val="center"/>
            </w:pPr>
            <w:r>
              <w:rPr>
                <w:rFonts w:ascii="Times New Roman" w:hAnsi="Times New Roman" w:eastAsia="宋体" w:hint="eastAsia"/>
                <w:b w:val="0"/>
                <w:sz w:val="18"/>
              </w:rPr>
              <w:t>（一）</w:t>
            </w:r>
          </w:p>
        </w:tc>
        <w:tc>
          <w:tcPr>
            <w:tcW w:type="dxa" w:w="2900"/>
            <w:vAlign w:val="center"/>
          </w:tcPr>
          <w:p>
            <w:pPr>
              <w:spacing w:before="30" w:after="30" w:line="240" w:lineRule="auto"/>
              <w:jc w:val="left"/>
            </w:pPr>
            <w:r>
              <w:rPr>
                <w:rFonts w:ascii="Times New Roman" w:hAnsi="Times New Roman" w:eastAsia="宋体" w:hint="eastAsia"/>
                <w:b w:val="0"/>
                <w:sz w:val="18"/>
              </w:rPr>
              <w:t>购买的资产总额</w:t>
            </w:r>
          </w:p>
        </w:tc>
        <w:tc>
          <w:tcPr>
            <w:tcW w:type="dxa" w:w="3600"/>
            <w:vAlign w:val="center"/>
          </w:tcPr>
          <w:p>
            <w:pPr>
              <w:spacing w:before="30" w:after="30" w:line="240" w:lineRule="auto"/>
              <w:jc w:val="left"/>
            </w:pPr>
            <w:r>
              <w:rPr>
                <w:rFonts w:ascii="Times New Roman" w:hAnsi="Times New Roman" w:eastAsia="宋体" w:hint="eastAsia"/>
                <w:b w:val="0"/>
                <w:sz w:val="18"/>
              </w:rPr>
              <w:t>上市公司控制权变更前一个会计年度经审计的合并财务会计报告期末资产总额</w:t>
            </w:r>
          </w:p>
        </w:tc>
        <w:tc>
          <w:tcPr>
            <w:tcW w:type="dxa" w:w="1000"/>
            <w:vAlign w:val="center"/>
          </w:tcPr>
          <w:p>
            <w:pPr>
              <w:spacing w:before="30" w:after="30" w:line="240" w:lineRule="auto"/>
              <w:jc w:val="center"/>
            </w:pPr>
            <w:r>
              <w:rPr>
                <w:rFonts w:ascii="Times New Roman" w:hAnsi="Times New Roman" w:eastAsia="宋体" w:hint="eastAsia"/>
                <w:b w:val="0"/>
                <w:sz w:val="18"/>
              </w:rPr>
              <w:t>≥100%</w:t>
            </w:r>
          </w:p>
        </w:tc>
      </w:tr>
      <w:tr>
        <w:tc>
          <w:tcPr>
            <w:tcW w:type="dxa" w:w="800"/>
            <w:vAlign w:val="center"/>
          </w:tcPr>
          <w:p>
            <w:pPr>
              <w:spacing w:before="30" w:after="30" w:line="240" w:lineRule="auto"/>
              <w:jc w:val="center"/>
            </w:pPr>
            <w:r>
              <w:rPr>
                <w:rFonts w:ascii="Times New Roman" w:hAnsi="Times New Roman" w:eastAsia="宋体" w:hint="eastAsia"/>
                <w:b w:val="0"/>
                <w:sz w:val="18"/>
              </w:rPr>
              <w:t>（二）</w:t>
            </w:r>
          </w:p>
        </w:tc>
        <w:tc>
          <w:tcPr>
            <w:tcW w:type="dxa" w:w="2900"/>
            <w:vAlign w:val="center"/>
          </w:tcPr>
          <w:p>
            <w:pPr>
              <w:spacing w:before="30" w:after="30" w:line="240" w:lineRule="auto"/>
              <w:jc w:val="left"/>
            </w:pPr>
            <w:r>
              <w:rPr>
                <w:rFonts w:ascii="Times New Roman" w:hAnsi="Times New Roman" w:eastAsia="宋体" w:hint="eastAsia"/>
                <w:b w:val="0"/>
                <w:sz w:val="18"/>
              </w:rPr>
              <w:t>购买的资产最近一个会计年度所产生的营业收入</w:t>
            </w:r>
          </w:p>
        </w:tc>
        <w:tc>
          <w:tcPr>
            <w:tcW w:type="dxa" w:w="3600"/>
            <w:vAlign w:val="center"/>
          </w:tcPr>
          <w:p>
            <w:pPr>
              <w:spacing w:before="30" w:after="30" w:line="240" w:lineRule="auto"/>
              <w:jc w:val="left"/>
            </w:pPr>
            <w:r>
              <w:rPr>
                <w:rFonts w:ascii="Times New Roman" w:hAnsi="Times New Roman" w:eastAsia="宋体" w:hint="eastAsia"/>
                <w:b w:val="0"/>
                <w:sz w:val="18"/>
              </w:rPr>
              <w:t>上市公司控制权变更前一个会计年度经审计的合并财务会计报告营业收入</w:t>
            </w:r>
          </w:p>
        </w:tc>
        <w:tc>
          <w:tcPr>
            <w:tcW w:type="dxa" w:w="1000"/>
            <w:vAlign w:val="center"/>
          </w:tcPr>
          <w:p>
            <w:pPr>
              <w:spacing w:before="30" w:after="30" w:line="240" w:lineRule="auto"/>
              <w:jc w:val="center"/>
            </w:pPr>
            <w:r>
              <w:rPr>
                <w:rFonts w:ascii="Times New Roman" w:hAnsi="Times New Roman" w:eastAsia="宋体" w:hint="eastAsia"/>
                <w:b w:val="0"/>
                <w:sz w:val="18"/>
              </w:rPr>
              <w:t>≥100%</w:t>
            </w:r>
          </w:p>
        </w:tc>
      </w:tr>
      <w:tr>
        <w:tc>
          <w:tcPr>
            <w:tcW w:type="dxa" w:w="800"/>
            <w:vAlign w:val="center"/>
          </w:tcPr>
          <w:p>
            <w:pPr>
              <w:spacing w:before="30" w:after="30" w:line="240" w:lineRule="auto"/>
              <w:jc w:val="center"/>
            </w:pPr>
            <w:r>
              <w:rPr>
                <w:rFonts w:ascii="Times New Roman" w:hAnsi="Times New Roman" w:eastAsia="宋体" w:hint="eastAsia"/>
                <w:b w:val="0"/>
                <w:sz w:val="18"/>
              </w:rPr>
              <w:t>（三）</w:t>
            </w:r>
          </w:p>
        </w:tc>
        <w:tc>
          <w:tcPr>
            <w:tcW w:type="dxa" w:w="2900"/>
            <w:vAlign w:val="center"/>
          </w:tcPr>
          <w:p>
            <w:pPr>
              <w:spacing w:before="30" w:after="30" w:line="240" w:lineRule="auto"/>
              <w:jc w:val="left"/>
            </w:pPr>
            <w:r>
              <w:rPr>
                <w:rFonts w:ascii="Times New Roman" w:hAnsi="Times New Roman" w:eastAsia="宋体" w:hint="eastAsia"/>
                <w:b w:val="0"/>
                <w:sz w:val="18"/>
              </w:rPr>
              <w:t>购买的资产净额</w:t>
            </w:r>
          </w:p>
        </w:tc>
        <w:tc>
          <w:tcPr>
            <w:tcW w:type="dxa" w:w="3600"/>
            <w:vAlign w:val="center"/>
          </w:tcPr>
          <w:p>
            <w:pPr>
              <w:spacing w:before="30" w:after="30" w:line="240" w:lineRule="auto"/>
              <w:jc w:val="left"/>
            </w:pPr>
            <w:r>
              <w:rPr>
                <w:rFonts w:ascii="Times New Roman" w:hAnsi="Times New Roman" w:eastAsia="宋体" w:hint="eastAsia"/>
                <w:b w:val="0"/>
                <w:sz w:val="18"/>
              </w:rPr>
              <w:t>上市公司控制权变更前一个会计年度经审计的合并财务会计报告期末净资产额</w:t>
            </w:r>
          </w:p>
        </w:tc>
        <w:tc>
          <w:tcPr>
            <w:tcW w:type="dxa" w:w="1000"/>
            <w:vAlign w:val="center"/>
          </w:tcPr>
          <w:p>
            <w:pPr>
              <w:spacing w:before="30" w:after="30" w:line="240" w:lineRule="auto"/>
              <w:jc w:val="center"/>
            </w:pPr>
            <w:r>
              <w:rPr>
                <w:rFonts w:ascii="Times New Roman" w:hAnsi="Times New Roman" w:eastAsia="宋体" w:hint="eastAsia"/>
                <w:b w:val="0"/>
                <w:sz w:val="18"/>
              </w:rPr>
              <w:t>≥100%</w:t>
            </w:r>
          </w:p>
        </w:tc>
      </w:tr>
      <w:tr>
        <w:tc>
          <w:tcPr>
            <w:tcW w:type="dxa" w:w="800"/>
            <w:vAlign w:val="center"/>
          </w:tcPr>
          <w:p>
            <w:pPr>
              <w:spacing w:before="30" w:after="30" w:line="240" w:lineRule="auto"/>
              <w:jc w:val="center"/>
            </w:pPr>
            <w:r>
              <w:rPr>
                <w:rFonts w:ascii="Times New Roman" w:hAnsi="Times New Roman" w:eastAsia="宋体" w:hint="eastAsia"/>
                <w:b w:val="0"/>
                <w:sz w:val="18"/>
              </w:rPr>
              <w:t>（四）</w:t>
            </w:r>
          </w:p>
        </w:tc>
        <w:tc>
          <w:tcPr>
            <w:tcW w:type="dxa" w:w="2900"/>
            <w:vAlign w:val="center"/>
          </w:tcPr>
          <w:p>
            <w:pPr>
              <w:spacing w:before="30" w:after="30" w:line="240" w:lineRule="auto"/>
              <w:jc w:val="left"/>
            </w:pPr>
            <w:r>
              <w:rPr>
                <w:rFonts w:ascii="Times New Roman" w:hAnsi="Times New Roman" w:eastAsia="宋体" w:hint="eastAsia"/>
                <w:b w:val="0"/>
                <w:sz w:val="18"/>
              </w:rPr>
              <w:t>为购买资产发行的股份</w:t>
            </w:r>
          </w:p>
        </w:tc>
        <w:tc>
          <w:tcPr>
            <w:tcW w:type="dxa" w:w="3600"/>
            <w:vAlign w:val="center"/>
          </w:tcPr>
          <w:p>
            <w:pPr>
              <w:spacing w:before="30" w:after="30" w:line="240" w:lineRule="auto"/>
              <w:jc w:val="left"/>
            </w:pPr>
            <w:r>
              <w:rPr>
                <w:rFonts w:ascii="Times New Roman" w:hAnsi="Times New Roman" w:eastAsia="宋体" w:hint="eastAsia"/>
                <w:b w:val="0"/>
                <w:sz w:val="18"/>
              </w:rPr>
              <w:t>上市公司首次向收购人及其关联人购买资产的董事会决议前一个交易日的股份</w:t>
            </w:r>
          </w:p>
        </w:tc>
        <w:tc>
          <w:tcPr>
            <w:tcW w:type="dxa" w:w="1000"/>
            <w:vAlign w:val="center"/>
          </w:tcPr>
          <w:p>
            <w:pPr>
              <w:spacing w:before="30" w:after="30" w:line="240" w:lineRule="auto"/>
              <w:jc w:val="center"/>
            </w:pPr>
            <w:r>
              <w:rPr>
                <w:rFonts w:ascii="Times New Roman" w:hAnsi="Times New Roman" w:eastAsia="宋体" w:hint="eastAsia"/>
                <w:b w:val="0"/>
                <w:sz w:val="18"/>
              </w:rPr>
              <w:t>≥100%</w:t>
            </w:r>
          </w:p>
        </w:tc>
      </w:tr>
      <w:tr>
        <w:tc>
          <w:tcPr>
            <w:tcW w:type="dxa" w:w="800"/>
            <w:vAlign w:val="center"/>
          </w:tcPr>
          <w:p>
            <w:pPr>
              <w:spacing w:before="30" w:after="30" w:line="240" w:lineRule="auto"/>
              <w:jc w:val="center"/>
            </w:pPr>
            <w:r>
              <w:rPr>
                <w:rFonts w:ascii="Times New Roman" w:hAnsi="Times New Roman" w:eastAsia="宋体" w:hint="eastAsia"/>
                <w:b w:val="0"/>
                <w:sz w:val="18"/>
              </w:rPr>
              <w:t>（五）</w:t>
            </w:r>
          </w:p>
        </w:tc>
        <w:tc>
          <w:tcPr>
            <w:tcW w:type="dxa" w:w="2900"/>
            <w:vAlign w:val="center"/>
          </w:tcPr>
          <w:p>
            <w:pPr>
              <w:spacing w:before="30" w:after="30" w:line="240" w:lineRule="auto"/>
              <w:jc w:val="left"/>
            </w:pPr>
            <w:r>
              <w:rPr>
                <w:rFonts w:ascii="Times New Roman" w:hAnsi="Times New Roman" w:eastAsia="宋体" w:hint="eastAsia"/>
                <w:b w:val="0"/>
                <w:sz w:val="18"/>
              </w:rPr>
              <w:t>未达前四项标准，但可能导致上市公司主营业务发生根本变化</w:t>
            </w:r>
          </w:p>
        </w:tc>
        <w:tc>
          <w:tcPr>
            <w:tcW w:type="dxa" w:w="3600"/>
            <w:vAlign w:val="center"/>
          </w:tcPr>
          <w:p>
            <w:pPr>
              <w:spacing w:before="30" w:after="30" w:line="240" w:lineRule="auto"/>
              <w:jc w:val="left"/>
            </w:pPr>
            <w:r>
              <w:rPr>
                <w:rFonts w:ascii="Times New Roman" w:hAnsi="Times New Roman" w:eastAsia="宋体" w:hint="eastAsia"/>
                <w:b w:val="0"/>
                <w:sz w:val="18"/>
              </w:rPr>
              <w:t>—</w:t>
            </w:r>
          </w:p>
        </w:tc>
        <w:tc>
          <w:tcPr>
            <w:tcW w:type="dxa" w:w="1000"/>
            <w:vAlign w:val="center"/>
          </w:tcPr>
          <w:p>
            <w:pPr>
              <w:spacing w:before="30" w:after="30" w:line="240" w:lineRule="auto"/>
              <w:jc w:val="center"/>
            </w:pPr>
            <w:r>
              <w:rPr>
                <w:rFonts w:ascii="Times New Roman" w:hAnsi="Times New Roman" w:eastAsia="宋体" w:hint="eastAsia"/>
                <w:b w:val="0"/>
                <w:sz w:val="18"/>
              </w:rPr>
              <w:t>定性</w:t>
            </w:r>
          </w:p>
        </w:tc>
      </w:tr>
      <w:tr>
        <w:tc>
          <w:tcPr>
            <w:tcW w:type="dxa" w:w="800"/>
            <w:vAlign w:val="center"/>
          </w:tcPr>
          <w:p>
            <w:pPr>
              <w:spacing w:before="30" w:after="30" w:line="240" w:lineRule="auto"/>
              <w:jc w:val="center"/>
            </w:pPr>
            <w:r>
              <w:rPr>
                <w:rFonts w:ascii="Times New Roman" w:hAnsi="Times New Roman" w:eastAsia="宋体" w:hint="eastAsia"/>
                <w:b w:val="0"/>
                <w:sz w:val="18"/>
              </w:rPr>
              <w:t>（六）</w:t>
            </w:r>
          </w:p>
        </w:tc>
        <w:tc>
          <w:tcPr>
            <w:tcW w:type="dxa" w:w="2900"/>
            <w:vAlign w:val="center"/>
          </w:tcPr>
          <w:p>
            <w:pPr>
              <w:spacing w:before="30" w:after="30" w:line="240" w:lineRule="auto"/>
              <w:jc w:val="left"/>
            </w:pPr>
            <w:r>
              <w:rPr>
                <w:rFonts w:ascii="Times New Roman" w:hAnsi="Times New Roman" w:eastAsia="宋体" w:hint="eastAsia"/>
                <w:b w:val="0"/>
                <w:sz w:val="18"/>
              </w:rPr>
              <w:t>中国证监会认定的可能导致上市公司发生根本变化的其他情形</w:t>
            </w:r>
          </w:p>
        </w:tc>
        <w:tc>
          <w:tcPr>
            <w:tcW w:type="dxa" w:w="3600"/>
            <w:vAlign w:val="center"/>
          </w:tcPr>
          <w:p>
            <w:pPr>
              <w:spacing w:before="30" w:after="30" w:line="240" w:lineRule="auto"/>
              <w:jc w:val="left"/>
            </w:pPr>
            <w:r>
              <w:rPr>
                <w:rFonts w:ascii="Times New Roman" w:hAnsi="Times New Roman" w:eastAsia="宋体" w:hint="eastAsia"/>
                <w:b w:val="0"/>
                <w:sz w:val="18"/>
              </w:rPr>
              <w:t>—</w:t>
            </w:r>
          </w:p>
        </w:tc>
        <w:tc>
          <w:tcPr>
            <w:tcW w:type="dxa" w:w="1000"/>
            <w:vAlign w:val="center"/>
          </w:tcPr>
          <w:p>
            <w:pPr>
              <w:spacing w:before="30" w:after="30" w:line="240" w:lineRule="auto"/>
              <w:jc w:val="center"/>
            </w:pPr>
            <w:r>
              <w:rPr>
                <w:rFonts w:ascii="Times New Roman" w:hAnsi="Times New Roman" w:eastAsia="宋体" w:hint="eastAsia"/>
                <w:b w:val="0"/>
                <w:sz w:val="18"/>
              </w:rPr>
              <w:t>定性</w:t>
            </w:r>
          </w:p>
        </w:tc>
      </w:tr>
    </w:tbl>
    <w:p>
      <w:pPr>
        <w:spacing w:before="40" w:after="40" w:lineRule="auto" w:line="360"/>
        <w:ind w:firstLine="480"/>
        <w:jc w:val="both"/>
      </w:pPr>
      <w:r>
        <w:rPr>
          <w:rFonts w:ascii="Times New Roman" w:hAnsi="Times New Roman" w:eastAsia="宋体" w:hint="eastAsia"/>
          <w:b w:val="0"/>
          <w:sz w:val="24"/>
        </w:rPr>
        <w:t>按同办法第十四条，购买的资产为股权且导致上市公司取得被投资企业控股权的，其资产总额以被投资企业的资产总额和成交金额二者中的较高者为准，营业收入以被投资企业的营业收入为准，资产净额以被投资企业的净资产额和成交金额二者中的较高者为准。</w:t>
      </w:r>
    </w:p>
    <w:p>
      <w:pPr>
        <w:spacing w:before="120" w:after="40" w:lineRule="auto" w:line="360"/>
        <w:ind w:firstLine="480"/>
      </w:pPr>
      <w:r>
        <w:rPr>
          <w:rFonts w:ascii="Times New Roman" w:hAnsi="Times New Roman" w:eastAsia="宋体" w:hint="eastAsia"/>
          <w:b/>
          <w:sz w:val="24"/>
        </w:rPr>
        <w:t>（二）标的资产应当符合的条件</w:t>
      </w:r>
    </w:p>
    <w:p>
      <w:pPr>
        <w:spacing w:before="40" w:after="40" w:lineRule="auto" w:line="360"/>
        <w:ind w:firstLine="480"/>
        <w:jc w:val="both"/>
      </w:pPr>
      <w:r>
        <w:rPr>
          <w:rFonts w:ascii="Times New Roman" w:hAnsi="Times New Roman" w:eastAsia="宋体" w:hint="eastAsia"/>
          <w:b w:val="0"/>
          <w:sz w:val="24"/>
        </w:rPr>
        <w:t>第十三条第二款规定，实施前述重大资产重组的，上市公司购买的资产对应的经营实体应当是股份有限公司或者有限责任公司。该经营实体应当符合《首次公开发行股票注册管理办法》规定的其他发行条件、相关板块定位，以及证券交易所规定的具体条件。同款对上市公司及其控股股东、实际控制人的合规情况亦有要求。</w:t>
      </w:r>
    </w:p>
    <w:p>
      <w:pPr>
        <w:spacing w:before="40" w:after="40" w:lineRule="auto" w:line="360"/>
        <w:ind w:firstLine="480"/>
        <w:jc w:val="both"/>
      </w:pPr>
      <w:r>
        <w:rPr>
          <w:rFonts w:ascii="Times New Roman" w:hAnsi="Times New Roman" w:eastAsia="宋体" w:hint="eastAsia"/>
          <w:b w:val="0"/>
          <w:sz w:val="24"/>
        </w:rPr>
        <w:t>即重组上市的标的资产，其发行条件与板块定位要求与首次公开发行相同。</w:t>
      </w:r>
    </w:p>
    <w:p>
      <w:pPr>
        <w:spacing w:before="40" w:after="40" w:lineRule="auto" w:line="360"/>
        <w:ind w:firstLine="480"/>
        <w:jc w:val="both"/>
      </w:pPr>
      <w:r>
        <w:rPr>
          <w:rFonts w:ascii="Times New Roman" w:hAnsi="Times New Roman" w:eastAsia="宋体" w:hint="eastAsia"/>
          <w:b w:val="0"/>
          <w:sz w:val="24"/>
        </w:rPr>
        <w:t>上述“证券交易所规定的具体条件”载于沪深证券交易所《上市公司重大资产重组审核规则》。本次未取得该规则文本，其规定的具体财务指标需另行核对。以下按比照主板上市财务条件的口径列示。</w:t>
      </w:r>
    </w:p>
    <w:p>
      <w:pPr>
        <w:spacing w:before="120" w:after="40" w:lineRule="auto" w:line="360"/>
        <w:ind w:firstLine="480"/>
      </w:pPr>
      <w:r>
        <w:rPr>
          <w:rFonts w:ascii="Times New Roman" w:hAnsi="Times New Roman" w:eastAsia="宋体" w:hint="eastAsia"/>
          <w:b/>
          <w:sz w:val="24"/>
        </w:rPr>
        <w:t>（三）与发行人情况的比对</w:t>
      </w:r>
    </w:p>
    <w:p>
      <w:pPr>
        <w:spacing w:before="40" w:after="40" w:lineRule="auto" w:line="360"/>
        <w:ind w:firstLine="480"/>
        <w:jc w:val="both"/>
      </w:pPr>
      <w:r>
        <w:rPr>
          <w:rFonts w:ascii="Times New Roman" w:hAnsi="Times New Roman" w:eastAsia="宋体" w:hint="eastAsia"/>
          <w:b w:val="0"/>
          <w:sz w:val="24"/>
        </w:rPr>
        <w:t>第一，适用前提。重组上市以上市公司控制权发生变更为前提，并由取得控制权的收购人及其关联人注入资产。发行人的股东为燕京啤酒、燕京集团及食品发酵研究院，最终控制方为北控集团。适用该路径需北控集团体系先行取得一家A股上市公司的控制权。该行为涉及以国有资金购买上市公司股份，须履行国资审批程序。</w:t>
      </w:r>
    </w:p>
    <w:p>
      <w:pPr>
        <w:spacing w:before="40" w:after="40" w:lineRule="auto" w:line="360"/>
        <w:ind w:firstLine="480"/>
        <w:jc w:val="both"/>
      </w:pPr>
      <w:r>
        <w:rPr>
          <w:rFonts w:ascii="Times New Roman" w:hAnsi="Times New Roman" w:eastAsia="宋体" w:hint="eastAsia"/>
          <w:b w:val="0"/>
          <w:sz w:val="24"/>
        </w:rPr>
        <w:t>第二，与现有架构的关系。发行人的控股股东燕京啤酒为深圳证券交易所主板上市公司，证券代码000729，发行人处于该上市公司体系之内。若将发行人资产注入燕京啤酒，燕京啤酒的控制权不发生变更，不构成第十三条项下的重组上市，属同一控制下的资产整合。</w:t>
      </w:r>
    </w:p>
    <w:p>
      <w:pPr>
        <w:spacing w:before="40" w:after="40" w:lineRule="auto" w:line="360"/>
        <w:ind w:firstLine="480"/>
        <w:jc w:val="both"/>
      </w:pPr>
      <w:r>
        <w:rPr>
          <w:rFonts w:ascii="Times New Roman" w:hAnsi="Times New Roman" w:eastAsia="宋体" w:hint="eastAsia"/>
          <w:b w:val="0"/>
          <w:sz w:val="24"/>
        </w:rPr>
        <w:t>第三，量化标准的比对。按第十四条计算，发行人2025年末资产总额39,986.23万元，2025年度营业收入43,435.86万元，2025年末净资产24,641.23万元；成交金额高于账面值的以成交金额为准。上市公司控制权变更前一个会计年度经审计合并报表的相应指标低于上述数值的，触发第十三条第一款第（一）至（三）项。此外，第（五）项为定性标准，指可能导致上市公司主营业务发生根本变化的情形。</w:t>
      </w:r>
    </w:p>
    <w:p>
      <w:pPr>
        <w:spacing w:before="40" w:after="40" w:lineRule="auto" w:line="360"/>
        <w:ind w:firstLine="480"/>
        <w:jc w:val="both"/>
      </w:pPr>
      <w:r>
        <w:rPr>
          <w:rFonts w:ascii="Times New Roman" w:hAnsi="Times New Roman" w:eastAsia="宋体" w:hint="eastAsia"/>
          <w:b w:val="0"/>
          <w:sz w:val="24"/>
        </w:rPr>
        <w:t>第四，财务条件的比对。按比照主板上市财务条件的口径，本报告第三部分的比对结果同样适用：第一套标准的未达标项为最近三年经营活动现金流量净额累计，第二套、第三套标准的未达标项为最近一年营业收入。《首次公开发行股票注册管理办法》第十二条关于资产完整、财务独立的要求与首次公开发行相同，本报告第四部分所述资金归集事项在该路径下同样需要清理。</w:t>
      </w:r>
    </w:p>
    <w:p>
      <w:pPr>
        <w:spacing w:before="200" w:after="80" w:lineRule="auto" w:line="360"/>
        <w:ind w:firstLine="480"/>
      </w:pPr>
      <w:r>
        <w:rPr>
          <w:rFonts w:ascii="Times New Roman" w:hAnsi="Times New Roman" w:eastAsia="黑体" w:hint="eastAsia"/>
          <w:b/>
          <w:sz w:val="24"/>
        </w:rPr>
        <w:t>八、测算结果汇总</w:t>
      </w:r>
    </w:p>
    <w:p>
      <w:pPr>
        <w:spacing w:before="40" w:after="40" w:lineRule="auto" w:line="360"/>
        <w:ind w:firstLine="480"/>
        <w:jc w:val="both"/>
      </w:pPr>
      <w:r>
        <w:rPr>
          <w:rFonts w:ascii="Times New Roman" w:hAnsi="Times New Roman" w:eastAsia="宋体" w:hint="eastAsia"/>
          <w:b w:val="0"/>
          <w:sz w:val="24"/>
        </w:rPr>
        <w:t>一、按现有数据，主板三套上市财务指标均不满足。</w:t>
      </w:r>
    </w:p>
    <w:p>
      <w:pPr>
        <w:spacing w:before="40" w:after="40" w:lineRule="auto" w:line="360"/>
        <w:ind w:firstLine="480"/>
        <w:jc w:val="both"/>
      </w:pPr>
      <w:r>
        <w:rPr>
          <w:rFonts w:ascii="Times New Roman" w:hAnsi="Times New Roman" w:eastAsia="宋体" w:hint="eastAsia"/>
          <w:b w:val="0"/>
          <w:sz w:val="24"/>
        </w:rPr>
        <w:t>二、第一套标准中，最近三年净利润累计及最近一年净利润两项满足并有余量；未达标项为最近三年经营活动现金流量净额累计，差9,549.19万元，以及最近三年营业收入累计，差79,929.77万元。</w:t>
      </w:r>
    </w:p>
    <w:p>
      <w:pPr>
        <w:spacing w:before="40" w:after="40" w:lineRule="auto" w:line="360"/>
        <w:ind w:firstLine="480"/>
        <w:jc w:val="both"/>
      </w:pPr>
      <w:r>
        <w:rPr>
          <w:rFonts w:ascii="Times New Roman" w:hAnsi="Times New Roman" w:eastAsia="宋体" w:hint="eastAsia"/>
          <w:b w:val="0"/>
          <w:sz w:val="24"/>
        </w:rPr>
        <w:t>三、第二套、第三套标准的未达标项为最近一年营业收入，差额分别为16,564.14万元和56,564.14万元。此外两套标准均设有预计市值门槛，发行人尚未评估。</w:t>
      </w:r>
    </w:p>
    <w:p>
      <w:pPr>
        <w:spacing w:before="40" w:after="40" w:lineRule="auto" w:line="360"/>
        <w:ind w:firstLine="480"/>
        <w:jc w:val="both"/>
      </w:pPr>
      <w:r>
        <w:rPr>
          <w:rFonts w:ascii="Times New Roman" w:hAnsi="Times New Roman" w:eastAsia="宋体" w:hint="eastAsia"/>
          <w:b w:val="0"/>
          <w:sz w:val="24"/>
        </w:rPr>
        <w:t>四、账面经营活动现金流量净额与净利润之间的差额，主要来自集团资金归集。截至2026年6月30日，内部存款余额38,048.24万元，占资产总计的76.64%。还原测算下，2023年度至2025年度经营活动现金流量净额累计约32,090.69万元。</w:t>
      </w:r>
    </w:p>
    <w:p>
      <w:pPr>
        <w:spacing w:before="40" w:after="40" w:lineRule="auto" w:line="360"/>
        <w:ind w:firstLine="480"/>
        <w:jc w:val="both"/>
      </w:pPr>
      <w:r>
        <w:rPr>
          <w:rFonts w:ascii="Times New Roman" w:hAnsi="Times New Roman" w:eastAsia="宋体" w:hint="eastAsia"/>
          <w:b w:val="0"/>
          <w:sz w:val="24"/>
        </w:rPr>
        <w:t>五、资金归集事项属于《首次公开发行股票注册管理办法》第十二条财务独立性的范围，在各板块申报中均需清理。</w:t>
      </w:r>
    </w:p>
    <w:p>
      <w:pPr>
        <w:spacing w:before="40" w:after="40" w:lineRule="auto" w:line="360"/>
        <w:ind w:firstLine="480"/>
        <w:jc w:val="both"/>
      </w:pPr>
      <w:r>
        <w:rPr>
          <w:rFonts w:ascii="Times New Roman" w:hAnsi="Times New Roman" w:eastAsia="宋体" w:hint="eastAsia"/>
          <w:b w:val="0"/>
          <w:sz w:val="24"/>
        </w:rPr>
        <w:t>六、按同一套财务数据，创业板第一套标准满足，北交所第一套、第二套标准满足。</w:t>
      </w:r>
    </w:p>
    <w:p>
      <w:pPr>
        <w:spacing w:before="40" w:after="40" w:lineRule="auto" w:line="360"/>
        <w:ind w:firstLine="480"/>
        <w:jc w:val="both"/>
      </w:pPr>
      <w:r>
        <w:rPr>
          <w:rFonts w:ascii="Times New Roman" w:hAnsi="Times New Roman" w:eastAsia="宋体" w:hint="eastAsia"/>
          <w:b w:val="0"/>
          <w:sz w:val="24"/>
        </w:rPr>
        <w:t>七、主板重组上市路径下，标的资产的发行条件及板块定位与首次公开发行相同，第三部分的比对结果同样适用；该路径另需先行取得上市公司控制权并履行国资审批程序。</w:t>
      </w:r>
    </w:p>
    <w:p>
      <w:pPr>
        <w:spacing w:before="40" w:after="40" w:lineRule="auto" w:line="360"/>
        <w:ind w:firstLine="480"/>
        <w:jc w:val="both"/>
      </w:pPr>
      <w:r>
        <w:rPr>
          <w:rFonts w:ascii="Times New Roman" w:hAnsi="Times New Roman" w:eastAsia="宋体" w:hint="eastAsia"/>
          <w:b w:val="0"/>
          <w:sz w:val="24"/>
        </w:rPr>
        <w:t>八、主板板块定位为定性条件，不通过财务指标测算得出结论，需单独论证。</w:t>
      </w:r>
    </w:p>
    <w:p>
      <w:pPr>
        <w:spacing w:before="200" w:after="80" w:lineRule="auto" w:line="360"/>
        <w:ind w:firstLine="480"/>
      </w:pPr>
      <w:r>
        <w:rPr>
          <w:rFonts w:ascii="Times New Roman" w:hAnsi="Times New Roman" w:eastAsia="黑体" w:hint="eastAsia"/>
          <w:b/>
          <w:sz w:val="24"/>
        </w:rPr>
        <w:t>九、尚需取得的资料</w:t>
      </w:r>
    </w:p>
    <w:p>
      <w:pPr>
        <w:spacing w:before="40" w:after="40" w:lineRule="auto" w:line="360"/>
        <w:ind w:firstLine="480"/>
        <w:jc w:val="both"/>
      </w:pPr>
      <w:r>
        <w:rPr>
          <w:rFonts w:ascii="Times New Roman" w:hAnsi="Times New Roman" w:eastAsia="宋体" w:hint="eastAsia"/>
          <w:b w:val="0"/>
          <w:sz w:val="24"/>
        </w:rPr>
        <w:t>1、内部存款的存放对象（燕京啤酒或燕京集团）、资金归集协议、利率、期限及可支取性说明；存放对象是否持有企业集团财务公司牌照，该事项决定该笔资金能否列示为货币资金。</w:t>
      </w:r>
    </w:p>
    <w:p>
      <w:pPr>
        <w:spacing w:before="40" w:after="40" w:lineRule="auto" w:line="360"/>
        <w:ind w:firstLine="480"/>
        <w:jc w:val="both"/>
      </w:pPr>
      <w:r>
        <w:rPr>
          <w:rFonts w:ascii="Times New Roman" w:hAnsi="Times New Roman" w:eastAsia="宋体" w:hint="eastAsia"/>
          <w:b w:val="0"/>
          <w:sz w:val="24"/>
        </w:rPr>
        <w:t>2、资金归集的清理方案及时间表，包括拟收回金额、时点及后续资金管理安排。</w:t>
      </w:r>
    </w:p>
    <w:p>
      <w:pPr>
        <w:spacing w:before="40" w:after="40" w:lineRule="auto" w:line="360"/>
        <w:ind w:firstLine="480"/>
        <w:jc w:val="both"/>
      </w:pPr>
      <w:r>
        <w:rPr>
          <w:rFonts w:ascii="Times New Roman" w:hAnsi="Times New Roman" w:eastAsia="宋体" w:hint="eastAsia"/>
          <w:b w:val="0"/>
          <w:sz w:val="24"/>
        </w:rPr>
        <w:t>3、发行人2023年度至2026年1—6月非经常性损益明细表，用于确定扣非后净利润。</w:t>
      </w:r>
    </w:p>
    <w:p>
      <w:pPr>
        <w:spacing w:before="40" w:after="40" w:lineRule="auto" w:line="360"/>
        <w:ind w:firstLine="480"/>
        <w:jc w:val="both"/>
      </w:pPr>
      <w:r>
        <w:rPr>
          <w:rFonts w:ascii="Times New Roman" w:hAnsi="Times New Roman" w:eastAsia="宋体" w:hint="eastAsia"/>
          <w:b w:val="0"/>
          <w:sz w:val="24"/>
        </w:rPr>
        <w:t>4、发行人对中发邢台33.00%股权的核算方法说明，以及2025年度未确认投资收益的原因。</w:t>
      </w:r>
    </w:p>
    <w:p>
      <w:pPr>
        <w:spacing w:before="40" w:after="40" w:lineRule="auto" w:line="360"/>
        <w:ind w:firstLine="480"/>
        <w:jc w:val="both"/>
      </w:pPr>
      <w:r>
        <w:rPr>
          <w:rFonts w:ascii="Times New Roman" w:hAnsi="Times New Roman" w:eastAsia="宋体" w:hint="eastAsia"/>
          <w:b w:val="0"/>
          <w:sz w:val="24"/>
        </w:rPr>
        <w:t>5、发行人2026年度完整财务数据，含现金流量表及现金流量表补充资料。</w:t>
      </w:r>
    </w:p>
    <w:p>
      <w:pPr>
        <w:spacing w:before="40" w:after="40" w:lineRule="auto" w:line="360"/>
        <w:ind w:firstLine="480"/>
        <w:jc w:val="both"/>
      </w:pPr>
      <w:r>
        <w:rPr>
          <w:rFonts w:ascii="Times New Roman" w:hAnsi="Times New Roman" w:eastAsia="宋体" w:hint="eastAsia"/>
          <w:b w:val="0"/>
          <w:sz w:val="24"/>
        </w:rPr>
        <w:t>6、发行人2022年度经营活动现金流量净额及2022年末内部存款余额，用于完整还原2023年度数据。</w:t>
      </w:r>
    </w:p>
    <w:p>
      <w:pPr>
        <w:spacing w:before="40" w:after="40" w:lineRule="auto" w:line="360"/>
        <w:ind w:firstLine="480"/>
        <w:jc w:val="both"/>
      </w:pPr>
      <w:r>
        <w:rPr>
          <w:rFonts w:ascii="Times New Roman" w:hAnsi="Times New Roman" w:eastAsia="宋体" w:hint="eastAsia"/>
          <w:b w:val="0"/>
          <w:sz w:val="24"/>
        </w:rPr>
        <w:t>7、公司关于上市板块选择的意见，以及是否存在引入战略投资者、员工持股等安排。</w:t>
      </w:r>
    </w:p>
    <w:p>
      <w:pPr>
        <w:spacing w:before="40" w:after="40" w:lineRule="auto" w:line="360"/>
        <w:ind w:firstLine="480"/>
        <w:jc w:val="both"/>
      </w:pPr>
      <w:r>
        <w:rPr>
          <w:rFonts w:ascii="Times New Roman" w:hAnsi="Times New Roman" w:eastAsia="宋体" w:hint="eastAsia"/>
          <w:b w:val="0"/>
          <w:sz w:val="24"/>
        </w:rPr>
        <w:t>8、2026年1—6月财务报表的审阅或审计安排；主板财务指标以经审计数值为准，报告期内各期均需经审计。</w:t>
      </w:r>
    </w:p>
    <w:p>
      <w:pPr>
        <w:spacing w:before="40" w:after="40" w:lineRule="auto" w:line="360"/>
        <w:ind w:firstLine="480"/>
        <w:jc w:val="both"/>
      </w:pPr>
      <w:r>
        <w:rPr>
          <w:rFonts w:ascii="Times New Roman" w:hAnsi="Times New Roman" w:eastAsia="宋体" w:hint="eastAsia"/>
          <w:b w:val="0"/>
          <w:sz w:val="24"/>
        </w:rPr>
        <w:t>9、沪深证券交易所《上市公司重大资产重组审核规则》文本，用于核对重组上市项下标的资产应符合的具体财务条件。</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