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从收入构成看，2025年和2026年1-7月，公司机器人核心零部件及一体化关节模组销售收入占当期营业收入的比重分别为84.03%和97.27%，其中一体化关节模组的比重分别为47.80%和82.55%，前述行业归属与公司主营业务收入构成一致。</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前述谐波减速机方案的核心部件，也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如前所述，谐波减速机、无框力矩电机等环节已形成规模化的国产供应，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如前所述，随着国产厂商份额提升，该环节的比较对象已由境外品牌转为国产同行；在此基础上，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综合前述研究，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及官网，其关节模组产品中，面向人形机器人的系列已形成R48、R58、R68、R83、R102、R120和R120 Max，按关节部位分别对应头颈、肩肘腕及腰部、髋部及腿部；在此之外另设面向工业场景的模组系列。据公司2025年产品手册，前述人形机器人用系列的峰值扭矩覆盖3.8牛米至576牛米。如前所述，减速器占执行器成本的30%至50%，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前述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