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上游核心环节（二）：电机、驱动器与编码器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上游其他环节：丝杠、轴承、灵巧手、传感器与芯片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7"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_Toc900037 \h </w:instrText>
            </w:r>
            <w:r>
              <w:rPr>
                <w:webHidden/>
                <w:noProof/>
                <w:sz w:val="24"/>
                <w:szCs w:val="24"/>
              </w:rPr>
              <w:fldChar w:fldCharType="separate"/>
            </w:r>
            <w:r>
              <w:rPr>
                <w:webHidden/>
                <w:noProof/>
                <w:sz w:val="24"/>
                <w:szCs w:val="24"/>
              </w:rPr>
              <w:t>35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7.1 券商谱系与整体投行位置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7.2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7.3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7.5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7.6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39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42</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制动器、力矩传感器和散热结构则用于保障断电安全、力控性能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上游核心环节（二）：电机、驱动器与编码器</w:t>
      </w:r>
      <w:bookmarkEnd w:id="1008"/>
    </w:p>
    <w:p>
      <w:pPr>
        <w:pStyle w:val="a0"/>
      </w:pPr>
      <w:r>
        <w:rPr>
          <w:rFonts w:hint="eastAsia"/>
        </w:rPr>
        <w:t>电机、驱动器与编码器是关节模组中除减速器外的三大核心部件，也是无锡巨蟹自研产品覆盖的环节。三者在技术路线、竞争格局和国产化程度上差异明显：电机环节国产替代进展最快、增速最高；驱动器环节标准化程度较高但小型化和高集成度产品仍有壁垒；编码器环节国产化程度最低，仍以外资品牌为主。</w:t>
      </w:r>
    </w:p>
    <w:p>
      <w:pPr>
        <w:keepNext/>
        <w:jc w:val="center"/>
      </w:pPr>
      <w:r>
        <w:rPr>
          <w:rFonts w:hint="eastAsia"/>
          <w:b/>
          <w:sz w:val="21"/>
        </w:rPr>
        <w:t>表3  人形机器人电机、驱动器与编码器环节比较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bl>
    <w:p>
      <w:pPr>
        <w:pStyle w:val="a6"/>
        <w:jc w:val="center"/>
      </w:pPr>
      <w:r>
        <w:rPr>
          <w:rFonts w:hint="eastAsia"/>
          <w:sz w:val="11"/>
          <w:szCs w:val="11"/>
        </w:rPr>
        <w:t>数据来源：MIR DATABANK、各公司公开披露及投资者交流记录、行业媒体报道，本报告整理。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三个单独议价能力有限的部件，通过集成转化为一个具备系统性能承诺的整体产品。</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掌握模组中壁垒最高的减速器环节，向下集成电机、编码器和驱动的边际成本相对可控；能够以整体性能指标（扭矩密度、精度、寿命）对外承诺，摆脱单一部件的价格竞争。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a0"/>
      </w:pPr>
      <w:r>
        <w:rPr>
          <w:rFonts w:hint="eastAsia"/>
        </w:rPr>
        <w:t>无锡巨蟹在这一环节的定位属于第一类。据公开资料，公司成立于2019年4月26日，位于无锡，创始人赵伟为东南大学仪器科学与工程学院2016级博士，公司拥有约8,000平方米研制基地，系江苏省重点智能制造企业。公司以谐波减速器为核心，同时自研微型低压驱动器、编码器与力传感器，并将上述部件集成为可直接装配的人形关节模组；产品体系包含R48、R58、R68、R83、R102、R120六大系列，覆盖头部、肩部、腕部、腰部、髋部等多自由度场景，全系标配双编码器。以2025年推出的R48-Lite集成式谐波减速关节模组为例，体积为Ø48×45.5毫米，重量0.26公斤，额定扭矩5N·m、峰值扭矩11±0.5N·m，减速比101:1，额定转速3,000转/分，主要面向机器人颈部、手腕等对空间和精度要求较高的部位。</w:t>
      </w:r>
    </w:p>
    <w:p>
      <w:pPr>
        <w:pStyle w:val="a0"/>
      </w:pPr>
      <w:r>
        <w:rPr>
          <w:rFonts w:hint="eastAsia"/>
        </w:rPr>
        <w:t>商业进展方面，据公开报道，无锡巨蟹已完成人形机器人专用模组1,320套的交付，为全球首款防爆人形机器人"天魁1号"（由天创机器人推出，IIC T6级防爆、负载15公斤、续航5小时）提供了除手部以外的上肢，并中标哈尔滨电机厂发电机组智能检查机器人项目，2025年4月获得"LeadeRobot 2025年度人形机器人核心供应商"称号。融资方面，公司于2025年10月宣布完成近亿元人民币A轮融资，由扫地机器人龙头科沃斯的战略投资平台领投，上海宁玮仁、上海湖银等产业资源方跟投，资金用于动力模组研发与产能扩建。上述数字表明，公司当前处于"从样机验证走向小批量交付"的阶段，交付量级与头部模组厂商仍有明显差距，但已进入整机厂的供应体系。</w:t>
      </w:r>
    </w:p>
    <w:p>
      <w:pPr>
        <w:pStyle w:val="3"/>
        <w:numPr>
          <w:ilvl w:val="0"/>
          <w:numId w:val="0"/>
        </w:numPr>
        <w:spacing w:before="156" w:after="156"/>
      </w:pPr>
      <w:bookmarkStart w:id="1010" w:name="_Toc900010"/>
      <w:r>
        <w:rPr>
          <w:rFonts w:hint="eastAsia"/>
        </w:rPr>
        <w:t>2.5 上游其他环节：丝杠、轴承、灵巧手、传感器与芯片</w:t>
      </w:r>
      <w:bookmarkEnd w:id="1010"/>
    </w:p>
    <w:p>
      <w:pPr>
        <w:pStyle w:val="a0"/>
      </w:pPr>
      <w:r>
        <w:rPr>
          <w:rFonts w:hint="eastAsia"/>
        </w:rPr>
        <w:t>除上述与无锡巨蟹直接相关的环节外，人形机器人上游还包括行星滚柱丝杠、精密轴承、灵巧手、力/触觉传感器以及主控与算力芯片等环节。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力与触觉传感器</w:t>
            </w:r>
          </w:p>
        </w:tc>
        <w:tc>
          <w:tcPr>
            <w:tcW w:w="3125" w:type="pct"/>
            <w:tcBorders>
              <w:top w:val="single" w:sz="4" w:space="0" w:color="010000"/>
            </w:tcBorders>
            <w:vAlign w:val="center"/>
          </w:tcPr>
          <w:p>
            <w:pPr>
              <w:jc w:val="left"/>
            </w:pPr>
            <w:r/>
            <w:r>
              <w:rPr>
                <w:rFonts w:hint="eastAsia"/>
                <w:color w:val="000000"/>
                <w:sz w:val="21"/>
              </w:rPr>
              <w:t>六维力传感器用于末端力控和整机平衡，2025年中国六维力传感器市场规模超3亿元，2026年预计约3.88亿元。当前应变片技术占80%以上份额，MEMS路线正在兴起，可将体积降至传统产品的十分之一。</w:t>
            </w:r>
          </w:p>
        </w:tc>
        <w:tc>
          <w:tcPr>
            <w:tcW w:w="1250" w:type="pct"/>
            <w:tcBorders>
              <w:top w:val="single" w:sz="4" w:space="0" w:color="010000"/>
            </w:tcBorders>
            <w:vAlign w:val="center"/>
          </w:tcPr>
          <w:p>
            <w:pPr>
              <w:jc w:val="left"/>
            </w:pPr>
            <w:r/>
            <w:r>
              <w:rPr>
                <w:rFonts w:hint="eastAsia"/>
                <w:color w:val="000000"/>
                <w:sz w:val="21"/>
              </w:rPr>
              <w:t>坤维科技、宇立仪器、蓝点触控、柯力传感、安培龙等。</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上述报告，2025年中国人形机器人已形成教育科研、数据采集、交互服务、工业物流和娱乐表演五大应用场景，各场景在采购主体、采购规模、单价和服务占比上差异明显，因而出货量结构与市场规模结构并不一致。</w:t>
      </w:r>
    </w:p>
    <w:p>
      <w:pPr>
        <w:keepNext/>
        <w:jc w:val="center"/>
      </w:pPr>
      <w:r>
        <w:rPr>
          <w:rFonts w:hint="eastAsia"/>
          <w:b/>
          <w:sz w:val="21"/>
        </w:rPr>
        <w:t>表6  2025年中国人形机器人五大应用场景比较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97" w:type="pct"/>
            <w:tcBorders>
              <w:top w:val="single" w:sz="12" w:space="0" w:color="010000"/>
              <w:bottom w:val="single" w:sz="4" w:space="0" w:color="010000"/>
            </w:tcBorders>
            <w:vAlign w:val="center"/>
          </w:tcPr>
          <w:p>
            <w:pPr>
              <w:keepNext/>
              <w:jc w:val="center"/>
            </w:pPr>
            <w:r/>
            <w:r>
              <w:rPr>
                <w:rFonts w:hint="eastAsia"/>
                <w:b/>
                <w:color w:val="000000"/>
                <w:sz w:val="21"/>
              </w:rPr>
              <w:t>应用场景</w:t>
            </w:r>
          </w:p>
        </w:tc>
        <w:tc>
          <w:tcPr>
            <w:tcW w:w="970" w:type="pct"/>
            <w:tcBorders>
              <w:top w:val="single" w:sz="12" w:space="0" w:color="010000"/>
              <w:bottom w:val="single" w:sz="4" w:space="0" w:color="010000"/>
            </w:tcBorders>
            <w:vAlign w:val="center"/>
          </w:tcPr>
          <w:p>
            <w:pPr>
              <w:keepNext/>
              <w:jc w:val="center"/>
            </w:pPr>
            <w:r/>
            <w:r>
              <w:rPr>
                <w:rFonts w:hint="eastAsia"/>
                <w:b/>
                <w:color w:val="000000"/>
                <w:sz w:val="21"/>
              </w:rPr>
              <w:t>主要采购方</w:t>
            </w:r>
          </w:p>
        </w:tc>
        <w:tc>
          <w:tcPr>
            <w:tcW w:w="1866" w:type="pct"/>
            <w:tcBorders>
              <w:top w:val="single" w:sz="12" w:space="0" w:color="010000"/>
              <w:bottom w:val="single" w:sz="4" w:space="0" w:color="010000"/>
            </w:tcBorders>
            <w:vAlign w:val="center"/>
          </w:tcPr>
          <w:p>
            <w:pPr>
              <w:keepNext/>
              <w:jc w:val="center"/>
            </w:pPr>
            <w:r/>
            <w:r>
              <w:rPr>
                <w:rFonts w:hint="eastAsia"/>
                <w:b/>
                <w:color w:val="000000"/>
                <w:sz w:val="21"/>
              </w:rPr>
              <w:t>采购特征</w:t>
            </w:r>
          </w:p>
        </w:tc>
        <w:tc>
          <w:tcPr>
            <w:tcW w:w="1567" w:type="pct"/>
            <w:tcBorders>
              <w:top w:val="single" w:sz="12" w:space="0" w:color="010000"/>
              <w:bottom w:val="single" w:sz="4" w:space="0" w:color="010000"/>
            </w:tcBorders>
            <w:vAlign w:val="center"/>
          </w:tcPr>
          <w:p>
            <w:pPr>
              <w:keepNext/>
              <w:jc w:val="center"/>
            </w:pPr>
            <w:r/>
            <w:r>
              <w:rPr>
                <w:rFonts w:hint="eastAsia"/>
                <w:b/>
                <w:color w:val="000000"/>
                <w:sz w:val="21"/>
              </w:rPr>
              <w:t>对上游的影响</w:t>
            </w:r>
          </w:p>
        </w:tc>
      </w:tr>
      <w:tr>
        <w:trPr>
          <w:cantSplit/>
          <w:jc w:val="center"/>
        </w:trPr>
        <w:tc>
          <w:tcPr>
            <w:tcW w:w="597" w:type="pct"/>
            <w:tcBorders>
              <w:top w:val="single" w:sz="4" w:space="0" w:color="010000"/>
            </w:tcBorders>
            <w:vAlign w:val="center"/>
          </w:tcPr>
          <w:p>
            <w:pPr>
              <w:jc w:val="left"/>
            </w:pPr>
            <w:r/>
            <w:r>
              <w:rPr>
                <w:rFonts w:hint="eastAsia"/>
                <w:color w:val="000000"/>
                <w:sz w:val="21"/>
              </w:rPr>
              <w:t>教育科研</w:t>
            </w:r>
          </w:p>
        </w:tc>
        <w:tc>
          <w:tcPr>
            <w:tcW w:w="970" w:type="pct"/>
            <w:tcBorders>
              <w:top w:val="single" w:sz="4" w:space="0" w:color="010000"/>
            </w:tcBorders>
            <w:vAlign w:val="center"/>
          </w:tcPr>
          <w:p>
            <w:pPr>
              <w:jc w:val="left"/>
            </w:pPr>
            <w:r/>
            <w:r>
              <w:rPr>
                <w:rFonts w:hint="eastAsia"/>
                <w:color w:val="000000"/>
                <w:sz w:val="21"/>
              </w:rPr>
              <w:t>高校、职业院校及科研机构</w:t>
            </w:r>
          </w:p>
        </w:tc>
        <w:tc>
          <w:tcPr>
            <w:tcW w:w="1866" w:type="pct"/>
            <w:tcBorders>
              <w:top w:val="single" w:sz="4" w:space="0" w:color="010000"/>
            </w:tcBorders>
            <w:vAlign w:val="center"/>
          </w:tcPr>
          <w:p>
            <w:pPr>
              <w:jc w:val="left"/>
            </w:pPr>
            <w:r/>
            <w:r>
              <w:rPr>
                <w:rFonts w:hint="eastAsia"/>
                <w:color w:val="000000"/>
                <w:sz w:val="21"/>
              </w:rPr>
              <w:t>采购频次高但单次规模小，单价从几万元到一二十万元不等；出货量大而市场规模相对较小。</w:t>
            </w:r>
          </w:p>
        </w:tc>
        <w:tc>
          <w:tcPr>
            <w:tcW w:w="1567" w:type="pct"/>
            <w:tcBorders>
              <w:top w:val="single" w:sz="4" w:space="0" w:color="010000"/>
            </w:tcBorders>
            <w:vAlign w:val="center"/>
          </w:tcPr>
          <w:p>
            <w:pPr>
              <w:jc w:val="left"/>
            </w:pPr>
            <w:r/>
            <w:r>
              <w:rPr>
                <w:rFonts w:hint="eastAsia"/>
                <w:color w:val="000000"/>
                <w:sz w:val="21"/>
              </w:rPr>
              <w:t>拉动中小尺寸机型和低成本关节模组需求，对价格敏感度最高。</w:t>
            </w:r>
          </w:p>
        </w:tc>
      </w:tr>
      <w:tr>
        <w:trPr>
          <w:cantSplit/>
          <w:jc w:val="center"/>
        </w:trPr>
        <w:tc>
          <w:tcPr>
            <w:tcW w:w="597" w:type="pct"/>
            <w:tcBorders>
              <w:top w:val="single" w:sz="4" w:space="0" w:color="010000"/>
            </w:tcBorders>
            <w:vAlign w:val="center"/>
          </w:tcPr>
          <w:p>
            <w:pPr>
              <w:jc w:val="left"/>
            </w:pPr>
            <w:r/>
            <w:r>
              <w:rPr>
                <w:rFonts w:hint="eastAsia"/>
                <w:color w:val="000000"/>
                <w:sz w:val="21"/>
              </w:rPr>
              <w:t>数据采集</w:t>
            </w:r>
          </w:p>
        </w:tc>
        <w:tc>
          <w:tcPr>
            <w:tcW w:w="970" w:type="pct"/>
            <w:tcBorders>
              <w:top w:val="single" w:sz="4" w:space="0" w:color="010000"/>
            </w:tcBorders>
            <w:vAlign w:val="center"/>
          </w:tcPr>
          <w:p>
            <w:pPr>
              <w:jc w:val="left"/>
            </w:pPr>
            <w:r/>
            <w:r>
              <w:rPr>
                <w:rFonts w:hint="eastAsia"/>
                <w:color w:val="000000"/>
                <w:sz w:val="21"/>
              </w:rPr>
              <w:t>政务平台与国资产业基地</w:t>
            </w:r>
          </w:p>
        </w:tc>
        <w:tc>
          <w:tcPr>
            <w:tcW w:w="1866" w:type="pct"/>
            <w:tcBorders>
              <w:top w:val="single" w:sz="4" w:space="0" w:color="010000"/>
            </w:tcBorders>
            <w:vAlign w:val="center"/>
          </w:tcPr>
          <w:p>
            <w:pPr>
              <w:jc w:val="left"/>
            </w:pPr>
            <w:r/>
            <w:r>
              <w:rPr>
                <w:rFonts w:hint="eastAsia"/>
                <w:color w:val="000000"/>
                <w:sz w:val="21"/>
              </w:rPr>
              <w:t>单次采购规模一般在百台以上，采购金额较大，服务占比高。</w:t>
            </w:r>
          </w:p>
        </w:tc>
        <w:tc>
          <w:tcPr>
            <w:tcW w:w="1567" w:type="pct"/>
            <w:tcBorders>
              <w:top w:val="single" w:sz="4" w:space="0" w:color="010000"/>
            </w:tcBorders>
            <w:vAlign w:val="center"/>
          </w:tcPr>
          <w:p>
            <w:pPr>
              <w:jc w:val="left"/>
            </w:pPr>
            <w:r/>
            <w:r>
              <w:rPr>
                <w:rFonts w:hint="eastAsia"/>
                <w:color w:val="000000"/>
                <w:sz w:val="21"/>
              </w:rPr>
              <w:t>是2025年千万元级和亿元级订单的主要来源，带动整机厂产能爬坡和关节模组批量采购。</w:t>
            </w:r>
          </w:p>
        </w:tc>
      </w:tr>
      <w:tr>
        <w:trPr>
          <w:cantSplit/>
          <w:jc w:val="center"/>
        </w:trPr>
        <w:tc>
          <w:tcPr>
            <w:tcW w:w="597" w:type="pct"/>
            <w:tcBorders>
              <w:top w:val="single" w:sz="4" w:space="0" w:color="010000"/>
            </w:tcBorders>
            <w:vAlign w:val="center"/>
          </w:tcPr>
          <w:p>
            <w:pPr>
              <w:jc w:val="left"/>
            </w:pPr>
            <w:r/>
            <w:r>
              <w:rPr>
                <w:rFonts w:hint="eastAsia"/>
                <w:color w:val="000000"/>
                <w:sz w:val="21"/>
              </w:rPr>
              <w:t>交互服务</w:t>
            </w:r>
          </w:p>
        </w:tc>
        <w:tc>
          <w:tcPr>
            <w:tcW w:w="970" w:type="pct"/>
            <w:tcBorders>
              <w:top w:val="single" w:sz="4" w:space="0" w:color="010000"/>
            </w:tcBorders>
            <w:vAlign w:val="center"/>
          </w:tcPr>
          <w:p>
            <w:pPr>
              <w:jc w:val="left"/>
            </w:pPr>
            <w:r/>
            <w:r>
              <w:rPr>
                <w:rFonts w:hint="eastAsia"/>
                <w:color w:val="000000"/>
                <w:sz w:val="21"/>
              </w:rPr>
              <w:t>企业展厅、博物馆及文旅场所</w:t>
            </w:r>
          </w:p>
        </w:tc>
        <w:tc>
          <w:tcPr>
            <w:tcW w:w="1866" w:type="pct"/>
            <w:tcBorders>
              <w:top w:val="single" w:sz="4" w:space="0" w:color="010000"/>
            </w:tcBorders>
            <w:vAlign w:val="center"/>
          </w:tcPr>
          <w:p>
            <w:pPr>
              <w:jc w:val="left"/>
            </w:pPr>
            <w:r/>
            <w:r>
              <w:rPr>
                <w:rFonts w:hint="eastAsia"/>
                <w:color w:val="000000"/>
                <w:sz w:val="21"/>
              </w:rPr>
              <w:t>以展示和导览为主，对可靠性和外观要求高，对负载要求低。</w:t>
            </w:r>
          </w:p>
        </w:tc>
        <w:tc>
          <w:tcPr>
            <w:tcW w:w="1567" w:type="pct"/>
            <w:tcBorders>
              <w:top w:val="single" w:sz="4" w:space="0" w:color="010000"/>
            </w:tcBorders>
            <w:vAlign w:val="center"/>
          </w:tcPr>
          <w:p>
            <w:pPr>
              <w:jc w:val="left"/>
            </w:pPr>
            <w:r/>
            <w:r>
              <w:rPr>
                <w:rFonts w:hint="eastAsia"/>
                <w:color w:val="000000"/>
                <w:sz w:val="21"/>
              </w:rPr>
              <w:t>拉动中小尺寸双足和轮式机型，对关节的静音、轻量化有额外要求。</w:t>
            </w:r>
          </w:p>
        </w:tc>
      </w:tr>
      <w:tr>
        <w:trPr>
          <w:cantSplit/>
          <w:jc w:val="center"/>
        </w:trPr>
        <w:tc>
          <w:tcPr>
            <w:tcW w:w="597" w:type="pct"/>
            <w:tcBorders>
              <w:top w:val="single" w:sz="4" w:space="0" w:color="010000"/>
            </w:tcBorders>
            <w:vAlign w:val="center"/>
          </w:tcPr>
          <w:p>
            <w:pPr>
              <w:jc w:val="left"/>
            </w:pPr>
            <w:r/>
            <w:r>
              <w:rPr>
                <w:rFonts w:hint="eastAsia"/>
                <w:color w:val="000000"/>
                <w:sz w:val="21"/>
              </w:rPr>
              <w:t>工业物流</w:t>
            </w:r>
          </w:p>
        </w:tc>
        <w:tc>
          <w:tcPr>
            <w:tcW w:w="970" w:type="pct"/>
            <w:tcBorders>
              <w:top w:val="single" w:sz="4" w:space="0" w:color="010000"/>
            </w:tcBorders>
            <w:vAlign w:val="center"/>
          </w:tcPr>
          <w:p>
            <w:pPr>
              <w:jc w:val="left"/>
            </w:pPr>
            <w:r/>
            <w:r>
              <w:rPr>
                <w:rFonts w:hint="eastAsia"/>
                <w:color w:val="000000"/>
                <w:sz w:val="21"/>
              </w:rPr>
              <w:t>大型制造与物流企业</w:t>
            </w:r>
          </w:p>
        </w:tc>
        <w:tc>
          <w:tcPr>
            <w:tcW w:w="1866" w:type="pct"/>
            <w:tcBorders>
              <w:top w:val="single" w:sz="4" w:space="0" w:color="010000"/>
            </w:tcBorders>
            <w:vAlign w:val="center"/>
          </w:tcPr>
          <w:p>
            <w:pPr>
              <w:jc w:val="left"/>
            </w:pPr>
            <w:r/>
            <w:r>
              <w:rPr>
                <w:rFonts w:hint="eastAsia"/>
                <w:color w:val="000000"/>
                <w:sz w:val="21"/>
              </w:rPr>
              <w:t>单价较高、服务占比高，但目前仍处于试点阶段，整体规模较小。</w:t>
            </w:r>
          </w:p>
        </w:tc>
        <w:tc>
          <w:tcPr>
            <w:tcW w:w="1567" w:type="pct"/>
            <w:tcBorders>
              <w:top w:val="single" w:sz="4" w:space="0" w:color="010000"/>
            </w:tcBorders>
            <w:vAlign w:val="center"/>
          </w:tcPr>
          <w:p>
            <w:pPr>
              <w:jc w:val="left"/>
            </w:pPr>
            <w:r/>
            <w:r>
              <w:rPr>
                <w:rFonts w:hint="eastAsia"/>
                <w:color w:val="000000"/>
                <w:sz w:val="21"/>
              </w:rPr>
              <w:t>对关节的扭矩、寿命、防护等级和连续作业能力要求最高，是高规格关节模组的主要潜在市场。</w:t>
            </w:r>
          </w:p>
        </w:tc>
      </w:tr>
      <w:tr>
        <w:trPr>
          <w:cantSplit/>
          <w:jc w:val="center"/>
        </w:trPr>
        <w:tc>
          <w:tcPr>
            <w:tcW w:w="597" w:type="pct"/>
            <w:tcBorders>
              <w:top w:val="single" w:sz="4" w:space="0" w:color="010000"/>
            </w:tcBorders>
            <w:vAlign w:val="center"/>
          </w:tcPr>
          <w:p>
            <w:pPr>
              <w:jc w:val="left"/>
            </w:pPr>
            <w:r/>
            <w:r>
              <w:rPr>
                <w:rFonts w:hint="eastAsia"/>
                <w:color w:val="000000"/>
                <w:sz w:val="21"/>
              </w:rPr>
              <w:t>娱乐表演</w:t>
            </w:r>
          </w:p>
        </w:tc>
        <w:tc>
          <w:tcPr>
            <w:tcW w:w="970" w:type="pct"/>
            <w:tcBorders>
              <w:top w:val="single" w:sz="4" w:space="0" w:color="010000"/>
            </w:tcBorders>
            <w:vAlign w:val="center"/>
          </w:tcPr>
          <w:p>
            <w:pPr>
              <w:jc w:val="left"/>
            </w:pPr>
            <w:r/>
            <w:r>
              <w:rPr>
                <w:rFonts w:hint="eastAsia"/>
                <w:color w:val="000000"/>
                <w:sz w:val="21"/>
              </w:rPr>
              <w:t>租赁及商演公司</w:t>
            </w:r>
          </w:p>
        </w:tc>
        <w:tc>
          <w:tcPr>
            <w:tcW w:w="1866" w:type="pct"/>
            <w:tcBorders>
              <w:top w:val="single" w:sz="4" w:space="0" w:color="010000"/>
            </w:tcBorders>
            <w:vAlign w:val="center"/>
          </w:tcPr>
          <w:p>
            <w:pPr>
              <w:jc w:val="left"/>
            </w:pPr>
            <w:r/>
            <w:r>
              <w:rPr>
                <w:rFonts w:hint="eastAsia"/>
                <w:color w:val="000000"/>
                <w:sz w:val="21"/>
              </w:rPr>
              <w:t>以短周期租赁和活动为主，对整机数量弹性大。</w:t>
            </w:r>
          </w:p>
        </w:tc>
        <w:tc>
          <w:tcPr>
            <w:tcW w:w="1567" w:type="pct"/>
            <w:tcBorders>
              <w:top w:val="single" w:sz="4" w:space="0" w:color="010000"/>
            </w:tcBorders>
            <w:vAlign w:val="center"/>
          </w:tcPr>
          <w:p>
            <w:pPr>
              <w:jc w:val="left"/>
            </w:pPr>
            <w:r/>
            <w:r>
              <w:rPr>
                <w:rFonts w:hint="eastAsia"/>
                <w:color w:val="000000"/>
                <w:sz w:val="21"/>
              </w:rPr>
              <w:t>需求波动大，对成本和售后响应速度敏感。</w:t>
            </w:r>
          </w:p>
        </w:tc>
      </w:tr>
    </w:tbl>
    <w:p>
      <w:pPr>
        <w:pStyle w:val="a6"/>
        <w:jc w:val="center"/>
      </w:pPr>
      <w:r>
        <w:rPr>
          <w:rFonts w:hint="eastAsia"/>
          <w:sz w:val="11"/>
          <w:szCs w:val="11"/>
        </w:rPr>
        <w:t>数据来源：新战略咨询与人形机器人场景应用联盟《2025—2026年度人形机器人产业发展研究报告》，2026年3月30日发布，本报告整理。</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4" name="Picture 4"/>
            <wp:cNvGraphicFramePr>
              <a:graphicFrameLocks noChangeAspect="1"/>
            </wp:cNvGraphicFramePr>
            <a:graphic>
              <a:graphicData uri="http://schemas.openxmlformats.org/drawingml/2006/picture">
                <pic:pic>
                  <pic:nvPicPr>
                    <pic:cNvPr id="0" name="fig1.png"/>
                    <pic:cNvPicPr/>
                  </pic:nvPicPr>
                  <pic:blipFill>
                    <a:blip r:embed="rId19"/>
                    <a:stretch>
                      <a:fillRect/>
                    </a:stretch>
                  </pic:blipFill>
                  <pic:spPr>
                    <a:xfrm>
                      <a:off x="0" y="0"/>
                      <a:ext cx="5074920" cy="2105551"/>
                    </a:xfrm>
                    <a:prstGeom prst="rect"/>
                  </pic:spPr>
                </pic:pic>
              </a:graphicData>
            </a:graphic>
          </wp:inline>
        </w:drawing>
      </w:r>
    </w:p>
    <w:p>
      <w:pPr>
        <w:jc w:val="center"/>
      </w:pPr>
      <w:r>
        <w:rPr>
          <w:rFonts w:hint="eastAsia"/>
          <w:b/>
          <w:sz w:val="21"/>
        </w:rPr>
        <w:t>图4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据新战略咨询与人形机器人场景应用联盟《2025—2026年度人形机器人产业发展研究报告》，2025年国内人形机器人的出货结构与市场规模结构存在明显错配。教育科研场景采购量最大但单价最低，贡献了大部分出货量而非大部分收入；数据采集场景单次采购规模在百台以上、服务占比高，是千万元级和亿元级订单的主要来源；工业物流场景单价最高但仍处试点，规模有限。这一结构说明，当前行业的真实付费能力主要来自政府和国资平台主导的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6.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6" name="Picture 6"/>
            <wp:cNvGraphicFramePr>
              <a:graphicFrameLocks noChangeAspect="1"/>
            </wp:cNvGraphicFramePr>
            <a:graphic>
              <a:graphicData uri="http://schemas.openxmlformats.org/drawingml/2006/picture">
                <pic:pic>
                  <pic:nvPicPr>
                    <pic:cNvPr id="0" name="fig2.png"/>
                    <pic:cNvPicPr/>
                  </pic:nvPicPr>
                  <pic:blipFill>
                    <a:blip r:embed="rId21"/>
                    <a:stretch>
                      <a:fillRect/>
                    </a:stretch>
                  </pic:blipFill>
                  <pic:spPr>
                    <a:xfrm>
                      <a:off x="0" y="0"/>
                      <a:ext cx="5074920" cy="2483471"/>
                    </a:xfrm>
                    <a:prstGeom prst="rect"/>
                  </pic:spPr>
                </pic:pic>
              </a:graphicData>
            </a:graphic>
          </wp:inline>
        </w:drawing>
      </w:r>
    </w:p>
    <w:p>
      <w:pPr>
        <w:jc w:val="center"/>
      </w:pPr>
      <w:r>
        <w:rPr>
          <w:rFonts w:hint="eastAsia"/>
          <w:b/>
          <w:sz w:val="21"/>
        </w:rPr>
        <w:t>图6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绑定区域整机生态并沿链条向上。无锡本地已聚集13家整机企业并形成全产业链集群，2026年产业链伙伴大会签约总额超57亿元。对本地零部件企业而言，区位带来的联合开发、快速联调和物流响应优势具有实际价值；同时，向上从关节模组延伸到机械臂、上肢平台乃至半身平台（公司已有通用型上肢硬件平台和人形机械臂产品），能够提高单客户价值量，并在整机厂尚未定型时更早介入产品定义。</w:t>
      </w:r>
    </w:p>
    <w:p>
      <w:pPr>
        <w:pStyle w:val="a0"/>
      </w:pPr>
      <w:r>
        <w:rPr>
          <w:rFonts w:hint="eastAsia"/>
        </w:rPr>
        <w:t>第四，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对处于A轮阶段、累计交付1,320套模组的企业而言，从"能做"到"能稳定量产"的跨越，是未来两年最主要的经营挑战，也是本次拜访中需要重点了解的内容。</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7" name="Picture 7"/>
            <wp:cNvGraphicFramePr>
              <a:graphicFrameLocks noChangeAspect="1"/>
            </wp:cNvGraphicFramePr>
            <a:graphic>
              <a:graphicData uri="http://schemas.openxmlformats.org/drawingml/2006/picture">
                <pic:pic>
                  <pic:nvPicPr>
                    <pic:cNvPr id="0" name="fig7.png"/>
                    <pic:cNvPicPr/>
                  </pic:nvPicPr>
                  <pic:blipFill>
                    <a:blip r:embed="rId22"/>
                    <a:stretch>
                      <a:fillRect/>
                    </a:stretch>
                  </pic:blipFill>
                  <pic:spPr>
                    <a:xfrm>
                      <a:off x="0" y="0"/>
                      <a:ext cx="5074920" cy="2105551"/>
                    </a:xfrm>
                    <a:prstGeom prst="rect"/>
                  </pic:spPr>
                </pic:pic>
              </a:graphicData>
            </a:graphic>
          </wp:inline>
        </w:drawing>
      </w:r>
    </w:p>
    <w:p>
      <w:pPr>
        <w:jc w:val="center"/>
      </w:pPr>
      <w:r>
        <w:rPr>
          <w:rFonts w:hint="eastAsia"/>
          <w:b/>
          <w:sz w:val="21"/>
        </w:rPr>
        <w:t>图7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从已公开的供应商结构看，A链核心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表9  已上市或已完成发行的人形机器人产业链企业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484"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72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419"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484" w:type="pct"/>
            <w:tcBorders>
              <w:top w:val="single" w:sz="4" w:space="0" w:color="010000"/>
            </w:tcBorders>
            <w:vAlign w:val="center"/>
          </w:tcPr>
          <w:p>
            <w:pPr>
              <w:jc w:val="left"/>
            </w:pPr>
            <w:r/>
            <w:r>
              <w:rPr>
                <w:rFonts w:hint="eastAsia"/>
                <w:color w:val="000000"/>
                <w:sz w:val="21"/>
              </w:rPr>
              <w:t>09880.HK</w:t>
            </w:r>
          </w:p>
        </w:tc>
        <w:tc>
          <w:tcPr>
            <w:tcW w:w="726" w:type="pct"/>
            <w:tcBorders>
              <w:top w:val="single" w:sz="4" w:space="0" w:color="010000"/>
            </w:tcBorders>
            <w:vAlign w:val="center"/>
          </w:tcPr>
          <w:p>
            <w:pPr>
              <w:jc w:val="left"/>
            </w:pPr>
            <w:r/>
            <w:r>
              <w:rPr>
                <w:rFonts w:hint="eastAsia"/>
                <w:color w:val="000000"/>
                <w:sz w:val="21"/>
              </w:rPr>
              <w:t>港交所，2023年12月</w:t>
            </w:r>
          </w:p>
        </w:tc>
        <w:tc>
          <w:tcPr>
            <w:tcW w:w="806" w:type="pct"/>
            <w:tcBorders>
              <w:top w:val="single" w:sz="4" w:space="0" w:color="010000"/>
            </w:tcBorders>
            <w:vAlign w:val="center"/>
          </w:tcPr>
          <w:p>
            <w:pPr>
              <w:jc w:val="left"/>
            </w:pPr>
            <w:r/>
            <w:r>
              <w:rPr>
                <w:rFonts w:hint="eastAsia"/>
                <w:color w:val="000000"/>
                <w:sz w:val="21"/>
              </w:rPr>
              <w:t>国泰君安国际（联席保荐）</w:t>
            </w:r>
          </w:p>
        </w:tc>
        <w:tc>
          <w:tcPr>
            <w:tcW w:w="2419"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484" w:type="pct"/>
            <w:tcBorders>
              <w:top w:val="single" w:sz="4" w:space="0" w:color="010000"/>
            </w:tcBorders>
            <w:vAlign w:val="center"/>
          </w:tcPr>
          <w:p>
            <w:pPr>
              <w:jc w:val="left"/>
            </w:pPr>
            <w:r/>
            <w:r>
              <w:rPr>
                <w:rFonts w:hint="eastAsia"/>
                <w:color w:val="000000"/>
                <w:sz w:val="21"/>
              </w:rPr>
              <w:t>02432.HK</w:t>
            </w:r>
          </w:p>
        </w:tc>
        <w:tc>
          <w:tcPr>
            <w:tcW w:w="726" w:type="pct"/>
            <w:tcBorders>
              <w:top w:val="single" w:sz="4" w:space="0" w:color="010000"/>
            </w:tcBorders>
            <w:vAlign w:val="center"/>
          </w:tcPr>
          <w:p>
            <w:pPr>
              <w:jc w:val="left"/>
            </w:pPr>
            <w:r/>
            <w:r>
              <w:rPr>
                <w:rFonts w:hint="eastAsia"/>
                <w:color w:val="000000"/>
                <w:sz w:val="21"/>
              </w:rPr>
              <w:t>港交所，2024年12月</w:t>
            </w:r>
          </w:p>
        </w:tc>
        <w:tc>
          <w:tcPr>
            <w:tcW w:w="806" w:type="pct"/>
            <w:tcBorders>
              <w:top w:val="single" w:sz="4" w:space="0" w:color="010000"/>
            </w:tcBorders>
            <w:vAlign w:val="center"/>
          </w:tcPr>
          <w:p>
            <w:pPr>
              <w:jc w:val="left"/>
            </w:pPr>
            <w:r/>
            <w:r>
              <w:rPr>
                <w:rFonts w:hint="eastAsia"/>
                <w:color w:val="000000"/>
                <w:sz w:val="21"/>
              </w:rPr>
              <w:t>国泰君安国际（联席保荐）</w:t>
            </w:r>
          </w:p>
        </w:tc>
        <w:tc>
          <w:tcPr>
            <w:tcW w:w="2419"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484" w:type="pct"/>
            <w:tcBorders>
              <w:top w:val="single" w:sz="4" w:space="0" w:color="010000"/>
            </w:tcBorders>
            <w:vAlign w:val="center"/>
          </w:tcPr>
          <w:p>
            <w:pPr>
              <w:jc w:val="left"/>
            </w:pPr>
            <w:r/>
            <w:r>
              <w:rPr>
                <w:rFonts w:hint="eastAsia"/>
                <w:color w:val="000000"/>
                <w:sz w:val="21"/>
              </w:rPr>
              <w:t>688017.SH</w:t>
            </w:r>
          </w:p>
        </w:tc>
        <w:tc>
          <w:tcPr>
            <w:tcW w:w="726" w:type="pct"/>
            <w:tcBorders>
              <w:top w:val="single" w:sz="4" w:space="0" w:color="010000"/>
            </w:tcBorders>
            <w:vAlign w:val="center"/>
          </w:tcPr>
          <w:p>
            <w:pPr>
              <w:jc w:val="left"/>
            </w:pPr>
            <w:r/>
            <w:r>
              <w:rPr>
                <w:rFonts w:hint="eastAsia"/>
                <w:color w:val="000000"/>
                <w:sz w:val="21"/>
              </w:rPr>
              <w:t>上交所科创板，2020年8月</w:t>
            </w:r>
          </w:p>
        </w:tc>
        <w:tc>
          <w:tcPr>
            <w:tcW w:w="806" w:type="pct"/>
            <w:tcBorders>
              <w:top w:val="single" w:sz="4" w:space="0" w:color="010000"/>
            </w:tcBorders>
            <w:vAlign w:val="center"/>
          </w:tcPr>
          <w:p>
            <w:pPr>
              <w:jc w:val="left"/>
            </w:pPr>
            <w:r/>
            <w:r>
              <w:rPr>
                <w:rFonts w:hint="eastAsia"/>
                <w:color w:val="000000"/>
                <w:sz w:val="21"/>
              </w:rPr>
              <w:t>国泰君安（保荐承销）</w:t>
            </w:r>
          </w:p>
        </w:tc>
        <w:tc>
          <w:tcPr>
            <w:tcW w:w="2419"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484" w:type="pct"/>
            <w:tcBorders>
              <w:top w:val="single" w:sz="4" w:space="0" w:color="010000"/>
            </w:tcBorders>
            <w:vAlign w:val="center"/>
          </w:tcPr>
          <w:p>
            <w:pPr>
              <w:jc w:val="left"/>
            </w:pPr>
            <w:r/>
            <w:r>
              <w:rPr>
                <w:rFonts w:hint="eastAsia"/>
                <w:color w:val="000000"/>
                <w:sz w:val="21"/>
              </w:rPr>
              <w:t>688160.SH</w:t>
            </w:r>
          </w:p>
        </w:tc>
        <w:tc>
          <w:tcPr>
            <w:tcW w:w="726" w:type="pct"/>
            <w:tcBorders>
              <w:top w:val="single" w:sz="4" w:space="0" w:color="010000"/>
            </w:tcBorders>
            <w:vAlign w:val="center"/>
          </w:tcPr>
          <w:p>
            <w:pPr>
              <w:jc w:val="left"/>
            </w:pPr>
            <w:r/>
            <w:r>
              <w:rPr>
                <w:rFonts w:hint="eastAsia"/>
                <w:color w:val="000000"/>
                <w:sz w:val="21"/>
              </w:rPr>
              <w:t>上交所科创板，2020年11月</w:t>
            </w:r>
          </w:p>
        </w:tc>
        <w:tc>
          <w:tcPr>
            <w:tcW w:w="806" w:type="pct"/>
            <w:tcBorders>
              <w:top w:val="single" w:sz="4" w:space="0" w:color="010000"/>
            </w:tcBorders>
            <w:vAlign w:val="center"/>
          </w:tcPr>
          <w:p>
            <w:pPr>
              <w:jc w:val="left"/>
            </w:pPr>
            <w:r/>
            <w:r>
              <w:rPr>
                <w:rFonts w:hint="eastAsia"/>
                <w:color w:val="000000"/>
                <w:sz w:val="21"/>
              </w:rPr>
              <w:t>海通证券（保荐承销）</w:t>
            </w:r>
          </w:p>
        </w:tc>
        <w:tc>
          <w:tcPr>
            <w:tcW w:w="2419"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484" w:type="pct"/>
            <w:tcBorders>
              <w:top w:val="single" w:sz="4" w:space="0" w:color="010000"/>
            </w:tcBorders>
            <w:vAlign w:val="center"/>
          </w:tcPr>
          <w:p>
            <w:pPr>
              <w:jc w:val="left"/>
            </w:pPr>
            <w:r/>
            <w:r>
              <w:rPr>
                <w:rFonts w:hint="eastAsia"/>
                <w:color w:val="000000"/>
                <w:sz w:val="21"/>
              </w:rPr>
              <w:t>01236.HK</w:t>
            </w:r>
          </w:p>
        </w:tc>
        <w:tc>
          <w:tcPr>
            <w:tcW w:w="726" w:type="pct"/>
            <w:tcBorders>
              <w:top w:val="single" w:sz="4" w:space="0" w:color="010000"/>
            </w:tcBorders>
            <w:vAlign w:val="center"/>
          </w:tcPr>
          <w:p>
            <w:pPr>
              <w:jc w:val="left"/>
            </w:pPr>
            <w:r/>
            <w:r>
              <w:rPr>
                <w:rFonts w:hint="eastAsia"/>
                <w:color w:val="000000"/>
                <w:sz w:val="21"/>
              </w:rPr>
              <w:t>港交所，2026年5月11日</w:t>
            </w:r>
          </w:p>
        </w:tc>
        <w:tc>
          <w:tcPr>
            <w:tcW w:w="806" w:type="pct"/>
            <w:tcBorders>
              <w:top w:val="single" w:sz="4" w:space="0" w:color="010000"/>
            </w:tcBorders>
            <w:vAlign w:val="center"/>
          </w:tcPr>
          <w:p>
            <w:pPr>
              <w:jc w:val="left"/>
            </w:pPr>
            <w:r/>
            <w:r>
              <w:rPr>
                <w:rFonts w:hint="eastAsia"/>
                <w:color w:val="000000"/>
                <w:sz w:val="21"/>
              </w:rPr>
              <w:t>海通国际＋国泰君安国际（联席保荐）</w:t>
            </w:r>
          </w:p>
        </w:tc>
        <w:tc>
          <w:tcPr>
            <w:tcW w:w="2419"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484" w:type="pct"/>
            <w:tcBorders>
              <w:top w:val="single" w:sz="4" w:space="0" w:color="010000"/>
            </w:tcBorders>
            <w:vAlign w:val="center"/>
          </w:tcPr>
          <w:p>
            <w:pPr>
              <w:jc w:val="left"/>
            </w:pPr>
            <w:r/>
            <w:r>
              <w:rPr>
                <w:rFonts w:hint="eastAsia"/>
                <w:color w:val="000000"/>
                <w:sz w:val="21"/>
              </w:rPr>
              <w:t>03752.HK</w:t>
            </w:r>
          </w:p>
        </w:tc>
        <w:tc>
          <w:tcPr>
            <w:tcW w:w="726" w:type="pct"/>
            <w:tcBorders>
              <w:top w:val="single" w:sz="4" w:space="0" w:color="010000"/>
            </w:tcBorders>
            <w:vAlign w:val="center"/>
          </w:tcPr>
          <w:p>
            <w:pPr>
              <w:jc w:val="left"/>
            </w:pPr>
            <w:r/>
            <w:r>
              <w:rPr>
                <w:rFonts w:hint="eastAsia"/>
                <w:color w:val="000000"/>
                <w:sz w:val="21"/>
              </w:rPr>
              <w:t>港交所，2026年7月9日</w:t>
            </w:r>
          </w:p>
        </w:tc>
        <w:tc>
          <w:tcPr>
            <w:tcW w:w="806" w:type="pct"/>
            <w:tcBorders>
              <w:top w:val="single" w:sz="4" w:space="0" w:color="010000"/>
            </w:tcBorders>
            <w:vAlign w:val="center"/>
          </w:tcPr>
          <w:p>
            <w:pPr>
              <w:jc w:val="left"/>
            </w:pPr>
            <w:r/>
            <w:r>
              <w:rPr>
                <w:rFonts w:hint="eastAsia"/>
                <w:color w:val="000000"/>
                <w:sz w:val="21"/>
              </w:rPr>
              <w:t>中金公司＋国泰君安国际（联席保荐）</w:t>
            </w:r>
          </w:p>
        </w:tc>
        <w:tc>
          <w:tcPr>
            <w:tcW w:w="2419"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484" w:type="pct"/>
            <w:tcBorders>
              <w:top w:val="single" w:sz="4" w:space="0" w:color="010000"/>
            </w:tcBorders>
            <w:vAlign w:val="center"/>
          </w:tcPr>
          <w:p>
            <w:pPr>
              <w:jc w:val="left"/>
            </w:pPr>
            <w:r/>
            <w:r>
              <w:rPr>
                <w:rFonts w:hint="eastAsia"/>
                <w:color w:val="000000"/>
                <w:sz w:val="21"/>
              </w:rPr>
              <w:t>920211.BJ</w:t>
            </w:r>
          </w:p>
        </w:tc>
        <w:tc>
          <w:tcPr>
            <w:tcW w:w="726" w:type="pct"/>
            <w:tcBorders>
              <w:top w:val="single" w:sz="4" w:space="0" w:color="010000"/>
            </w:tcBorders>
            <w:vAlign w:val="center"/>
          </w:tcPr>
          <w:p>
            <w:pPr>
              <w:jc w:val="left"/>
            </w:pPr>
            <w:r/>
            <w:r>
              <w:rPr>
                <w:rFonts w:hint="eastAsia"/>
                <w:color w:val="000000"/>
                <w:sz w:val="21"/>
              </w:rPr>
              <w:t>北交所，2026年6月5日</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419" w:type="pct"/>
            <w:tcBorders>
              <w:top w:val="single" w:sz="4" w:space="0" w:color="010000"/>
            </w:tcBorders>
            <w:vAlign w:val="center"/>
          </w:tcPr>
          <w:p>
            <w:pPr>
              <w:jc w:val="left"/>
            </w:pPr>
            <w:r/>
            <w:r>
              <w:rPr>
                <w:rFonts w:hint="eastAsia"/>
                <w:color w:val="000000"/>
                <w:sz w:val="21"/>
              </w:rPr>
              <w:t>工业机器人控制系统，国家级高新技术企业，从受理到上市约12个月。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484" w:type="pct"/>
            <w:tcBorders>
              <w:top w:val="single" w:sz="4" w:space="0" w:color="010000"/>
            </w:tcBorders>
            <w:vAlign w:val="center"/>
          </w:tcPr>
          <w:p>
            <w:pPr>
              <w:jc w:val="left"/>
            </w:pPr>
            <w:r/>
            <w:r>
              <w:rPr>
                <w:rFonts w:hint="eastAsia"/>
                <w:color w:val="000000"/>
                <w:sz w:val="21"/>
              </w:rPr>
              <w:t>301696.SZ</w:t>
            </w:r>
          </w:p>
        </w:tc>
        <w:tc>
          <w:tcPr>
            <w:tcW w:w="726" w:type="pct"/>
            <w:tcBorders>
              <w:top w:val="single" w:sz="4" w:space="0" w:color="010000"/>
            </w:tcBorders>
            <w:vAlign w:val="center"/>
          </w:tcPr>
          <w:p>
            <w:pPr>
              <w:jc w:val="left"/>
            </w:pPr>
            <w:r/>
            <w:r>
              <w:rPr>
                <w:rFonts w:hint="eastAsia"/>
                <w:color w:val="000000"/>
                <w:sz w:val="21"/>
              </w:rPr>
              <w:t>深交所创业板，2026年4月10日</w:t>
            </w:r>
          </w:p>
        </w:tc>
        <w:tc>
          <w:tcPr>
            <w:tcW w:w="806" w:type="pct"/>
            <w:tcBorders>
              <w:top w:val="single" w:sz="4" w:space="0" w:color="010000"/>
            </w:tcBorders>
            <w:vAlign w:val="center"/>
          </w:tcPr>
          <w:p>
            <w:pPr>
              <w:jc w:val="left"/>
            </w:pPr>
            <w:r/>
            <w:r>
              <w:rPr>
                <w:rFonts w:hint="eastAsia"/>
                <w:color w:val="000000"/>
                <w:sz w:val="21"/>
              </w:rPr>
              <w:t>国泰海通（保荐承销）</w:t>
            </w:r>
          </w:p>
        </w:tc>
        <w:tc>
          <w:tcPr>
            <w:tcW w:w="2419" w:type="pct"/>
            <w:tcBorders>
              <w:top w:val="single" w:sz="4" w:space="0" w:color="010000"/>
            </w:tcBorders>
            <w:vAlign w:val="center"/>
          </w:tcPr>
          <w:p>
            <w:pPr>
              <w:jc w:val="left"/>
            </w:pPr>
            <w:r/>
            <w:r>
              <w:rPr>
                <w:rFonts w:hint="eastAsia"/>
                <w:color w:val="000000"/>
                <w:sz w:val="21"/>
              </w:rPr>
              <w:t>民用无人机电动动力系统及机器人动力系统（电机、模组）。发行4,001万股；按2024年销售额计，全球民用无人机电动动力系统份额7.1%、排名第二。</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484" w:type="pct"/>
            <w:tcBorders>
              <w:top w:val="single" w:sz="4" w:space="0" w:color="010000"/>
            </w:tcBorders>
            <w:vAlign w:val="center"/>
          </w:tcPr>
          <w:p>
            <w:pPr>
              <w:jc w:val="left"/>
            </w:pPr>
            <w:r/>
            <w:r>
              <w:rPr>
                <w:rFonts w:hint="eastAsia"/>
                <w:color w:val="000000"/>
                <w:sz w:val="21"/>
              </w:rPr>
              <w:t>02692.HK</w:t>
            </w:r>
          </w:p>
        </w:tc>
        <w:tc>
          <w:tcPr>
            <w:tcW w:w="726" w:type="pct"/>
            <w:tcBorders>
              <w:top w:val="single" w:sz="4" w:space="0" w:color="010000"/>
            </w:tcBorders>
            <w:vAlign w:val="center"/>
          </w:tcPr>
          <w:p>
            <w:pPr>
              <w:jc w:val="left"/>
            </w:pPr>
            <w:r/>
            <w:r>
              <w:rPr>
                <w:rFonts w:hint="eastAsia"/>
                <w:color w:val="000000"/>
                <w:sz w:val="21"/>
              </w:rPr>
              <w:t>港交所，2026年3月9日</w:t>
            </w:r>
          </w:p>
        </w:tc>
        <w:tc>
          <w:tcPr>
            <w:tcW w:w="806" w:type="pct"/>
            <w:tcBorders>
              <w:top w:val="single" w:sz="4" w:space="0" w:color="010000"/>
            </w:tcBorders>
            <w:vAlign w:val="center"/>
          </w:tcPr>
          <w:p>
            <w:pPr>
              <w:jc w:val="left"/>
            </w:pPr>
            <w:r/>
            <w:r>
              <w:rPr>
                <w:rFonts w:hint="eastAsia"/>
                <w:color w:val="000000"/>
                <w:sz w:val="21"/>
              </w:rPr>
              <w:t>—</w:t>
            </w:r>
          </w:p>
        </w:tc>
        <w:tc>
          <w:tcPr>
            <w:tcW w:w="2419" w:type="pct"/>
            <w:tcBorders>
              <w:top w:val="single" w:sz="4" w:space="0" w:color="010000"/>
            </w:tcBorders>
            <w:vAlign w:val="center"/>
          </w:tcPr>
          <w:p>
            <w:pPr>
              <w:jc w:val="left"/>
            </w:pPr>
            <w:r/>
            <w:r>
              <w:rPr>
                <w:rFonts w:hint="eastAsia"/>
                <w:color w:val="000000"/>
                <w:sz w:val="21"/>
              </w:rPr>
              <w:t>微型传动系统与灵巧手模组。发行价71.28港元/股，香港公开发售认购1,536.76倍，净募资约18.28亿港元，基石投资者含高瓴；上市后一度破发。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484" w:type="pct"/>
            <w:tcBorders>
              <w:top w:val="single" w:sz="4" w:space="0" w:color="010000"/>
            </w:tcBorders>
            <w:vAlign w:val="center"/>
          </w:tcPr>
          <w:p>
            <w:pPr>
              <w:jc w:val="left"/>
            </w:pPr>
            <w:r/>
            <w:r>
              <w:rPr>
                <w:rFonts w:hint="eastAsia"/>
                <w:color w:val="000000"/>
                <w:sz w:val="21"/>
              </w:rPr>
              <w:t>03952.HK</w:t>
            </w:r>
          </w:p>
        </w:tc>
        <w:tc>
          <w:tcPr>
            <w:tcW w:w="726" w:type="pct"/>
            <w:tcBorders>
              <w:top w:val="single" w:sz="4" w:space="0" w:color="010000"/>
            </w:tcBorders>
            <w:vAlign w:val="center"/>
          </w:tcPr>
          <w:p>
            <w:pPr>
              <w:jc w:val="left"/>
            </w:pPr>
            <w:r/>
            <w:r>
              <w:rPr>
                <w:rFonts w:hint="eastAsia"/>
                <w:color w:val="000000"/>
                <w:sz w:val="21"/>
              </w:rPr>
              <w:t>港交所，2026年6月30日</w:t>
            </w:r>
          </w:p>
        </w:tc>
        <w:tc>
          <w:tcPr>
            <w:tcW w:w="806" w:type="pct"/>
            <w:tcBorders>
              <w:top w:val="single" w:sz="4" w:space="0" w:color="010000"/>
            </w:tcBorders>
            <w:vAlign w:val="center"/>
          </w:tcPr>
          <w:p>
            <w:pPr>
              <w:jc w:val="left"/>
            </w:pPr>
            <w:r/>
            <w:r>
              <w:rPr>
                <w:rFonts w:hint="eastAsia"/>
                <w:color w:val="000000"/>
                <w:sz w:val="21"/>
              </w:rPr>
              <w:t>—</w:t>
            </w:r>
          </w:p>
        </w:tc>
        <w:tc>
          <w:tcPr>
            <w:tcW w:w="2419"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484" w:type="pct"/>
            <w:tcBorders>
              <w:top w:val="single" w:sz="4" w:space="0" w:color="010000"/>
            </w:tcBorders>
            <w:vAlign w:val="center"/>
          </w:tcPr>
          <w:p>
            <w:pPr>
              <w:jc w:val="left"/>
            </w:pPr>
            <w:r/>
            <w:r>
              <w:rPr>
                <w:rFonts w:hint="eastAsia"/>
                <w:color w:val="000000"/>
                <w:sz w:val="21"/>
              </w:rPr>
              <w:t>688836.SH</w:t>
            </w:r>
          </w:p>
        </w:tc>
        <w:tc>
          <w:tcPr>
            <w:tcW w:w="726" w:type="pct"/>
            <w:tcBorders>
              <w:top w:val="single" w:sz="4" w:space="0" w:color="010000"/>
            </w:tcBorders>
            <w:vAlign w:val="center"/>
          </w:tcPr>
          <w:p>
            <w:pPr>
              <w:jc w:val="left"/>
            </w:pPr>
            <w:r/>
            <w:r>
              <w:rPr>
                <w:rFonts w:hint="eastAsia"/>
                <w:color w:val="000000"/>
                <w:sz w:val="21"/>
              </w:rPr>
              <w:t>上交所科创板，2026年7月2日注册生效</w:t>
            </w:r>
          </w:p>
        </w:tc>
        <w:tc>
          <w:tcPr>
            <w:tcW w:w="806" w:type="pct"/>
            <w:tcBorders>
              <w:top w:val="single" w:sz="4" w:space="0" w:color="010000"/>
            </w:tcBorders>
            <w:vAlign w:val="center"/>
          </w:tcPr>
          <w:p>
            <w:pPr>
              <w:jc w:val="left"/>
            </w:pPr>
            <w:r/>
            <w:r>
              <w:rPr>
                <w:rFonts w:hint="eastAsia"/>
                <w:color w:val="000000"/>
                <w:sz w:val="21"/>
              </w:rPr>
              <w:t>中信证券（保荐承销）</w:t>
            </w:r>
          </w:p>
        </w:tc>
        <w:tc>
          <w:tcPr>
            <w:tcW w:w="2419"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报告经复核后补充三瑞智能、兆威机电、来福谐波三家，并订正绿的谐波与步科股份的保荐机构归属。</w:t>
      </w:r>
    </w:p>
    <w:p>
      <w:pPr>
        <w:pStyle w:val="3"/>
        <w:numPr>
          <w:ilvl w:val="0"/>
          <w:numId w:val="0"/>
        </w:numPr>
        <w:spacing w:before="156" w:after="156"/>
      </w:pPr>
      <w:bookmarkStart w:id="1032" w:name="_Toc900032"/>
      <w:r>
        <w:rPr>
          <w:rFonts w:hint="eastAsia"/>
        </w:rPr>
        <w:t>6.2 在审、已受理或已递表的企业</w:t>
      </w:r>
      <w:bookmarkEnd w:id="1032"/>
    </w:p>
    <w:p>
      <w:pPr>
        <w:keepNext/>
        <w:jc w:val="center"/>
      </w:pPr>
      <w:r>
        <w:rPr>
          <w:rFonts w:hint="eastAsia"/>
          <w:b/>
          <w:sz w:val="21"/>
        </w:rPr>
        <w:t>表10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3" w:name="_Toc900033"/>
      <w:r>
        <w:rPr>
          <w:rFonts w:hint="eastAsia"/>
        </w:rPr>
        <w:t>6.3 辅导备案或已完成股改的企业</w:t>
      </w:r>
      <w:bookmarkEnd w:id="1033"/>
    </w:p>
    <w:p>
      <w:pPr>
        <w:keepNext/>
        <w:jc w:val="center"/>
      </w:pPr>
      <w:r>
        <w:rPr>
          <w:rFonts w:hint="eastAsia"/>
          <w:b/>
          <w:sz w:val="21"/>
        </w:rPr>
        <w:t>表11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636" w:type="pct"/>
            <w:tcBorders>
              <w:top w:val="single" w:sz="12" w:space="0" w:color="010000"/>
              <w:bottom w:val="single" w:sz="4" w:space="0" w:color="010000"/>
            </w:tcBorders>
            <w:vAlign w:val="center"/>
          </w:tcPr>
          <w:p>
            <w:pPr>
              <w:keepNext/>
              <w:jc w:val="center"/>
            </w:pPr>
            <w:r/>
            <w:r>
              <w:rPr>
                <w:rFonts w:hint="eastAsia"/>
                <w:b/>
                <w:color w:val="000000"/>
                <w:sz w:val="21"/>
              </w:rPr>
              <w:t>辅导机构</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636" w:type="pct"/>
            <w:tcBorders>
              <w:top w:val="single" w:sz="4" w:space="0" w:color="010000"/>
            </w:tcBorders>
            <w:vAlign w:val="center"/>
          </w:tcPr>
          <w:p>
            <w:pPr>
              <w:jc w:val="left"/>
            </w:pPr>
            <w:r/>
            <w:r>
              <w:rPr>
                <w:rFonts w:hint="eastAsia"/>
                <w:color w:val="000000"/>
                <w:sz w:val="21"/>
              </w:rPr>
              <w:t>纽氏达特</w:t>
            </w:r>
          </w:p>
        </w:tc>
        <w:tc>
          <w:tcPr>
            <w:tcW w:w="1182" w:type="pct"/>
            <w:tcBorders>
              <w:top w:val="single" w:sz="4" w:space="0" w:color="010000"/>
            </w:tcBorders>
            <w:vAlign w:val="center"/>
          </w:tcPr>
          <w:p>
            <w:pPr>
              <w:jc w:val="left"/>
            </w:pPr>
            <w:r/>
            <w:r>
              <w:rPr>
                <w:rFonts w:hint="eastAsia"/>
                <w:color w:val="000000"/>
                <w:sz w:val="21"/>
              </w:rPr>
              <w:t>2025年12月3日辅导备案</w:t>
            </w:r>
          </w:p>
        </w:tc>
        <w:tc>
          <w:tcPr>
            <w:tcW w:w="636" w:type="pct"/>
            <w:tcBorders>
              <w:top w:val="single" w:sz="4" w:space="0" w:color="010000"/>
            </w:tcBorders>
            <w:vAlign w:val="center"/>
          </w:tcPr>
          <w:p>
            <w:pPr>
              <w:jc w:val="left"/>
            </w:pPr>
            <w:r/>
            <w:r>
              <w:rPr>
                <w:rFonts w:hint="eastAsia"/>
                <w:color w:val="000000"/>
                <w:sz w:val="21"/>
              </w:rPr>
              <w:t>东方证券</w:t>
            </w:r>
          </w:p>
        </w:tc>
        <w:tc>
          <w:tcPr>
            <w:tcW w:w="2545" w:type="pct"/>
            <w:tcBorders>
              <w:top w:val="single" w:sz="4" w:space="0" w:color="010000"/>
            </w:tcBorders>
            <w:vAlign w:val="center"/>
          </w:tcPr>
          <w:p>
            <w:pPr>
              <w:jc w:val="left"/>
            </w:pPr>
            <w:r/>
            <w:r>
              <w:rPr>
                <w:rFonts w:hint="eastAsia"/>
                <w:color w:val="000000"/>
                <w:sz w:val="21"/>
              </w:rPr>
              <w:t>精密传动部件（RV减速器等）。</w:t>
            </w:r>
          </w:p>
        </w:tc>
      </w:tr>
      <w:tr>
        <w:trPr>
          <w:cantSplit/>
          <w:jc w:val="center"/>
        </w:trPr>
        <w:tc>
          <w:tcPr>
            <w:tcW w:w="636" w:type="pct"/>
            <w:tcBorders>
              <w:top w:val="single" w:sz="4" w:space="0" w:color="010000"/>
            </w:tcBorders>
            <w:vAlign w:val="center"/>
          </w:tcPr>
          <w:p>
            <w:pPr>
              <w:jc w:val="left"/>
            </w:pPr>
            <w:r/>
            <w:r>
              <w:rPr>
                <w:rFonts w:hint="eastAsia"/>
                <w:color w:val="000000"/>
                <w:sz w:val="21"/>
              </w:rPr>
              <w:t>天链机器人</w:t>
            </w:r>
          </w:p>
        </w:tc>
        <w:tc>
          <w:tcPr>
            <w:tcW w:w="1182" w:type="pct"/>
            <w:tcBorders>
              <w:top w:val="single" w:sz="4" w:space="0" w:color="010000"/>
            </w:tcBorders>
            <w:vAlign w:val="center"/>
          </w:tcPr>
          <w:p>
            <w:pPr>
              <w:jc w:val="left"/>
            </w:pPr>
            <w:r/>
            <w:r>
              <w:rPr>
                <w:rFonts w:hint="eastAsia"/>
                <w:color w:val="000000"/>
                <w:sz w:val="21"/>
              </w:rPr>
              <w:t>科创板辅导中（第四期）</w:t>
            </w:r>
          </w:p>
        </w:tc>
        <w:tc>
          <w:tcPr>
            <w:tcW w:w="636" w:type="pct"/>
            <w:tcBorders>
              <w:top w:val="single" w:sz="4" w:space="0" w:color="010000"/>
            </w:tcBorders>
            <w:vAlign w:val="center"/>
          </w:tcPr>
          <w:p>
            <w:pPr>
              <w:jc w:val="left"/>
            </w:pPr>
            <w:r/>
            <w:r>
              <w:rPr>
                <w:rFonts w:hint="eastAsia"/>
                <w:color w:val="000000"/>
                <w:sz w:val="21"/>
              </w:rPr>
              <w:t>华安证券</w:t>
            </w:r>
          </w:p>
        </w:tc>
        <w:tc>
          <w:tcPr>
            <w:tcW w:w="2545"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636" w:type="pct"/>
            <w:tcBorders>
              <w:top w:val="single" w:sz="4" w:space="0" w:color="010000"/>
            </w:tcBorders>
            <w:vAlign w:val="center"/>
          </w:tcPr>
          <w:p>
            <w:pPr>
              <w:jc w:val="left"/>
            </w:pPr>
            <w:r/>
            <w:r>
              <w:rPr>
                <w:rFonts w:hint="eastAsia"/>
                <w:color w:val="000000"/>
                <w:sz w:val="21"/>
              </w:rPr>
              <w:t>傅利叶智能</w:t>
            </w:r>
          </w:p>
        </w:tc>
        <w:tc>
          <w:tcPr>
            <w:tcW w:w="1182" w:type="pct"/>
            <w:tcBorders>
              <w:top w:val="single" w:sz="4" w:space="0" w:color="010000"/>
            </w:tcBorders>
            <w:vAlign w:val="center"/>
          </w:tcPr>
          <w:p>
            <w:pPr>
              <w:jc w:val="left"/>
            </w:pPr>
            <w:r/>
            <w:r>
              <w:rPr>
                <w:rFonts w:hint="eastAsia"/>
                <w:color w:val="000000"/>
                <w:sz w:val="21"/>
              </w:rPr>
              <w:t>完成E轮融资与股改，已启动科创板辅导准备</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636" w:type="pct"/>
            <w:tcBorders>
              <w:top w:val="single" w:sz="4" w:space="0" w:color="010000"/>
            </w:tcBorders>
            <w:vAlign w:val="center"/>
          </w:tcPr>
          <w:p>
            <w:pPr>
              <w:jc w:val="left"/>
            </w:pPr>
            <w:r/>
            <w:r>
              <w:rPr>
                <w:rFonts w:hint="eastAsia"/>
                <w:color w:val="000000"/>
                <w:sz w:val="21"/>
              </w:rPr>
              <w:t>银河通用</w:t>
            </w:r>
          </w:p>
        </w:tc>
        <w:tc>
          <w:tcPr>
            <w:tcW w:w="1182" w:type="pct"/>
            <w:tcBorders>
              <w:top w:val="single" w:sz="4" w:space="0" w:color="010000"/>
            </w:tcBorders>
            <w:vAlign w:val="center"/>
          </w:tcPr>
          <w:p>
            <w:pPr>
              <w:jc w:val="left"/>
            </w:pPr>
            <w:r/>
            <w:r>
              <w:rPr>
                <w:rFonts w:hint="eastAsia"/>
                <w:color w:val="000000"/>
                <w:sz w:val="21"/>
              </w:rPr>
              <w:t>已完成股改，最新一轮被视为Pre-IPO轮，计划2026年下半年递交港股申请</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轮式双臂人形机器人及具身智能大模型。2026年3月完成25亿元D轮（国家大基金参与），累计融资超70亿元，估值约260亿元。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星海图</w:t>
            </w:r>
          </w:p>
        </w:tc>
        <w:tc>
          <w:tcPr>
            <w:tcW w:w="1182" w:type="pct"/>
            <w:tcBorders>
              <w:top w:val="single" w:sz="4" w:space="0" w:color="010000"/>
            </w:tcBorders>
            <w:vAlign w:val="center"/>
          </w:tcPr>
          <w:p>
            <w:pPr>
              <w:jc w:val="left"/>
            </w:pPr>
            <w:r/>
            <w:r>
              <w:rPr>
                <w:rFonts w:hint="eastAsia"/>
                <w:color w:val="000000"/>
                <w:sz w:val="21"/>
              </w:rPr>
              <w:t>已完成股改，最新一轮被视为Pre-IPO轮</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具身智能整机及模型，估值超100亿元。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松延动力</w:t>
            </w:r>
          </w:p>
        </w:tc>
        <w:tc>
          <w:tcPr>
            <w:tcW w:w="1182" w:type="pct"/>
            <w:tcBorders>
              <w:top w:val="single" w:sz="4" w:space="0" w:color="010000"/>
            </w:tcBorders>
            <w:vAlign w:val="center"/>
          </w:tcPr>
          <w:p>
            <w:pPr>
              <w:jc w:val="left"/>
            </w:pPr>
            <w:r/>
            <w:r>
              <w:rPr>
                <w:rFonts w:hint="eastAsia"/>
                <w:color w:val="000000"/>
                <w:sz w:val="21"/>
              </w:rPr>
              <w:t>已完成股改</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636" w:type="pct"/>
            <w:tcBorders>
              <w:top w:val="single" w:sz="4" w:space="0" w:color="010000"/>
            </w:tcBorders>
            <w:vAlign w:val="center"/>
          </w:tcPr>
          <w:p>
            <w:pPr>
              <w:jc w:val="left"/>
            </w:pPr>
            <w:r/>
            <w:r>
              <w:rPr>
                <w:rFonts w:hint="eastAsia"/>
                <w:color w:val="000000"/>
                <w:sz w:val="21"/>
              </w:rPr>
              <w:t>众擎机器人</w:t>
            </w:r>
          </w:p>
        </w:tc>
        <w:tc>
          <w:tcPr>
            <w:tcW w:w="1182" w:type="pct"/>
            <w:tcBorders>
              <w:top w:val="single" w:sz="4" w:space="0" w:color="010000"/>
            </w:tcBorders>
            <w:vAlign w:val="center"/>
          </w:tcPr>
          <w:p>
            <w:pPr>
              <w:jc w:val="left"/>
            </w:pPr>
            <w:r/>
            <w:r>
              <w:rPr>
                <w:rFonts w:hint="eastAsia"/>
                <w:color w:val="000000"/>
                <w:sz w:val="21"/>
              </w:rPr>
              <w:t>已完成股改，明确上市计划</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PM01等中小尺寸双足人形机器人，PM01售价8.8万元；与多伦科技签署2,000台三年期框架协议；估值超100亿元。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智平方</w:t>
            </w:r>
          </w:p>
        </w:tc>
        <w:tc>
          <w:tcPr>
            <w:tcW w:w="1182" w:type="pct"/>
            <w:tcBorders>
              <w:top w:val="single" w:sz="4" w:space="0" w:color="010000"/>
            </w:tcBorders>
            <w:vAlign w:val="center"/>
          </w:tcPr>
          <w:p>
            <w:pPr>
              <w:jc w:val="left"/>
            </w:pPr>
            <w:r/>
            <w:r>
              <w:rPr>
                <w:rFonts w:hint="eastAsia"/>
                <w:color w:val="000000"/>
                <w:sz w:val="21"/>
              </w:rPr>
              <w:t>已完成股改</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AGI原生通用智能机器人。2026年2月完成超10亿元B轮（国泰海通等参投），估值超100亿元；2026年6月完成50亿元新融资，估值超200亿元。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星动纪元</w:t>
            </w:r>
          </w:p>
        </w:tc>
        <w:tc>
          <w:tcPr>
            <w:tcW w:w="1182" w:type="pct"/>
            <w:tcBorders>
              <w:top w:val="single" w:sz="4" w:space="0" w:color="010000"/>
            </w:tcBorders>
            <w:vAlign w:val="center"/>
          </w:tcPr>
          <w:p>
            <w:pPr>
              <w:jc w:val="left"/>
            </w:pPr>
            <w:r/>
            <w:r>
              <w:rPr>
                <w:rFonts w:hint="eastAsia"/>
                <w:color w:val="000000"/>
                <w:sz w:val="21"/>
              </w:rPr>
              <w:t>Pre-IPO轮融资25亿元</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636" w:type="pct"/>
            <w:tcBorders>
              <w:top w:val="single" w:sz="4" w:space="0" w:color="010000"/>
            </w:tcBorders>
            <w:vAlign w:val="center"/>
          </w:tcPr>
          <w:p>
            <w:pPr>
              <w:jc w:val="left"/>
            </w:pPr>
            <w:r/>
            <w:r>
              <w:rPr>
                <w:rFonts w:hint="eastAsia"/>
                <w:color w:val="000000"/>
                <w:sz w:val="21"/>
              </w:rPr>
              <w:t>首形科技</w:t>
            </w:r>
          </w:p>
        </w:tc>
        <w:tc>
          <w:tcPr>
            <w:tcW w:w="1182"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超仿生类人机器人与仿生情感交互（以高仿真"脸"为核心）。A2轮由中信金石与吉利资本联合领投，中信证券国际资本、国泰君安创新投等跟投，老股东中网投与顺为资本超额追投。</w:t>
            </w:r>
          </w:p>
        </w:tc>
      </w:tr>
      <w:tr>
        <w:trPr>
          <w:cantSplit/>
          <w:jc w:val="center"/>
        </w:trPr>
        <w:tc>
          <w:tcPr>
            <w:tcW w:w="636" w:type="pct"/>
            <w:tcBorders>
              <w:top w:val="single" w:sz="4" w:space="0" w:color="010000"/>
            </w:tcBorders>
            <w:vAlign w:val="center"/>
          </w:tcPr>
          <w:p>
            <w:pPr>
              <w:jc w:val="left"/>
            </w:pPr>
            <w:r/>
            <w:r>
              <w:rPr>
                <w:rFonts w:hint="eastAsia"/>
                <w:color w:val="000000"/>
                <w:sz w:val="21"/>
              </w:rPr>
              <w:t>魔法原子</w:t>
            </w:r>
          </w:p>
        </w:tc>
        <w:tc>
          <w:tcPr>
            <w:tcW w:w="1182" w:type="pct"/>
            <w:tcBorders>
              <w:top w:val="single" w:sz="4" w:space="0" w:color="010000"/>
            </w:tcBorders>
            <w:vAlign w:val="center"/>
          </w:tcPr>
          <w:p>
            <w:pPr>
              <w:jc w:val="left"/>
            </w:pPr>
            <w:r/>
            <w:r>
              <w:rPr>
                <w:rFonts w:hint="eastAsia"/>
                <w:color w:val="000000"/>
                <w:sz w:val="21"/>
              </w:rPr>
              <w:t>推进上市进程</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公开融资报道。本报告复核后订正首形科技的主营业务（原表述为"人形机器人核心部件"，实为超仿生类人机器人／仿生情感交互）及其A2轮跟投主体（为国泰君安创新投）。</w:t>
      </w:r>
    </w:p>
    <w:p>
      <w:pPr>
        <w:pStyle w:val="3"/>
        <w:numPr>
          <w:ilvl w:val="0"/>
          <w:numId w:val="0"/>
        </w:numPr>
        <w:spacing w:before="156" w:after="156"/>
      </w:pPr>
      <w:bookmarkStart w:id="1034" w:name="_Toc900034"/>
      <w:r>
        <w:rPr>
          <w:rFonts w:hint="eastAsia"/>
        </w:rPr>
        <w:t>6.4 通过上市公司平台实现资本化的企业</w:t>
      </w:r>
      <w:bookmarkEnd w:id="1034"/>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5" w:name="_Toc900035"/>
      <w:r>
        <w:rPr>
          <w:rFonts w:hint="eastAsia"/>
        </w:rPr>
        <w:t>6.5 IPO终止或撤回的企业</w:t>
      </w:r>
      <w:bookmarkEnd w:id="1035"/>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6" w:name="_Toc900036"/>
      <w:r>
        <w:rPr>
          <w:rFonts w:hint="eastAsia"/>
        </w:rPr>
        <w:t>6.6 资本化特征小结</w:t>
      </w:r>
      <w:bookmarkEnd w:id="1036"/>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7" w:name="_Toc900037"/>
      <w:r>
        <w:rPr>
          <w:rFonts w:hint="eastAsia"/>
          <w:b/>
        </w:rPr>
        <w:t>与国泰海通相关的产业链公司</w:t>
      </w:r>
      <w:bookmarkEnd w:id="1037"/>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8" w:name="_Toc900038"/>
      <w:r>
        <w:rPr>
          <w:rFonts w:hint="eastAsia"/>
        </w:rPr>
        <w:t>7.1 券商谱系与整体投行位置</w:t>
      </w:r>
      <w:bookmarkEnd w:id="1038"/>
    </w:p>
    <w:p>
      <w:pPr>
        <w:keepNext/>
        <w:jc w:val="center"/>
      </w:pPr>
      <w:r>
        <w:rPr>
          <w:rFonts w:hint="eastAsia"/>
          <w:b/>
          <w:sz w:val="21"/>
        </w:rPr>
        <w:t>表12  国泰海通券商谱系与产业链关系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27" w:type="pct"/>
            <w:tcBorders>
              <w:top w:val="single" w:sz="12" w:space="0" w:color="010000"/>
              <w:bottom w:val="single" w:sz="4" w:space="0" w:color="010000"/>
            </w:tcBorders>
            <w:vAlign w:val="center"/>
          </w:tcPr>
          <w:p>
            <w:pPr>
              <w:keepNext/>
              <w:jc w:val="center"/>
            </w:pPr>
            <w:r/>
            <w:r>
              <w:rPr>
                <w:rFonts w:hint="eastAsia"/>
                <w:b/>
                <w:color w:val="000000"/>
                <w:sz w:val="21"/>
              </w:rPr>
              <w:t>券商主体</w:t>
            </w:r>
          </w:p>
        </w:tc>
        <w:tc>
          <w:tcPr>
            <w:tcW w:w="818" w:type="pct"/>
            <w:tcBorders>
              <w:top w:val="single" w:sz="12" w:space="0" w:color="010000"/>
              <w:bottom w:val="single" w:sz="4" w:space="0" w:color="010000"/>
            </w:tcBorders>
            <w:vAlign w:val="center"/>
          </w:tcPr>
          <w:p>
            <w:pPr>
              <w:keepNext/>
              <w:jc w:val="center"/>
            </w:pPr>
            <w:r/>
            <w:r>
              <w:rPr>
                <w:rFonts w:hint="eastAsia"/>
                <w:b/>
                <w:color w:val="000000"/>
                <w:sz w:val="21"/>
              </w:rPr>
              <w:t>存续时间</w:t>
            </w:r>
          </w:p>
        </w:tc>
        <w:tc>
          <w:tcPr>
            <w:tcW w:w="3455" w:type="pct"/>
            <w:tcBorders>
              <w:top w:val="single" w:sz="12" w:space="0" w:color="010000"/>
              <w:bottom w:val="single" w:sz="4" w:space="0" w:color="010000"/>
            </w:tcBorders>
            <w:vAlign w:val="center"/>
          </w:tcPr>
          <w:p>
            <w:pPr>
              <w:keepNext/>
              <w:jc w:val="center"/>
            </w:pPr>
            <w:r/>
            <w:r>
              <w:rPr>
                <w:rFonts w:hint="eastAsia"/>
                <w:b/>
                <w:color w:val="000000"/>
                <w:sz w:val="21"/>
              </w:rPr>
              <w:t>与人形机器人产业链的关系</w:t>
            </w:r>
          </w:p>
        </w:tc>
      </w:tr>
      <w:tr>
        <w:trPr>
          <w:cantSplit/>
          <w:jc w:val="center"/>
        </w:trPr>
        <w:tc>
          <w:tcPr>
            <w:tcW w:w="727" w:type="pct"/>
            <w:tcBorders>
              <w:top w:val="single" w:sz="4" w:space="0" w:color="010000"/>
            </w:tcBorders>
            <w:vAlign w:val="center"/>
          </w:tcPr>
          <w:p>
            <w:pPr>
              <w:jc w:val="left"/>
            </w:pPr>
            <w:r/>
            <w:r>
              <w:rPr>
                <w:rFonts w:hint="eastAsia"/>
                <w:color w:val="000000"/>
                <w:sz w:val="21"/>
              </w:rPr>
              <w:t>国泰证券</w:t>
            </w:r>
          </w:p>
        </w:tc>
        <w:tc>
          <w:tcPr>
            <w:tcW w:w="818" w:type="pct"/>
            <w:tcBorders>
              <w:top w:val="single" w:sz="4" w:space="0" w:color="010000"/>
            </w:tcBorders>
            <w:vAlign w:val="center"/>
          </w:tcPr>
          <w:p>
            <w:pPr>
              <w:jc w:val="left"/>
            </w:pPr>
            <w:r/>
            <w:r>
              <w:rPr>
                <w:rFonts w:hint="eastAsia"/>
                <w:color w:val="000000"/>
                <w:sz w:val="21"/>
              </w:rPr>
              <w:t>1992年9月至1999年8月</w:t>
            </w:r>
          </w:p>
        </w:tc>
        <w:tc>
          <w:tcPr>
            <w:tcW w:w="3455" w:type="pct"/>
            <w:tcBorders>
              <w:top w:val="single" w:sz="4" w:space="0" w:color="010000"/>
            </w:tcBorders>
            <w:vAlign w:val="center"/>
          </w:tcPr>
          <w:p>
            <w:pPr>
              <w:jc w:val="left"/>
            </w:pPr>
            <w:r/>
            <w:r>
              <w:rPr>
                <w:rFonts w:hint="eastAsia"/>
                <w:color w:val="000000"/>
                <w:sz w:val="21"/>
              </w:rPr>
              <w:t>在上海成立，国泰君安前身之一。存续期间人形机器人产业尚未兴起，无直接保荐或投资关联。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君安证券</w:t>
            </w:r>
          </w:p>
        </w:tc>
        <w:tc>
          <w:tcPr>
            <w:tcW w:w="818" w:type="pct"/>
            <w:tcBorders>
              <w:top w:val="single" w:sz="4" w:space="0" w:color="010000"/>
            </w:tcBorders>
            <w:vAlign w:val="center"/>
          </w:tcPr>
          <w:p>
            <w:pPr>
              <w:jc w:val="left"/>
            </w:pPr>
            <w:r/>
            <w:r>
              <w:rPr>
                <w:rFonts w:hint="eastAsia"/>
                <w:color w:val="000000"/>
                <w:sz w:val="21"/>
              </w:rPr>
              <w:t>1992年10月至1999年8月</w:t>
            </w:r>
          </w:p>
        </w:tc>
        <w:tc>
          <w:tcPr>
            <w:tcW w:w="3455" w:type="pct"/>
            <w:tcBorders>
              <w:top w:val="single" w:sz="4" w:space="0" w:color="010000"/>
            </w:tcBorders>
            <w:vAlign w:val="center"/>
          </w:tcPr>
          <w:p>
            <w:pPr>
              <w:jc w:val="left"/>
            </w:pPr>
            <w:r/>
            <w:r>
              <w:rPr>
                <w:rFonts w:hint="eastAsia"/>
                <w:color w:val="000000"/>
                <w:sz w:val="21"/>
              </w:rPr>
              <w:t>在深圳成立，国泰君安前身之一。存续期间人形机器人产业尚未兴起，无直接保荐或投资关联。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国泰君安证券</w:t>
            </w:r>
          </w:p>
        </w:tc>
        <w:tc>
          <w:tcPr>
            <w:tcW w:w="818" w:type="pct"/>
            <w:tcBorders>
              <w:top w:val="single" w:sz="4" w:space="0" w:color="010000"/>
            </w:tcBorders>
            <w:vAlign w:val="center"/>
          </w:tcPr>
          <w:p>
            <w:pPr>
              <w:jc w:val="left"/>
            </w:pPr>
            <w:r/>
            <w:r>
              <w:rPr>
                <w:rFonts w:hint="eastAsia"/>
                <w:color w:val="000000"/>
                <w:sz w:val="21"/>
              </w:rPr>
              <w:t>1999年8月至2025年3月</w:t>
            </w:r>
          </w:p>
        </w:tc>
        <w:tc>
          <w:tcPr>
            <w:tcW w:w="3455" w:type="pct"/>
            <w:tcBorders>
              <w:top w:val="single" w:sz="4" w:space="0" w:color="010000"/>
            </w:tcBorders>
            <w:vAlign w:val="center"/>
          </w:tcPr>
          <w:p>
            <w:pPr>
              <w:jc w:val="left"/>
            </w:pPr>
            <w:r/>
            <w:r>
              <w:rPr>
                <w:rFonts w:hint="eastAsia"/>
                <w:color w:val="000000"/>
                <w:sz w:val="21"/>
              </w:rPr>
              <w:t>由国泰证券与君安证券新设合并组建。2015年A股上市（601211.SH），2017年H股上市（2611.HK）。在本产业链保荐了绿的谐波（科创板）、优必选与越疆科技（港股，经国泰君安国际）等。</w:t>
            </w:r>
          </w:p>
        </w:tc>
      </w:tr>
      <w:tr>
        <w:trPr>
          <w:cantSplit/>
          <w:jc w:val="center"/>
        </w:trPr>
        <w:tc>
          <w:tcPr>
            <w:tcW w:w="727" w:type="pct"/>
            <w:tcBorders>
              <w:top w:val="single" w:sz="4" w:space="0" w:color="010000"/>
            </w:tcBorders>
            <w:vAlign w:val="center"/>
          </w:tcPr>
          <w:p>
            <w:pPr>
              <w:jc w:val="left"/>
            </w:pPr>
            <w:r/>
            <w:r>
              <w:rPr>
                <w:rFonts w:hint="eastAsia"/>
                <w:color w:val="000000"/>
                <w:sz w:val="21"/>
              </w:rPr>
              <w:t>海通证券</w:t>
            </w:r>
          </w:p>
        </w:tc>
        <w:tc>
          <w:tcPr>
            <w:tcW w:w="818" w:type="pct"/>
            <w:tcBorders>
              <w:top w:val="single" w:sz="4" w:space="0" w:color="010000"/>
            </w:tcBorders>
            <w:vAlign w:val="center"/>
          </w:tcPr>
          <w:p>
            <w:pPr>
              <w:jc w:val="left"/>
            </w:pPr>
            <w:r/>
            <w:r>
              <w:rPr>
                <w:rFonts w:hint="eastAsia"/>
                <w:color w:val="000000"/>
                <w:sz w:val="21"/>
              </w:rPr>
              <w:t>1988年至2025年3月</w:t>
            </w:r>
          </w:p>
        </w:tc>
        <w:tc>
          <w:tcPr>
            <w:tcW w:w="3455" w:type="pct"/>
            <w:tcBorders>
              <w:top w:val="single" w:sz="4" w:space="0" w:color="010000"/>
            </w:tcBorders>
            <w:vAlign w:val="center"/>
          </w:tcPr>
          <w:p>
            <w:pPr>
              <w:jc w:val="left"/>
            </w:pPr>
            <w:r/>
            <w:r>
              <w:rPr>
                <w:rFonts w:hint="eastAsia"/>
                <w:color w:val="000000"/>
                <w:sz w:val="21"/>
              </w:rPr>
              <w:t>由交通银行发起设立。2007年A股上市（600837.SH），2012年H股上市（6837.HK）。在本产业链保荐了步科股份（科创板）、新睿电子（北交所）等。</w:t>
            </w:r>
          </w:p>
        </w:tc>
      </w:tr>
      <w:tr>
        <w:trPr>
          <w:cantSplit/>
          <w:jc w:val="center"/>
        </w:trPr>
        <w:tc>
          <w:tcPr>
            <w:tcW w:w="727" w:type="pct"/>
            <w:tcBorders>
              <w:top w:val="single" w:sz="4" w:space="0" w:color="010000"/>
            </w:tcBorders>
            <w:vAlign w:val="center"/>
          </w:tcPr>
          <w:p>
            <w:pPr>
              <w:jc w:val="left"/>
            </w:pPr>
            <w:r/>
            <w:r>
              <w:rPr>
                <w:rFonts w:hint="eastAsia"/>
                <w:color w:val="000000"/>
                <w:sz w:val="21"/>
              </w:rPr>
              <w:t>国泰海通证券</w:t>
            </w:r>
          </w:p>
        </w:tc>
        <w:tc>
          <w:tcPr>
            <w:tcW w:w="818" w:type="pct"/>
            <w:tcBorders>
              <w:top w:val="single" w:sz="4" w:space="0" w:color="010000"/>
            </w:tcBorders>
            <w:vAlign w:val="center"/>
          </w:tcPr>
          <w:p>
            <w:pPr>
              <w:jc w:val="left"/>
            </w:pPr>
            <w:r/>
            <w:r>
              <w:rPr>
                <w:rFonts w:hint="eastAsia"/>
                <w:color w:val="000000"/>
                <w:sz w:val="21"/>
              </w:rPr>
              <w:t>2025年3月合并、4月完成更名至今</w:t>
            </w:r>
          </w:p>
        </w:tc>
        <w:tc>
          <w:tcPr>
            <w:tcW w:w="3455" w:type="pct"/>
            <w:tcBorders>
              <w:top w:val="single" w:sz="4" w:space="0" w:color="010000"/>
            </w:tcBorders>
            <w:vAlign w:val="center"/>
          </w:tcPr>
          <w:p>
            <w:pPr>
              <w:jc w:val="left"/>
            </w:pPr>
            <w:r/>
            <w:r>
              <w:rPr>
                <w:rFonts w:hint="eastAsia"/>
                <w:color w:val="000000"/>
                <w:sz w:val="21"/>
              </w:rPr>
              <w:t>国泰君安换股吸收合并海通证券，注册资本176.3亿元，净资产行业第一。</w:t>
            </w:r>
          </w:p>
        </w:tc>
      </w:tr>
    </w:tbl>
    <w:p>
      <w:pPr>
        <w:pStyle w:val="a6"/>
        <w:jc w:val="center"/>
      </w:pPr>
      <w:r>
        <w:rPr>
          <w:rFonts w:hint="eastAsia"/>
          <w:sz w:val="11"/>
          <w:szCs w:val="11"/>
        </w:rPr>
        <w:t>资料来源：各券商公开披露及公开报道，本报告整理。需要说明的是，国泰证券与君安证券的存续期（1992—1999年）远早于人形机器人产业兴起，本章所述关联均发生于国泰君安（1999—2025年）、海通证券（1988—2025年）及国泰海通（2025年至今）期间。</w:t>
      </w:r>
    </w:p>
    <w:p>
      <w:pPr>
        <w:pStyle w:val="a0"/>
      </w:pPr>
      <w:r>
        <w:rPr>
          <w:rFonts w:hint="eastAsia"/>
        </w:rPr>
        <w:t>从整体投行位置看，国泰海通2026年上半年以13单A股IPO保荐上市数量居行业首位、市占率约18.3%，承销646亿元列行业第三，受理与在审家数与华泰联合并列前二。公司披露，其在人工智能、集成电路等前沿产业累计投资项目305个、投资规模约200亿元，累计服务107家企业登陆科创板、承销规模超2,100亿元，居行业第一。这一体量意味着在2026—2027年人形机器人产业链集中IPO的窗口期，国泰海通具备较强的项目承接能力。</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8.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国泰海通系与人形机器人产业链公司的关联分布</w:t>
      </w:r>
    </w:p>
    <w:p>
      <w:pPr>
        <w:pStyle w:val="a6"/>
        <w:jc w:val="center"/>
      </w:pPr>
      <w:r>
        <w:rPr>
          <w:rFonts w:hint="eastAsia"/>
          <w:sz w:val="11"/>
          <w:szCs w:val="11"/>
        </w:rPr>
        <w:t>数据来源：本报告基于表13至表16统计。"已保荐上市"含国泰君安、海通证券及国泰君安国际、海通国际作为保荐人或联席保荐人的项目；"产业基金覆盖"为只数而非家数。</w:t>
      </w:r>
    </w:p>
    <w:p>
      <w:pPr>
        <w:pStyle w:val="3"/>
        <w:numPr>
          <w:ilvl w:val="0"/>
          <w:numId w:val="0"/>
        </w:numPr>
        <w:spacing w:before="156" w:after="156"/>
      </w:pPr>
      <w:bookmarkStart w:id="1039" w:name="_Toc900039"/>
      <w:r>
        <w:rPr>
          <w:rFonts w:hint="eastAsia"/>
        </w:rPr>
        <w:t>7.2 已保荐上市的产业链公司</w:t>
      </w:r>
      <w:bookmarkEnd w:id="1039"/>
    </w:p>
    <w:p>
      <w:pPr>
        <w:keepNext/>
        <w:jc w:val="center"/>
      </w:pPr>
      <w:r>
        <w:rPr>
          <w:rFonts w:hint="eastAsia"/>
          <w:b/>
          <w:sz w:val="21"/>
        </w:rPr>
        <w:t>表13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bl>
    <w:p>
      <w:pPr>
        <w:pStyle w:val="a6"/>
        <w:jc w:val="center"/>
      </w:pPr>
      <w:r>
        <w:rPr>
          <w:rFonts w:hint="eastAsia"/>
          <w:sz w:val="11"/>
          <w:szCs w:val="11"/>
        </w:rPr>
        <w:t>数据来源：委托方提供的Wind整理成果；上交所、深交所、北交所、港交所公开披露文件。本报告复核后补充三瑞智能一家。</w:t>
      </w:r>
    </w:p>
    <w:p>
      <w:pPr>
        <w:pStyle w:val="3"/>
        <w:numPr>
          <w:ilvl w:val="0"/>
          <w:numId w:val="0"/>
        </w:numPr>
        <w:spacing w:before="156" w:after="156"/>
      </w:pPr>
      <w:bookmarkStart w:id="1040" w:name="_Toc900040"/>
      <w:r>
        <w:rPr>
          <w:rFonts w:hint="eastAsia"/>
        </w:rPr>
        <w:t>7.3 正在保荐、在审或辅导中的公司</w:t>
      </w:r>
      <w:bookmarkEnd w:id="1040"/>
    </w:p>
    <w:p>
      <w:pPr>
        <w:keepNext/>
        <w:jc w:val="center"/>
      </w:pPr>
      <w:r>
        <w:rPr>
          <w:rFonts w:hint="eastAsia"/>
          <w:b/>
          <w:sz w:val="21"/>
        </w:rPr>
        <w:t>表14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卧安机器人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已通过聆讯并完成上市备案</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晋拓股份为铝合金精密压铸件企业，已服务UR、云迹、节卡等协作机器人厂商并布局人形机器人零部件；智谱为人工智能大模型企业，与具身智能"大脑"层相关；镭神技术主营光通信与半导体精密装备，与机器人产业链非直接相关，列出以反映国泰海通在精密制造领域的辅导布局。</w:t>
      </w:r>
    </w:p>
    <w:p>
      <w:pPr>
        <w:pStyle w:val="3"/>
        <w:numPr>
          <w:ilvl w:val="0"/>
          <w:numId w:val="0"/>
        </w:numPr>
        <w:spacing w:before="156" w:after="156"/>
      </w:pPr>
      <w:bookmarkStart w:id="1041" w:name="_Toc900041"/>
      <w:r>
        <w:rPr>
          <w:rFonts w:hint="eastAsia"/>
        </w:rPr>
        <w:t>7.4 曾保荐但已终止的公司</w:t>
      </w:r>
      <w:bookmarkEnd w:id="1041"/>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2" w:name="_Toc900042"/>
      <w:r>
        <w:rPr>
          <w:rFonts w:hint="eastAsia"/>
        </w:rPr>
        <w:t>7.5 股权投资与产业基金</w:t>
      </w:r>
      <w:bookmarkEnd w:id="1042"/>
    </w:p>
    <w:p>
      <w:pPr>
        <w:keepNext/>
        <w:jc w:val="center"/>
      </w:pPr>
      <w:r>
        <w:rPr>
          <w:rFonts w:hint="eastAsia"/>
          <w:b/>
          <w:sz w:val="21"/>
        </w:rPr>
        <w:t>表15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w:t>
            </w:r>
          </w:p>
        </w:tc>
        <w:tc>
          <w:tcPr>
            <w:tcW w:w="2034" w:type="pct"/>
            <w:tcBorders>
              <w:top w:val="single" w:sz="4" w:space="0" w:color="010000"/>
            </w:tcBorders>
            <w:vAlign w:val="center"/>
          </w:tcPr>
          <w:p>
            <w:pPr>
              <w:jc w:val="left"/>
            </w:pPr>
            <w:r/>
            <w:r>
              <w:rPr>
                <w:rFonts w:hint="eastAsia"/>
                <w:color w:val="000000"/>
                <w:sz w:val="21"/>
              </w:rPr>
              <w:t>证裕投资为国泰海通另类投资子公司；国泰君安创新投资此前亦通过旗下基金参与。</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恒旭资本（海通开元为该基金LP）</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间接持有</w:t>
            </w:r>
          </w:p>
        </w:tc>
        <w:tc>
          <w:tcPr>
            <w:tcW w:w="2034" w:type="pct"/>
            <w:tcBorders>
              <w:top w:val="single" w:sz="4" w:space="0" w:color="010000"/>
            </w:tcBorders>
            <w:vAlign w:val="center"/>
          </w:tcPr>
          <w:p>
            <w:pPr>
              <w:jc w:val="left"/>
            </w:pPr>
            <w:r/>
            <w:r>
              <w:rPr>
                <w:rFonts w:hint="eastAsia"/>
                <w:color w:val="000000"/>
                <w:sz w:val="21"/>
              </w:rPr>
              <w:t>轮式双臂人形机器人，估值约260亿元。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报告复核后补充飒智智能一家，并将首形科技的跟投主体由"国泰海通"具体化为"国泰君安创新投"。证券公司私募股权子公司的投资组合并非全部对外披露，本表不构成完整清单。</w:t>
      </w:r>
    </w:p>
    <w:p>
      <w:pPr>
        <w:keepNext/>
        <w:jc w:val="center"/>
      </w:pPr>
      <w:r>
        <w:rPr>
          <w:rFonts w:hint="eastAsia"/>
          <w:b/>
          <w:sz w:val="21"/>
        </w:rPr>
        <w:t>表16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数据来源：委托方提供的Wind整理成果；公开报道。需要说明的是，上述基金多为综合性股权投资基金，机器人仅为其投资方向之一，各只基金的规模不宜简单加总视为对机器人产业链的投入金额。</w:t>
      </w:r>
    </w:p>
    <w:p>
      <w:pPr>
        <w:pStyle w:val="3"/>
        <w:numPr>
          <w:ilvl w:val="0"/>
          <w:numId w:val="0"/>
        </w:numPr>
        <w:spacing w:before="156" w:after="156"/>
      </w:pPr>
      <w:bookmarkStart w:id="1043" w:name="_Toc900043"/>
      <w:r>
        <w:rPr>
          <w:rFonts w:hint="eastAsia"/>
        </w:rPr>
        <w:t>7.6 关联全景与小结</w:t>
      </w:r>
      <w:bookmarkEnd w:id="1043"/>
    </w:p>
    <w:p>
      <w:pPr>
        <w:pStyle w:val="a0"/>
      </w:pPr>
      <w:r>
        <w:rPr>
          <w:rFonts w:hint="eastAsia"/>
        </w:rPr>
        <w:t>把保荐、辅导与投资三条线合起来看，国泰海通系在人形机器人产业链的关联可以概括为：已保荐上市8家，正在保荐或辅导6家（含定增1家、辅导2家），曾保荐但终止1家，股权投资参股7家（含1家未披露名称的协作机器人企业），并通过7只产业基金形成覆盖。这一布局深度在头部券商中处于前列，且呈现出明显的合并协同效应——合并前国泰君安在港股机器人IPO领域领先（优必选、越疆科技），海通证券在A股零部件领域有优势（步科股份、新睿电子）；合并后在乐动机器人（海通国际＋国泰君安国际联席保荐）和越疆科技A股（国泰海通独家保荐）等项目上展现了双方资源的整合。</w:t>
      </w:r>
    </w:p>
    <w:p>
      <w:pPr>
        <w:pStyle w:val="a0"/>
      </w:pPr>
      <w:r>
        <w:rPr>
          <w:rFonts w:hint="eastAsia"/>
        </w:rPr>
        <w:t>从产业链环节分布看，国泰海通系的保荐项目覆盖上游核心零部件（绿的谐波—谐波减速器、步科股份—伺服与无框力矩电机、新睿电子—控制系统、三瑞智能—电机与动力模组、晋拓股份—精密结构件）、中游本体与感知（优必选、越疆科技、乐动机器人、珞石机器人、卡诺普、卧安机器人），投资侧则集中于整机与具身智能（智元、智平方、宇树、银河通用、首形科技、飒智智能）。</w:t>
      </w:r>
    </w:p>
    <w:p>
      <w:pPr>
        <w:pStyle w:val="a0"/>
      </w:pPr>
      <w:r>
        <w:rPr>
          <w:rFonts w:hint="eastAsia"/>
        </w:rPr>
        <w:t>需要指出的一个空白：截至本报告统计日，国泰海通系在谐波减速器环节的关联仅有绿的谐波一家且为2020年的IPO项目（后续定增已由中信证券承做），在编码器和一体化关节模组环节则未见保荐、辅导或投资案例。换言之，无锡巨蟹所处的"谐波减速器＋驱动器＋编码器＋一体化关节模组"这一环节，恰是国泰海通现有机器人项目储备中相对薄弱的部分；同时该环节已有绿的谐波（科创板）、来福谐波（港股）等可比上市公司作为估值参照，纽氏达特、新剑传动、智同科技等同类企业亦已进入辅导阶段，资本化路径较为清晰。</w:t>
      </w:r>
    </w:p>
    <w:p>
      <w:pPr>
        <w:pStyle w:val="a0"/>
      </w:pPr>
      <w:r>
        <w:rPr>
          <w:rFonts w:hint="eastAsia"/>
        </w:rPr>
        <w:t>还有一点值得注意：三瑞智能虽以无人机电动动力系统为主业，但其机器人动力系统产品（电机、模组）与无锡巨蟹所处环节存在部分重合，且已由国泰海通保荐上市。这一案例既提供了同类企业的审核与估值参照，也提示在推进类似项目时需要提前厘清与既有客户的潜在竞争关系。</w:t>
      </w:r>
    </w:p>
    <w:p/>
    <w:p/>
    <w:p>
      <w:pPr>
        <w:pStyle w:val="2"/>
        <w:spacing w:before="156" w:after="156"/>
      </w:pPr>
      <w:bookmarkStart w:id="1044" w:name="_Toc900044"/>
      <w:r>
        <w:rPr>
          <w:rFonts w:hint="eastAsia"/>
          <w:b/>
        </w:rPr>
        <w:t>无锡巨蟹的产业链定位与拜访关注要点</w:t>
      </w:r>
      <w:bookmarkEnd w:id="1044"/>
    </w:p>
    <w:p>
      <w:pPr>
        <w:pStyle w:val="3"/>
        <w:numPr>
          <w:ilvl w:val="0"/>
          <w:numId w:val="0"/>
        </w:numPr>
        <w:spacing w:before="156" w:after="156"/>
      </w:pPr>
      <w:bookmarkStart w:id="1045" w:name="_Toc900045"/>
      <w:r>
        <w:rPr>
          <w:rFonts w:hint="eastAsia"/>
        </w:rPr>
        <w:t>8.1 公司概况与产品体系</w:t>
      </w:r>
      <w:bookmarkEnd w:id="1045"/>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传感器，并将上述部件高度集成为可直接装配的人形关节模组，产品线还包括通用型上肢硬件平台和人形机械臂。</w:t>
      </w:r>
    </w:p>
    <w:p>
      <w:pPr>
        <w:pStyle w:val="a0"/>
      </w:pPr>
      <w:r>
        <w:rPr>
          <w:rFonts w:hint="eastAsia"/>
        </w:rPr>
        <w:t>关节模组产品体系包含R48、R58、R68、R83、R102、R120六大系列，全系标配双编码器：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6" w:name="_Toc900046"/>
      <w:r>
        <w:rPr>
          <w:rFonts w:hint="eastAsia"/>
        </w:rPr>
        <w:t>8.2 产业链定位与可比公司</w:t>
      </w:r>
      <w:bookmarkEnd w:id="1046"/>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传感器四项自研，其中编码器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7" w:name="_Toc900047"/>
      <w:r>
        <w:rPr>
          <w:rFonts w:hint="eastAsia"/>
        </w:rPr>
        <w:t>8.3 拜访关注要点</w:t>
      </w:r>
      <w:bookmarkEnd w:id="1047"/>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表17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自研编码器与驱动器的实际水平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是否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编码器是核心零部件中国产化程度最低的环节（国内前五仅一家内资），自研编码器若确有竞争力，是区别于同类模组厂商的关键差异点。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8" w:name="_Toc900048"/>
      <w:r>
        <w:rPr>
          <w:rFonts w:hint="eastAsia"/>
        </w:rPr>
        <w:t>8.4 初步判断</w:t>
      </w:r>
      <w:bookmarkEnd w:id="1048"/>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9" w:name="_Toc900049"/>
      <w:r>
        <w:rPr>
          <w:rFonts w:hint="eastAsia"/>
          <w:b/>
        </w:rPr>
        <w:t>主要数据来源与口径说明</w:t>
      </w:r>
      <w:bookmarkEnd w:id="1049"/>
    </w:p>
    <w:p>
      <w:pPr>
        <w:pStyle w:val="a0"/>
      </w:pPr>
      <w:r>
        <w:rPr>
          <w:rFonts w:hint="eastAsia"/>
        </w:rPr>
        <w:t>本报告第六、七章的资本化进度与券商关联内容，以委托方提供的、基于Wind金融数据库整理的《人形机器人产业链公司资本化进度与券商关联全景研究报告》（数据截止2026年8月10日）为基础框架，经交易所公开披露文件、监管机构辅导备案公示与公开报道逐条复核后补充完善。复核中订正了三处、补充了五家公司，详见下段。其余章节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第二轮更新（2026年8月10日）在委托方提供的Wind整理成果基础上，对第六、七章作了以下处理。订正三处：一是首形科技的主营业务由"人形机器人核心部件"更正为超仿生类人机器人与仿生情感交互，其A2轮跟投主体由"国泰海通"具体化为"国泰君安创新投"；二是智元机器人赴港上市的承销机构由"中信证券"补充为中金公司、中信证券与摩根士丹利共同承销；三是卡诺普机器人的独家保荐人明确为国泰君安国际。补充五家国泰海通系相关公司：三瑞智能（301696.SZ，国泰海通保荐，2026年4月10日创业板上市）、晋拓股份（603211.SH，国泰海通保荐其2026年度定增）、智谱（国泰海通与中金公司联合辅导）、镭神技术（国泰海通辅导）、飒智智能（海通开元投资）。另补充兆威机电、来福谐波两家已上市产业链公司，并对绿的谐波、步科股份的保荐机构归属、乐聚智能的出货口径（577台为全尺寸机型口径，与含中小尺寸的约1,000台口径不同）作了说明。</w:t>
      </w:r>
    </w:p>
    <w:p>
      <w:pPr>
        <w:pStyle w:val="a0"/>
      </w:pPr>
      <w:r>
        <w:rPr>
          <w:rFonts w:hint="eastAsia"/>
        </w:rPr>
        <w:t>第一轮复核（2026年8月7日）修正了以下五处：一是2025年中国出货量、市场规模、五大应用场景及中标统计的来源，由原稿误标的"高工机器人（GGII）"更正为新战略咨询与人形机器人场景应用联盟《2025—2026年度人形机器人产业发展研究报告》，GGII的对应口径为2025年约1.8万台、2024年2,400台；二是全球出货量与企业份额的来源明确为北京赛迪出版传媒与中国电子报《2025年人形机器人市场研究报告》；三是谐波减速器的竞争格局数据更正为GGII《全球谐波减速器市场"沉浮录"》口径（2024年全球工业机器人用谐波减速器TOP4份额64.13%、国产厂商份额75.11%），原稿引用的"国产化率约30%"为口径不同的二手资料，已在正文中并列提示；四是宇树科技的发行数据由招股阶段的拟募资42.02亿元、估值约420亿元，更新为2026年8月6日公告的发行价150.80元/股、发行后市值约609亿元、募资约60.99亿元；五是国泰海通保荐的晋拓股份、三瑞智能两家公司的主营业务描述据其公开披露文件更正。</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的图表数据、制图数据及逐条来源（含可访问的原文链接）另见配套文件《中国人形机器人产业链研究_图表数据底稿.xlsx》与《中国人形机器人产业链研究_数据来源清单.xlsx》。受本次研究所用网络环境限制，招股说明书、年度报告、行业白皮书等原始文件无法下载留存，来源清单中已逐条给出可公开访问的链接，供后续自行下载归档。</w:t>
      </w:r>
    </w:p>
    <w:p>
      <w:pPr>
        <w:pStyle w:val="a0"/>
      </w:pPr>
      <w:r>
        <w:rPr>
          <w:rFonts w:hint="eastAsia"/>
        </w:rPr>
        <w:t>本报告完成于2026年8月，产业链信息核验至2026年8月7日，资本化进度与券商关联内容核验至2026年8月10日。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