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上述三项国家标准分别对应公司的谐波减速机、一体化关节模组和减速器性能检测，是公司产品性能与检测方法的主要依据。</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技术方案上，旋转执行器按传动方式分为谐波减速机方案、行星减速机方案和准直驱方案等。谐波减速机方案的减速比通常为30至300比1，结构紧凑、传动精度高，是肩、肘、腕、腰等上半身精密关节的主流方案。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人形机器人单机通常搭载10至14台谐波减速机，用量为传统六轴工业机器人的两倍以上。</w:t>
      </w:r>
    </w:p>
    <w:p>
      <w:pPr>
        <w:spacing w:line="360" w:lineRule="auto" w:before="120"/>
        <w:ind w:firstLine="480"/>
        <w:jc w:val="both"/>
      </w:pPr>
      <w:r>
        <w:rPr>
          <w:rFonts w:ascii="Times New Roman" w:hAnsi="Times New Roman" w:eastAsia="宋体"/>
          <w:b w:val="0"/>
          <w:sz w:val="24"/>
        </w:rPr>
        <w:t>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超过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公司产品还应用于协作机器人、工业机器人、医疗康复、低空经济、精密制造和轨道交通等领域。协作机器人与人形机器人对关节模组的技术要求高度相近，均强调小型化、轻量化和力矩控制精度，公司的产品谱系可在不同应用领域之间复用，形成了人形机器人之外的需求基础。</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第三，国产供应链配套成熟支撑成本下降。人形机器人核心零部件整体国产化率已超过75%，国内在精密轴承、功率电子等上游环节具备规模化供应能力，为本环节企业的成本控制和交付效率提供了支撑。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按2025年出货量计算，其在中国机器人谐波减速器市场的占有率为21.4%。</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关节模组产品覆盖直径17毫米至120毫米、峰值扭矩0.8牛米至1,000牛米以上的六大系列。由于减速器在执行器成本中占比最高，具备谐波减速机自研与量产能力的关节模组厂商在成本控制上具有起点优势；公司在此基础上进一步实现了驱动器、编码器和力传感器组件的自研，自研覆盖面在国内同类企业中相对靠前。</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公司的商业化产品以核心零部件和一体化关节模组为主，并延伸至人形机械臂和通用型上肢硬件平台；公司曾研制人形机器人整机用于技术验证与展示。公司于2020年12月取得ISO 9001:2015质量管理体系认证，2021年获批无锡市高寿命高精度谐波减速机重点实验室，2022年获评高新技术企业，2025年获评江苏省专精特新中小企业，并获“LeadeRobot 2025年度人形机器人核心供应商”称号。根据公司公开披露，2025年上半年公司单次交付人形机器人专用关节模组1,320套，客户数量超过500家；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