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1、所处行业的产业链情况</w:t>
      </w:r>
    </w:p>
    <w:p>
      <w:pPr>
        <w:spacing w:line="360" w:lineRule="auto" w:before="120"/>
        <w:ind w:firstLine="480"/>
        <w:jc w:val="both"/>
      </w:pPr>
      <w:r>
        <w:rPr>
          <w:rFonts w:ascii="Times New Roman" w:hAnsi="Times New Roman" w:eastAsia="宋体"/>
          <w:b w:val="0"/>
          <w:sz w:val="24"/>
        </w:rPr>
        <w:t>机器人产业链由上游基础材料与通用零部件、中游核心零部件与一体化关节模组、下游机器人整机及终端应用构成。上游包括金属材料及工程材料、轴承和电子元器件；中游涵盖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1" name="Picture 1"/>
            <wp:cNvGraphicFramePr>
              <a:graphicFrameLocks noChangeAspect="1"/>
            </wp:cNvGraphicFramePr>
            <a:graphic>
              <a:graphicData uri="http://schemas.openxmlformats.org/drawingml/2006/picture">
                <pic:pic>
                  <pic:nvPicPr>
                    <pic:cNvPr id="0" name="fig0.png"/>
                    <pic:cNvPicPr/>
                  </pic:nvPicPr>
                  <pic:blipFill>
                    <a:blip r:embed="rId36"/>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公司处于中游环节，以一体化关节模组为主要产品形态。该环节向上对接基础材料与通用零部件供应，向下直接面向整机厂商，是连接基础制造能力与整机性能的中间环节。</w:t>
      </w:r>
    </w:p>
    <w:p>
      <w:pPr>
        <w:spacing w:line="360" w:lineRule="auto" w:before="120"/>
        <w:ind w:firstLine="482"/>
        <w:jc w:val="both"/>
      </w:pPr>
      <w:r>
        <w:rPr>
          <w:rFonts w:ascii="Times New Roman" w:hAnsi="Times New Roman" w:eastAsia="宋体"/>
          <w:b/>
          <w:sz w:val="24"/>
        </w:rPr>
        <w:t>2、一体化关节模组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3、谐波减速机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4、下游行业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从产业阶段看，觅途咨询将2025年界定为人形机器人小批量产元年、2026年为规模量产元年。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觅途咨询将产业价值中心的迁移划分为三个阶段：2025年以前为技术验证阶段，价值中心在整机厂；2026年至2030年为规模量产阶段，整机厂与关节模组厂商共同主导；2030年以后进入产业成熟阶段，由关节模组一级供应商主导。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觅途咨询则将一体化关节模组的核心壁垒归纳为设计、工艺、标定和供应链四个方面。就新进入者而言，本行业的主要壁垒体现为以下五类。</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占执行器成本的30%至50%，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