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62CD7A">
      <w:pPr>
        <w:jc w:val="center"/>
        <w:rPr>
          <w:rFonts w:hint="eastAsia" w:ascii="楷体" w:hAnsi="楷体" w:eastAsia="楷体" w:cs="楷体"/>
          <w:sz w:val="36"/>
          <w:szCs w:val="36"/>
          <w:lang w:val="en-US" w:eastAsia="zh-CN"/>
        </w:rPr>
      </w:pPr>
      <w:r>
        <w:rPr>
          <w:rFonts w:hint="eastAsia" w:ascii="楷体" w:hAnsi="楷体" w:eastAsia="楷体" w:cs="楷体"/>
          <w:sz w:val="36"/>
          <w:szCs w:val="36"/>
          <w:lang w:val="en-US" w:eastAsia="zh-CN"/>
        </w:rPr>
        <w:t>长纤M-99连续纤维颜色异常报告</w:t>
      </w:r>
    </w:p>
    <w:p w14:paraId="572A5065">
      <w:pPr>
        <w:rPr>
          <w:rFonts w:hint="eastAsia"/>
          <w:sz w:val="32"/>
          <w:szCs w:val="40"/>
          <w:lang w:val="en-US" w:eastAsia="zh-CN"/>
        </w:rPr>
      </w:pPr>
    </w:p>
    <w:p w14:paraId="26F5E6EC">
      <w:pPr>
        <w:rPr>
          <w:rFonts w:hint="default"/>
          <w:lang w:val="en-US" w:eastAsia="zh-CN"/>
        </w:rPr>
      </w:pPr>
      <w:r>
        <w:rPr>
          <w:rFonts w:hint="eastAsia"/>
          <w:b/>
          <w:bCs/>
          <w:sz w:val="22"/>
          <w:szCs w:val="28"/>
          <w:lang w:val="en-US" w:eastAsia="zh-CN"/>
        </w:rPr>
        <w:t>一一·</w:t>
      </w:r>
      <w:r>
        <w:rPr>
          <w:rFonts w:hint="eastAsia"/>
          <w:b/>
          <w:bCs/>
          <w:sz w:val="28"/>
          <w:szCs w:val="28"/>
          <w:lang w:val="en-US" w:eastAsia="zh-CN"/>
        </w:rPr>
        <w:t>情况概述</w:t>
      </w:r>
    </w:p>
    <w:p w14:paraId="01F6ED47">
      <w:pPr>
        <w:numPr>
          <w:ilvl w:val="0"/>
          <w:numId w:val="0"/>
        </w:numPr>
        <w:spacing w:after="160" w:line="278" w:lineRule="auto"/>
        <w:ind w:firstLine="440" w:firstLineChars="200"/>
        <w:jc w:val="left"/>
        <w:rPr>
          <w:rFonts w:hint="eastAsia" w:ascii="宋体" w:hAnsi="宋体" w:eastAsia="宋体"/>
          <w:sz w:val="22"/>
          <w:lang w:val="en-US" w:eastAsia="zh-CN"/>
          <w14:ligatures w14:val="standardContextual"/>
        </w:rPr>
      </w:pPr>
      <w:r>
        <w:rPr>
          <w:rFonts w:hint="eastAsia" w:ascii="宋体" w:hAnsi="宋体" w:eastAsia="宋体"/>
          <w:sz w:val="22"/>
          <w:lang w:val="en-US" w:eastAsia="zh-CN"/>
          <w14:ligatures w14:val="standardContextual"/>
        </w:rPr>
        <w:t>2025年9月25 日客诉，M-99连续纤维(P250822A-99#6-12-0)内卷有部分颜色异常，12月21日收到退回纱卷，异常状态见下图</w:t>
      </w:r>
    </w:p>
    <w:p w14:paraId="4933B674">
      <w:pPr>
        <w:numPr>
          <w:ilvl w:val="0"/>
          <w:numId w:val="0"/>
        </w:numPr>
        <w:spacing w:after="160" w:line="278" w:lineRule="auto"/>
        <w:ind w:firstLine="480" w:firstLineChars="200"/>
        <w:jc w:val="left"/>
        <w:rPr>
          <w:rFonts w:hint="eastAsia" w:ascii="宋体" w:hAnsi="宋体" w:eastAsia="宋体"/>
          <w:sz w:val="22"/>
          <w:lang w:val="en-US" w:eastAsia="zh-CN"/>
          <w14:ligatures w14:val="standardContextual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015865" cy="2203450"/>
            <wp:effectExtent l="0" t="0" r="13335" b="6350"/>
            <wp:docPr id="2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15865" cy="22034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0E2D014">
      <w:pPr>
        <w:numPr>
          <w:ilvl w:val="0"/>
          <w:numId w:val="0"/>
        </w:numPr>
        <w:spacing w:after="160" w:line="278" w:lineRule="auto"/>
        <w:ind w:firstLine="440" w:firstLineChars="200"/>
        <w:jc w:val="left"/>
        <w:rPr>
          <w:rFonts w:hint="eastAsia" w:ascii="宋体" w:hAnsi="宋体" w:eastAsia="宋体"/>
          <w:sz w:val="22"/>
          <w:lang w:val="en-US" w:eastAsia="zh-CN"/>
          <w14:ligatures w14:val="standardContextual"/>
        </w:rPr>
      </w:pPr>
    </w:p>
    <w:p w14:paraId="73988CE5">
      <w:pPr>
        <w:jc w:val="left"/>
        <w:rPr>
          <w:rFonts w:hint="default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二·初步分析</w:t>
      </w:r>
    </w:p>
    <w:p w14:paraId="7D68F024">
      <w:pPr>
        <w:numPr>
          <w:ilvl w:val="0"/>
          <w:numId w:val="0"/>
        </w:numPr>
        <w:ind w:firstLine="440" w:firstLineChars="200"/>
        <w:rPr>
          <w:rFonts w:hint="eastAsia" w:ascii="宋体" w:hAnsi="宋体" w:eastAsia="宋体" w:cs="宋体"/>
          <w:sz w:val="22"/>
          <w:szCs w:val="22"/>
          <w:lang w:val="en-US" w:eastAsia="zh-CN"/>
        </w:rPr>
      </w:pPr>
      <w:r>
        <w:rPr>
          <w:rFonts w:hint="eastAsia" w:ascii="宋体" w:hAnsi="宋体" w:eastAsia="宋体" w:cs="宋体"/>
          <w:sz w:val="22"/>
          <w:szCs w:val="22"/>
          <w:lang w:val="en-US" w:eastAsia="zh-CN"/>
        </w:rPr>
        <w:t>去除浸润剂，显微镜下清晰可见异常部分集中在纱束表面，并未全部浸透，部分纱线边缘粉化断裂，初步分析为油污及锈迹。</w:t>
      </w:r>
    </w:p>
    <w:p w14:paraId="37AB6F4E">
      <w:pPr>
        <w:numPr>
          <w:ilvl w:val="0"/>
          <w:numId w:val="0"/>
        </w:numPr>
        <w:rPr>
          <w:rFonts w:hint="eastAsia" w:ascii="宋体" w:hAnsi="宋体" w:eastAsia="宋体" w:cs="宋体"/>
          <w:sz w:val="22"/>
          <w:szCs w:val="22"/>
          <w:lang w:val="en-US" w:eastAsia="zh-CN"/>
        </w:rPr>
      </w:pPr>
    </w:p>
    <w:tbl>
      <w:tblPr>
        <w:tblStyle w:val="3"/>
        <w:tblW w:w="929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9"/>
        <w:gridCol w:w="2801"/>
        <w:gridCol w:w="2664"/>
        <w:gridCol w:w="2884"/>
      </w:tblGrid>
      <w:tr w14:paraId="49EA65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9" w:hRule="atLeast"/>
        </w:trPr>
        <w:tc>
          <w:tcPr>
            <w:tcW w:w="949" w:type="dxa"/>
            <w:vAlign w:val="center"/>
          </w:tcPr>
          <w:p w14:paraId="07B30484"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类别</w:t>
            </w:r>
          </w:p>
        </w:tc>
        <w:tc>
          <w:tcPr>
            <w:tcW w:w="2801" w:type="dxa"/>
            <w:vAlign w:val="center"/>
          </w:tcPr>
          <w:p w14:paraId="4F286FE7"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正常纱线</w:t>
            </w:r>
          </w:p>
        </w:tc>
        <w:tc>
          <w:tcPr>
            <w:tcW w:w="2664" w:type="dxa"/>
            <w:vAlign w:val="center"/>
          </w:tcPr>
          <w:p w14:paraId="650D92E7"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油污部位</w:t>
            </w:r>
          </w:p>
        </w:tc>
        <w:tc>
          <w:tcPr>
            <w:tcW w:w="2884" w:type="dxa"/>
            <w:vAlign w:val="center"/>
          </w:tcPr>
          <w:p w14:paraId="5197B0FB"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锈迹部位</w:t>
            </w:r>
          </w:p>
        </w:tc>
      </w:tr>
      <w:tr w14:paraId="1B0C2C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33" w:hRule="atLeast"/>
        </w:trPr>
        <w:tc>
          <w:tcPr>
            <w:tcW w:w="949" w:type="dxa"/>
            <w:vAlign w:val="center"/>
          </w:tcPr>
          <w:p w14:paraId="09768A8F"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b/>
                <w:bCs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2"/>
                <w:szCs w:val="22"/>
                <w:vertAlign w:val="baseline"/>
                <w:lang w:val="en-US" w:eastAsia="zh-CN"/>
              </w:rPr>
              <w:t>图片</w:t>
            </w:r>
          </w:p>
        </w:tc>
        <w:tc>
          <w:tcPr>
            <w:tcW w:w="2801" w:type="dxa"/>
          </w:tcPr>
          <w:p w14:paraId="011F4891">
            <w:pPr>
              <w:numPr>
                <w:ilvl w:val="0"/>
                <w:numId w:val="0"/>
              </w:numP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drawing>
                <wp:inline distT="0" distB="0" distL="114300" distR="114300">
                  <wp:extent cx="1548130" cy="1243965"/>
                  <wp:effectExtent l="0" t="0" r="6350" b="5715"/>
                  <wp:docPr id="3" name="图片 2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2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8130" cy="124396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64" w:type="dxa"/>
          </w:tcPr>
          <w:p w14:paraId="639638BC">
            <w:pPr>
              <w:numPr>
                <w:ilvl w:val="0"/>
                <w:numId w:val="0"/>
              </w:numP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drawing>
                <wp:inline distT="0" distB="0" distL="114300" distR="114300">
                  <wp:extent cx="1441450" cy="1221105"/>
                  <wp:effectExtent l="0" t="0" r="6350" b="13335"/>
                  <wp:docPr id="4" name="图片 9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9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1450" cy="12211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84" w:type="dxa"/>
          </w:tcPr>
          <w:p w14:paraId="41339B5E">
            <w:pPr>
              <w:numPr>
                <w:ilvl w:val="0"/>
                <w:numId w:val="0"/>
              </w:numP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bookmarkStart w:id="0" w:name="_GoBack"/>
            <w:r>
              <w:rPr>
                <w:rFonts w:ascii="宋体" w:hAnsi="宋体" w:eastAsia="宋体" w:cs="宋体"/>
                <w:sz w:val="24"/>
                <w:szCs w:val="24"/>
              </w:rPr>
              <w:drawing>
                <wp:inline distT="0" distB="0" distL="114300" distR="114300">
                  <wp:extent cx="1570990" cy="1215390"/>
                  <wp:effectExtent l="0" t="0" r="13970" b="3810"/>
                  <wp:docPr id="5" name="图片 3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3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0990" cy="12153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0"/>
          </w:p>
        </w:tc>
      </w:tr>
      <w:tr w14:paraId="77CB97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74" w:hRule="atLeast"/>
        </w:trPr>
        <w:tc>
          <w:tcPr>
            <w:tcW w:w="949" w:type="dxa"/>
            <w:vAlign w:val="center"/>
          </w:tcPr>
          <w:p w14:paraId="6945D905"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b/>
                <w:bCs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2"/>
                <w:szCs w:val="22"/>
                <w:vertAlign w:val="baseline"/>
                <w:lang w:val="en-US" w:eastAsia="zh-CN"/>
              </w:rPr>
              <w:t>备注</w:t>
            </w:r>
          </w:p>
        </w:tc>
        <w:tc>
          <w:tcPr>
            <w:tcW w:w="2801" w:type="dxa"/>
            <w:vAlign w:val="center"/>
          </w:tcPr>
          <w:p w14:paraId="25F8AA65"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纱线光滑平整无炸毛无明显断丝</w:t>
            </w:r>
          </w:p>
        </w:tc>
        <w:tc>
          <w:tcPr>
            <w:tcW w:w="2664" w:type="dxa"/>
            <w:vAlign w:val="center"/>
          </w:tcPr>
          <w:p w14:paraId="0563D52A"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纱线光滑平整，少量断丝</w:t>
            </w:r>
          </w:p>
        </w:tc>
        <w:tc>
          <w:tcPr>
            <w:tcW w:w="2884" w:type="dxa"/>
            <w:vAlign w:val="center"/>
          </w:tcPr>
          <w:p w14:paraId="10068C39"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纱线毛，断丝严重</w:t>
            </w:r>
          </w:p>
        </w:tc>
      </w:tr>
    </w:tbl>
    <w:p w14:paraId="5920496F">
      <w:pPr>
        <w:numPr>
          <w:ilvl w:val="0"/>
          <w:numId w:val="0"/>
        </w:numPr>
        <w:rPr>
          <w:rFonts w:hint="eastAsia" w:ascii="宋体" w:hAnsi="宋体" w:eastAsia="宋体" w:cs="宋体"/>
          <w:sz w:val="22"/>
          <w:szCs w:val="22"/>
          <w:lang w:val="en-US" w:eastAsia="zh-CN"/>
        </w:rPr>
      </w:pPr>
    </w:p>
    <w:p w14:paraId="5BF5F78D">
      <w:pPr>
        <w:jc w:val="left"/>
        <w:rPr>
          <w:rFonts w:hint="default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三·回烧及单丝测试</w:t>
      </w:r>
    </w:p>
    <w:p w14:paraId="1BEBFFDB">
      <w:pPr>
        <w:numPr>
          <w:ilvl w:val="0"/>
          <w:numId w:val="0"/>
        </w:numPr>
        <w:rPr>
          <w:rFonts w:hint="eastAsia" w:ascii="宋体" w:hAnsi="宋体" w:eastAsia="宋体" w:cs="宋体"/>
          <w:sz w:val="22"/>
          <w:szCs w:val="22"/>
          <w:lang w:val="en-US" w:eastAsia="zh-CN"/>
        </w:rPr>
      </w:pPr>
    </w:p>
    <w:tbl>
      <w:tblPr>
        <w:tblStyle w:val="3"/>
        <w:tblW w:w="923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09"/>
        <w:gridCol w:w="2309"/>
        <w:gridCol w:w="2310"/>
        <w:gridCol w:w="2310"/>
      </w:tblGrid>
      <w:tr w14:paraId="3E2A46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6" w:hRule="atLeast"/>
          <w:jc w:val="center"/>
        </w:trPr>
        <w:tc>
          <w:tcPr>
            <w:tcW w:w="2309" w:type="dxa"/>
          </w:tcPr>
          <w:p w14:paraId="5BF98FA4">
            <w:pPr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类别</w:t>
            </w:r>
          </w:p>
        </w:tc>
        <w:tc>
          <w:tcPr>
            <w:tcW w:w="2309" w:type="dxa"/>
          </w:tcPr>
          <w:p w14:paraId="6299007C">
            <w:pPr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正常纱线</w:t>
            </w:r>
          </w:p>
        </w:tc>
        <w:tc>
          <w:tcPr>
            <w:tcW w:w="2310" w:type="dxa"/>
          </w:tcPr>
          <w:p w14:paraId="20A6FB68">
            <w:pPr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油污部位</w:t>
            </w:r>
          </w:p>
        </w:tc>
        <w:tc>
          <w:tcPr>
            <w:tcW w:w="2310" w:type="dxa"/>
          </w:tcPr>
          <w:p w14:paraId="2B750E0D">
            <w:pPr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锈迹部位</w:t>
            </w:r>
          </w:p>
        </w:tc>
      </w:tr>
      <w:tr w14:paraId="5CFFA4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6" w:hRule="atLeast"/>
          <w:jc w:val="center"/>
        </w:trPr>
        <w:tc>
          <w:tcPr>
            <w:tcW w:w="2309" w:type="dxa"/>
          </w:tcPr>
          <w:p w14:paraId="25134EF1">
            <w:pPr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抗拉强度（Gpa）</w:t>
            </w:r>
          </w:p>
        </w:tc>
        <w:tc>
          <w:tcPr>
            <w:tcW w:w="2309" w:type="dxa"/>
          </w:tcPr>
          <w:p w14:paraId="0BBF2244">
            <w:pPr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2.0-2.6</w:t>
            </w:r>
          </w:p>
        </w:tc>
        <w:tc>
          <w:tcPr>
            <w:tcW w:w="2310" w:type="dxa"/>
          </w:tcPr>
          <w:p w14:paraId="3293D96F">
            <w:pPr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2.01-2.61</w:t>
            </w:r>
          </w:p>
        </w:tc>
        <w:tc>
          <w:tcPr>
            <w:tcW w:w="2310" w:type="dxa"/>
            <w:vMerge w:val="restart"/>
          </w:tcPr>
          <w:p w14:paraId="7C4A6090">
            <w:pPr>
              <w:numPr>
                <w:ilvl w:val="0"/>
                <w:numId w:val="0"/>
              </w:numPr>
              <w:spacing w:line="720" w:lineRule="auto"/>
              <w:jc w:val="center"/>
              <w:rPr>
                <w:rFonts w:hint="default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粉化</w:t>
            </w:r>
          </w:p>
        </w:tc>
      </w:tr>
      <w:tr w14:paraId="678F89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6" w:hRule="atLeast"/>
          <w:jc w:val="center"/>
        </w:trPr>
        <w:tc>
          <w:tcPr>
            <w:tcW w:w="2309" w:type="dxa"/>
          </w:tcPr>
          <w:p w14:paraId="2E84863D">
            <w:pPr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模量（Gpa）</w:t>
            </w:r>
          </w:p>
        </w:tc>
        <w:tc>
          <w:tcPr>
            <w:tcW w:w="2309" w:type="dxa"/>
          </w:tcPr>
          <w:p w14:paraId="7BC71515">
            <w:pPr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310-390</w:t>
            </w:r>
          </w:p>
        </w:tc>
        <w:tc>
          <w:tcPr>
            <w:tcW w:w="2310" w:type="dxa"/>
          </w:tcPr>
          <w:p w14:paraId="465EEAFF">
            <w:pPr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363.3-391,7</w:t>
            </w:r>
          </w:p>
        </w:tc>
        <w:tc>
          <w:tcPr>
            <w:tcW w:w="2310" w:type="dxa"/>
            <w:vMerge w:val="continue"/>
          </w:tcPr>
          <w:p w14:paraId="4AF4F0C6">
            <w:pPr>
              <w:numPr>
                <w:ilvl w:val="0"/>
                <w:numId w:val="0"/>
              </w:numPr>
              <w:spacing w:line="360" w:lineRule="auto"/>
              <w:jc w:val="center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590D33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1" w:hRule="atLeast"/>
          <w:jc w:val="center"/>
        </w:trPr>
        <w:tc>
          <w:tcPr>
            <w:tcW w:w="2309" w:type="dxa"/>
          </w:tcPr>
          <w:p w14:paraId="5404F2E4">
            <w:pPr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束纱强力（cN）</w:t>
            </w:r>
          </w:p>
        </w:tc>
        <w:tc>
          <w:tcPr>
            <w:tcW w:w="2309" w:type="dxa"/>
          </w:tcPr>
          <w:p w14:paraId="38D33FAA">
            <w:pPr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14000</w:t>
            </w:r>
          </w:p>
        </w:tc>
        <w:tc>
          <w:tcPr>
            <w:tcW w:w="2310" w:type="dxa"/>
          </w:tcPr>
          <w:p w14:paraId="5AF708D5">
            <w:pPr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10800</w:t>
            </w:r>
          </w:p>
        </w:tc>
        <w:tc>
          <w:tcPr>
            <w:tcW w:w="2310" w:type="dxa"/>
          </w:tcPr>
          <w:p w14:paraId="20619BEE">
            <w:pPr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锈迹部位断丝</w:t>
            </w:r>
          </w:p>
        </w:tc>
      </w:tr>
    </w:tbl>
    <w:p w14:paraId="45A49523">
      <w:pPr>
        <w:jc w:val="left"/>
        <w:rPr>
          <w:rFonts w:hint="eastAsia"/>
          <w:b/>
          <w:bCs/>
          <w:sz w:val="28"/>
          <w:szCs w:val="36"/>
          <w:lang w:val="en-US" w:eastAsia="zh-CN"/>
        </w:rPr>
      </w:pPr>
    </w:p>
    <w:p w14:paraId="7C71124F">
      <w:pPr>
        <w:jc w:val="left"/>
        <w:rPr>
          <w:rFonts w:hint="default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四·根本原因分析</w:t>
      </w:r>
    </w:p>
    <w:p w14:paraId="2FC55749">
      <w:pPr>
        <w:numPr>
          <w:ilvl w:val="0"/>
          <w:numId w:val="1"/>
        </w:numPr>
        <w:jc w:val="both"/>
        <w:rPr>
          <w:rFonts w:hint="eastAsia" w:ascii="宋体" w:hAnsi="宋体" w:eastAsia="宋体" w:cs="宋体"/>
          <w:sz w:val="22"/>
          <w:szCs w:val="22"/>
          <w:lang w:val="en-US" w:eastAsia="zh-CN"/>
        </w:rPr>
      </w:pPr>
      <w:r>
        <w:rPr>
          <w:rFonts w:hint="eastAsia" w:ascii="宋体" w:hAnsi="宋体" w:eastAsia="宋体" w:cs="宋体"/>
          <w:sz w:val="22"/>
          <w:szCs w:val="22"/>
          <w:lang w:val="en-US" w:eastAsia="zh-CN"/>
        </w:rPr>
        <w:t>生产过程中表面触碰到管式炉或立式烘干炉内部的油污、锈迹。如下图：</w:t>
      </w:r>
    </w:p>
    <w:p w14:paraId="13F4E6A7">
      <w:pPr>
        <w:numPr>
          <w:ilvl w:val="0"/>
          <w:numId w:val="1"/>
        </w:numPr>
        <w:jc w:val="both"/>
        <w:rPr>
          <w:rFonts w:hint="default" w:ascii="宋体" w:hAnsi="宋体" w:eastAsia="宋体" w:cs="宋体"/>
          <w:sz w:val="22"/>
          <w:szCs w:val="22"/>
          <w:lang w:val="en-US" w:eastAsia="zh-CN"/>
        </w:rPr>
      </w:pPr>
      <w:r>
        <w:rPr>
          <w:rFonts w:hint="eastAsia" w:ascii="宋体" w:hAnsi="宋体" w:eastAsia="宋体" w:cs="宋体"/>
          <w:sz w:val="22"/>
          <w:szCs w:val="22"/>
          <w:lang w:val="en-US" w:eastAsia="zh-CN"/>
        </w:rPr>
        <w:t>收卷过程中人员未发现颜色异常</w:t>
      </w:r>
    </w:p>
    <w:p w14:paraId="403A9DE6">
      <w:pPr>
        <w:numPr>
          <w:ilvl w:val="0"/>
          <w:numId w:val="0"/>
        </w:numPr>
        <w:jc w:val="both"/>
        <w:rPr>
          <w:rFonts w:hint="default" w:ascii="宋体" w:hAnsi="宋体" w:eastAsia="宋体" w:cs="宋体"/>
          <w:sz w:val="22"/>
          <w:szCs w:val="22"/>
          <w:lang w:val="en-US" w:eastAsia="zh-CN"/>
        </w:rPr>
      </w:pPr>
    </w:p>
    <w:tbl>
      <w:tblPr>
        <w:tblStyle w:val="3"/>
        <w:tblW w:w="853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47"/>
        <w:gridCol w:w="4192"/>
      </w:tblGrid>
      <w:tr w14:paraId="51B161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4" w:hRule="atLeast"/>
        </w:trPr>
        <w:tc>
          <w:tcPr>
            <w:tcW w:w="4347" w:type="dxa"/>
          </w:tcPr>
          <w:p w14:paraId="5EECFF10">
            <w:pPr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立式烘干炉内部触碰到油污、锈迹</w:t>
            </w:r>
          </w:p>
        </w:tc>
        <w:tc>
          <w:tcPr>
            <w:tcW w:w="4192" w:type="dxa"/>
          </w:tcPr>
          <w:p w14:paraId="06F0C424">
            <w:pPr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管式炉内部触碰到油污、锈迹</w:t>
            </w:r>
          </w:p>
        </w:tc>
      </w:tr>
      <w:tr w14:paraId="3E445E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97" w:hRule="atLeast"/>
        </w:trPr>
        <w:tc>
          <w:tcPr>
            <w:tcW w:w="4347" w:type="dxa"/>
          </w:tcPr>
          <w:p w14:paraId="250861F5">
            <w:pPr>
              <w:numPr>
                <w:ilvl w:val="0"/>
                <w:numId w:val="0"/>
              </w:numPr>
              <w:jc w:val="both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drawing>
                <wp:inline distT="0" distB="0" distL="114300" distR="114300">
                  <wp:extent cx="1393190" cy="2453005"/>
                  <wp:effectExtent l="0" t="0" r="635" b="8890"/>
                  <wp:docPr id="6" name="图片 11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11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 rot="5400000">
                            <a:off x="0" y="0"/>
                            <a:ext cx="1393190" cy="24530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92" w:type="dxa"/>
          </w:tcPr>
          <w:p w14:paraId="0BF86E65">
            <w:pPr>
              <w:numPr>
                <w:ilvl w:val="0"/>
                <w:numId w:val="0"/>
              </w:numPr>
              <w:jc w:val="both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drawing>
                <wp:inline distT="0" distB="0" distL="114300" distR="114300">
                  <wp:extent cx="2350770" cy="1411605"/>
                  <wp:effectExtent l="0" t="0" r="11430" b="5715"/>
                  <wp:docPr id="7" name="图片 10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10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50770" cy="14116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B61B149">
      <w:pPr>
        <w:numPr>
          <w:ilvl w:val="0"/>
          <w:numId w:val="0"/>
        </w:numPr>
        <w:jc w:val="both"/>
        <w:rPr>
          <w:rFonts w:hint="default" w:ascii="宋体" w:hAnsi="宋体" w:eastAsia="宋体" w:cs="宋体"/>
          <w:sz w:val="22"/>
          <w:szCs w:val="22"/>
          <w:lang w:val="en-US" w:eastAsia="zh-CN"/>
        </w:rPr>
      </w:pPr>
    </w:p>
    <w:p w14:paraId="5298A6E5">
      <w:pPr>
        <w:numPr>
          <w:ilvl w:val="0"/>
          <w:numId w:val="0"/>
        </w:numPr>
        <w:rPr>
          <w:rFonts w:hint="eastAsia"/>
          <w:b/>
          <w:bCs/>
          <w:sz w:val="28"/>
          <w:szCs w:val="36"/>
          <w:lang w:val="en-US" w:eastAsia="zh-CN"/>
        </w:rPr>
      </w:pPr>
    </w:p>
    <w:p w14:paraId="23E093DD">
      <w:pPr>
        <w:numPr>
          <w:ilvl w:val="0"/>
          <w:numId w:val="0"/>
        </w:numPr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五·结论：</w:t>
      </w:r>
    </w:p>
    <w:p w14:paraId="1CF50308">
      <w:pPr>
        <w:numPr>
          <w:ilvl w:val="0"/>
          <w:numId w:val="2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客诉颜色异常部位，包含油污和锈迹；</w:t>
      </w:r>
    </w:p>
    <w:p w14:paraId="75A53274">
      <w:pPr>
        <w:numPr>
          <w:ilvl w:val="0"/>
          <w:numId w:val="2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高温回烧处理后，纱线状态毛、散，油污部分检测性能无明显变化，锈迹部分边缘粉化；</w:t>
      </w:r>
    </w:p>
    <w:p w14:paraId="590D2C0E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7DD8FC25">
      <w:pPr>
        <w:numPr>
          <w:ilvl w:val="0"/>
          <w:numId w:val="0"/>
        </w:numPr>
        <w:rPr>
          <w:rFonts w:hint="default"/>
          <w:b/>
          <w:bCs/>
          <w:sz w:val="18"/>
          <w:szCs w:val="18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六·事件跟踪处理</w:t>
      </w:r>
    </w:p>
    <w:p w14:paraId="054FCC46">
      <w:pPr>
        <w:numPr>
          <w:ilvl w:val="0"/>
          <w:numId w:val="3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优化设备材质，增加设备保养维护频次，对生锈部位进行清理、整改；</w:t>
      </w:r>
    </w:p>
    <w:p w14:paraId="18D60CF5">
      <w:pPr>
        <w:numPr>
          <w:ilvl w:val="0"/>
          <w:numId w:val="3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更新SOP，对收卷过程中产品外观自检进行定义，并对收卷人员进行不定期培训，提高人员技能；</w:t>
      </w:r>
    </w:p>
    <w:p w14:paraId="2D958269">
      <w:pPr>
        <w:numPr>
          <w:ilvl w:val="0"/>
          <w:numId w:val="3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沟通协调客诉解决方案。</w:t>
      </w:r>
    </w:p>
    <w:p w14:paraId="1FBB038A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0A4B6338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AE1836B"/>
    <w:multiLevelType w:val="singleLevel"/>
    <w:tmpl w:val="8AE1836B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95703138"/>
    <w:multiLevelType w:val="singleLevel"/>
    <w:tmpl w:val="95703138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BD46A391"/>
    <w:multiLevelType w:val="singleLevel"/>
    <w:tmpl w:val="BD46A391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9866978"/>
    <w:rsid w:val="0A0E5A62"/>
    <w:rsid w:val="0AB05EE0"/>
    <w:rsid w:val="0C1F4ACE"/>
    <w:rsid w:val="0D2C4E0B"/>
    <w:rsid w:val="146D3C2F"/>
    <w:rsid w:val="2DC35693"/>
    <w:rsid w:val="30E12319"/>
    <w:rsid w:val="353C5579"/>
    <w:rsid w:val="35C10BB4"/>
    <w:rsid w:val="4B7D6ED4"/>
    <w:rsid w:val="4FF26865"/>
    <w:rsid w:val="561B217E"/>
    <w:rsid w:val="56FC33A3"/>
    <w:rsid w:val="5E2748C7"/>
    <w:rsid w:val="62DB63D4"/>
    <w:rsid w:val="69FC398E"/>
    <w:rsid w:val="6B4E0F7B"/>
    <w:rsid w:val="6B7649DD"/>
    <w:rsid w:val="74035919"/>
    <w:rsid w:val="785C38C8"/>
    <w:rsid w:val="7F4F77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466</Words>
  <Characters>542</Characters>
  <Lines>0</Lines>
  <Paragraphs>0</Paragraphs>
  <TotalTime>89</TotalTime>
  <ScaleCrop>false</ScaleCrop>
  <LinksUpToDate>false</LinksUpToDate>
  <CharactersWithSpaces>543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2025-12-08T02:47:00Z</dcterms:created>
  <dc:creator>DELL</dc:creator>
  <cp:lastModifiedBy>AZ</cp:lastModifiedBy>
  <dcterms:modified xsi:type="dcterms:W3CDTF">2025-12-26T04:51:32Z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eyJoZGlkIjoiYmJkYTMxNDUyMDZlYjhkZGYzN2Y4MTQxZGJiNzBhYWQiLCJ1c2VySWQiOiIxMTI4OTg1NzE1In0=</vt:lpwstr>
  </property>
  <property fmtid="{D5CDD505-2E9C-101B-9397-08002B2CF9AE}" pid="4" name="ICV">
    <vt:lpwstr>260E8EF37DF74F37A8251C49FD5CCA9A_12</vt:lpwstr>
  </property>
</Properties>
</file>