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CodeTrack 模型复现说明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color w:val="595959"/>
          <w:sz w:val="22"/>
        </w:rPr>
        <w:t>面向作品代码材料提交与技术验收</w:t>
      </w:r>
    </w:p>
    <w:p>
      <w:r>
        <w:rPr>
          <w:b/>
        </w:rPr>
        <w:t>说明：</w:t>
      </w:r>
      <w:r>
        <w:t>本说明依据当前 CodeTrack 项目源码、部署配置、模型接入代码和已提供的 GGUF 文件整理。现阶段可以复现应用层的模型接入、课程知识库增强、受控输出和规则兜底链路；由于未随材料提供模型训练数据和训练过程记录，不能据此复现模型训练过程。</w:t>
      </w:r>
    </w:p>
    <w:p>
      <w:pPr>
        <w:pStyle w:val="Heading1"/>
      </w:pPr>
      <w:r>
        <w:t>一 材料现状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1944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材料项</w:t>
            </w:r>
          </w:p>
        </w:tc>
        <w:tc>
          <w:tcPr>
            <w:tcW w:type="dxa" w:w="4968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当前情况</w:t>
            </w:r>
          </w:p>
        </w:tc>
        <w:tc>
          <w:tcPr>
            <w:tcW w:type="dxa" w:w="2232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是否可直接复现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模型文件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已提供 codetrack-q4_k_m.gguf，文件头为 GGUF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可以归档并供模型服务加载</w:t>
            </w:r>
          </w:p>
        </w:tc>
      </w:tr>
      <w:tr>
        <w:tc>
          <w:tcPr>
            <w:tcW w:type="dxa" w:w="194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作品源码</w:t>
            </w:r>
          </w:p>
        </w:tc>
        <w:tc>
          <w:tcPr>
            <w:tcW w:type="dxa" w:w="4968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工作区包含 backend、teacher_backend、frontend、sandbox、tests 和 deploy</w:t>
            </w:r>
          </w:p>
        </w:tc>
        <w:tc>
          <w:tcPr>
            <w:tcW w:type="dxa" w:w="223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可以复现应用工程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 ServiceID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当前未提供在线服务地址或 ServiceID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暂不能直接进行在线模型验收</w:t>
            </w:r>
          </w:p>
        </w:tc>
      </w:tr>
      <w:tr>
        <w:tc>
          <w:tcPr>
            <w:tcW w:type="dxa" w:w="194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微调数据</w:t>
            </w:r>
          </w:p>
        </w:tc>
        <w:tc>
          <w:tcPr>
            <w:tcW w:type="dxa" w:w="4968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当前未发现数据集、字段说明、清洗脚本或授权说明</w:t>
            </w:r>
          </w:p>
        </w:tc>
        <w:tc>
          <w:tcPr>
            <w:tcW w:type="dxa" w:w="223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不能复现训练数据处理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训练过程</w:t>
            </w:r>
          </w:p>
        </w:tc>
        <w:tc>
          <w:tcPr>
            <w:tcW w:type="dxa" w:w="4968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当前未发现训练脚本、超参数、日志、中间检查点或评测集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不能复现模型训练过程</w:t>
            </w:r>
          </w:p>
        </w:tc>
      </w:tr>
    </w:tbl>
    <w:p>
      <w:pPr>
        <w:spacing w:after="40"/>
      </w:pPr>
    </w:p>
    <w:p>
      <w:pPr>
        <w:pStyle w:val="Heading1"/>
      </w:pPr>
      <w:r>
        <w:t>二 模型文件信息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1944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7200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文件名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codetrack-q4_k_m.gguf</w:t>
            </w:r>
          </w:p>
        </w:tc>
      </w:tr>
      <w:tr>
        <w:tc>
          <w:tcPr>
            <w:tcW w:type="dxa" w:w="194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类型</w:t>
            </w:r>
          </w:p>
        </w:tc>
        <w:tc>
          <w:tcPr>
            <w:tcW w:type="dxa" w:w="7200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GGUF 本地模型文件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大小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1,929,902,528 字节，约 1.80 GiB</w:t>
            </w:r>
          </w:p>
        </w:tc>
      </w:tr>
      <w:tr>
        <w:tc>
          <w:tcPr>
            <w:tcW w:type="dxa" w:w="1944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SHA-256</w:t>
            </w:r>
          </w:p>
        </w:tc>
        <w:tc>
          <w:tcPr>
            <w:tcW w:type="dxa" w:w="7200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488E0503BEAA52A591CB400838A74CA111DC35F4FDC7466531236779B2E5AB18</w:t>
            </w:r>
          </w:p>
        </w:tc>
      </w:tr>
      <w:tr>
        <w:tc>
          <w:tcPr>
            <w:tcW w:type="dxa" w:w="1944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归档目录</w:t>
            </w:r>
          </w:p>
        </w:tc>
        <w:tc>
          <w:tcPr>
            <w:tcW w:type="dxa" w:w="7200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02_模型文件或模型ServiceID</w:t>
            </w:r>
          </w:p>
        </w:tc>
      </w:tr>
    </w:tbl>
    <w:p>
      <w:pPr>
        <w:spacing w:after="40"/>
      </w:pPr>
    </w:p>
    <w:p>
      <w:r>
        <w:rPr>
          <w:b/>
        </w:rPr>
        <w:t>文件命名说明：</w:t>
      </w:r>
      <w:r>
        <w:t>文件名中的 q4_k_m 表示采用了 4-bit K-M 量化命名约定。仅凭文件名不能证明模型的训练来源、微调数据或最终效果，相关结论需要后续补充训练和评测材料。</w:t>
      </w:r>
    </w:p>
    <w:p>
      <w:pPr>
        <w:pStyle w:val="Heading1"/>
      </w:pPr>
      <w:r>
        <w:t>三 应用层复现链路</w:t>
      </w:r>
    </w:p>
    <w:p>
      <w:r>
        <w:rPr>
          <w:b/>
        </w:rPr>
        <w:t>CodeTrack 的模型调用位于一个受控的应用链路中：</w:t>
      </w:r>
      <w:r>
        <w:t>学生提交代码后，系统先获得沙箱编译和测试事实，再将任务上下文、失败测试证据和课程知识源交给模型层。</w:t>
      </w:r>
    </w:p>
    <w:p>
      <w:pPr>
        <w:spacing w:before="60" w:after="160" w:line="240" w:lineRule="auto"/>
        <w:ind w:left="360" w:right="360"/>
      </w:pPr>
      <w:r>
        <w:rPr>
          <w:rFonts w:ascii="Consolas" w:hAnsi="Consolas" w:eastAsia="Microsoft YaHei"/>
          <w:sz w:val="18"/>
        </w:rPr>
        <w:t>学生提交 -&gt; 沙箱编译与测试 -&gt; 构造诊断 payload -&gt; 模型网关或兼容接口 -&gt; 输出校验 -&gt; AI 诊断或规则兜底</w:t>
      </w:r>
    </w:p>
    <w:p>
      <w:pPr>
        <w:pStyle w:val="ListBullet"/>
        <w:spacing w:after="60" w:line="276" w:lineRule="auto"/>
      </w:pPr>
      <w:r>
        <w:t>任务上下文包括课程、任务、语言、接口规范和学习目标。</w:t>
      </w:r>
    </w:p>
    <w:p>
      <w:pPr>
        <w:pStyle w:val="ListBullet"/>
        <w:spacing w:after="60" w:line="276" w:lineRule="auto"/>
      </w:pPr>
      <w:r>
        <w:t>工具证据包括测试用例、期望结果摘要、实际输出和错误标签。</w:t>
      </w:r>
    </w:p>
    <w:p>
      <w:pPr>
        <w:pStyle w:val="ListBullet"/>
        <w:spacing w:after="60" w:line="276" w:lineRule="auto"/>
      </w:pPr>
      <w:r>
        <w:t>知识源引用必须来自允许的课程知识源，不能由模型自行编造 ID。</w:t>
      </w:r>
    </w:p>
    <w:p>
      <w:pPr>
        <w:pStyle w:val="ListBullet"/>
        <w:spacing w:after="60" w:line="276" w:lineRule="auto"/>
      </w:pPr>
      <w:r>
        <w:t>输出需经过 Schema、引用、置信度和提示泄漏校验；失败时回退到规则诊断。</w:t>
      </w:r>
    </w:p>
    <w:p>
      <w:pPr>
        <w:pStyle w:val="Heading1"/>
      </w:pPr>
      <w:r>
        <w:t>四 模型接入方式</w:t>
      </w:r>
    </w:p>
    <w:p>
      <w:pPr>
        <w:spacing w:after="80" w:line="276" w:lineRule="auto"/>
      </w:pPr>
      <w:r>
        <w:t>1. 准备模型服务。使用兼容 GGUF 的推理服务加载 codetrack-q4_k_m.gguf，并将模型文件挂载到服务容器的 /models 目录。</w:t>
      </w:r>
    </w:p>
    <w:p>
      <w:pPr>
        <w:spacing w:after="80" w:line="276" w:lineRule="auto"/>
      </w:pPr>
      <w:r>
        <w:t>2. 对外提供 OpenAI 兼容的 /v1/chat/completions 接口，或实现 CodeTrack 内部诊断网关约定的 JSON 接口。</w:t>
      </w:r>
    </w:p>
    <w:p>
      <w:pPr>
        <w:spacing w:after="80" w:line="276" w:lineRule="auto"/>
      </w:pPr>
      <w:r>
        <w:t>3. 在 CodeTrack 后端配置模型服务地址、模型名称和访问密钥。密钥只放在部署环境变量中，不写入提交材料。</w:t>
      </w:r>
    </w:p>
    <w:p>
      <w:pPr>
        <w:spacing w:after="80" w:line="276" w:lineRule="auto"/>
      </w:pPr>
      <w:r>
        <w:t>4. 初始化演示数据并执行登录、任务提交、测试、诊断和知识源引用验证。</w:t>
      </w:r>
    </w:p>
    <w:p>
      <w:r>
        <w:rPr>
          <w:b/>
        </w:rPr>
        <w:t>配置入口：</w:t>
      </w:r>
      <w:r>
        <w:t>.env.example、backend/app/core/config.py、backend/app/services/model_gateway.py 和 deploy/docker-compose.yml。</w:t>
      </w:r>
    </w:p>
    <w:p>
      <w:pPr>
        <w:spacing w:before="60" w:after="160" w:line="240" w:lineRule="auto"/>
        <w:ind w:left="360" w:right="360"/>
      </w:pPr>
      <w:r>
        <w:rPr>
          <w:rFonts w:ascii="Consolas" w:hAnsi="Consolas" w:eastAsia="Microsoft YaHei"/>
          <w:sz w:val="18"/>
        </w:rPr>
        <w:t>CODETRACK_MODEL_GATEWAY_URL=&lt;内部诊断网关地址&gt;</w:t>
        <w:br/>
        <w:t>CODETRACK_MODEL_API_BASE_URL=&lt;OpenAI兼容服务地址&gt;</w:t>
        <w:br/>
        <w:t>CODETRACK_MODEL_NAME=&lt;服务端模型名称&gt;</w:t>
        <w:br/>
        <w:t>CODETRACK_FINE_TUNED_MODEL_NAME=/models/codetrack-q4_k_m.gguf</w:t>
      </w:r>
    </w:p>
    <w:p>
      <w:r>
        <w:rPr>
          <w:b/>
        </w:rPr>
        <w:t>注意：</w:t>
      </w:r>
      <w:r>
        <w:t>上述配置项是接入协议，不是当前已经部署的服务地址。当前材料没有可填写的模型 ServiceID。</w:t>
      </w:r>
    </w:p>
    <w:p>
      <w:pPr>
        <w:pStyle w:val="Heading1"/>
      </w:pPr>
      <w:r>
        <w:t>五 当前可执行的复现步骤</w:t>
      </w:r>
    </w:p>
    <w:p>
      <w:pPr>
        <w:spacing w:after="80" w:line="276" w:lineRule="auto"/>
      </w:pPr>
      <w:r>
        <w:t>1. 进入作品源码目录 D:\shy\CodeTrack。</w:t>
      </w:r>
    </w:p>
    <w:p>
      <w:pPr>
        <w:spacing w:after="80" w:line="276" w:lineRule="auto"/>
      </w:pPr>
      <w:r>
        <w:t>2. 准备 Python 和 Node.js 运行环境，安装项目依赖。</w:t>
      </w:r>
    </w:p>
    <w:p>
      <w:pPr>
        <w:spacing w:after="80" w:line="276" w:lineRule="auto"/>
      </w:pPr>
      <w:r>
        <w:t>3. 复制 .env.example 为部署环境配置文件；模型服务未准备好时，模型配置可以暂留空。</w:t>
      </w:r>
    </w:p>
    <w:p>
      <w:pPr>
        <w:spacing w:after="80" w:line="276" w:lineRule="auto"/>
      </w:pPr>
      <w:r>
        <w:t>4. 执行 python scripts/seed_demo.py，准备课程、任务、知识点、学生学习记录和教师端演示数据。</w:t>
      </w:r>
    </w:p>
    <w:p>
      <w:pPr>
        <w:spacing w:after="80" w:line="276" w:lineRule="auto"/>
      </w:pPr>
      <w:r>
        <w:t>5. 启动后端和前端，在学生端使用王同学演示已有学习数据；在教师端使用王老师演示已有教学数据。</w:t>
      </w:r>
    </w:p>
    <w:p>
      <w:pPr>
        <w:spacing w:after="80" w:line="276" w:lineRule="auto"/>
      </w:pPr>
      <w:r>
        <w:t>6. 模型服务可用后，使用失败代码提交触发诊断，检查模型输出中的错因、置信度、测试证据和课程知识源引用。</w:t>
      </w:r>
    </w:p>
    <w:p>
      <w:pPr>
        <w:spacing w:after="80" w:line="276" w:lineRule="auto"/>
      </w:pPr>
      <w:r>
        <w:t>7. 模型服务不可用时，检查规则兜底结果是否仍引用真实测试结果和课程知识源，并标记为 RULE_FALLBACK。</w:t>
      </w:r>
    </w:p>
    <w:p>
      <w:pPr>
        <w:pStyle w:val="Heading1"/>
      </w:pPr>
      <w:r>
        <w:t>六 验收关注点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2232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验收环节</w:t>
            </w:r>
          </w:p>
        </w:tc>
        <w:tc>
          <w:tcPr>
            <w:tcW w:type="dxa" w:w="6912"/>
            <w:vAlign w:val="center"/>
            <w:shd w:fill="1F4E7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应看到的结果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模型文件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文件可被模型服务读取，SHA-256 与材料记录一致</w:t>
            </w:r>
          </w:p>
        </w:tc>
      </w:tr>
      <w:tr>
        <w:tc>
          <w:tcPr>
            <w:tcW w:type="dxa" w:w="223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接口调用</w:t>
            </w:r>
          </w:p>
        </w:tc>
        <w:tc>
          <w:tcPr>
            <w:tcW w:type="dxa" w:w="691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模型服务返回 JSON，CodeTrack 后端可以接收并解析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输出约束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诊断类型、置信度、证据引用和知识源引用通过校验</w:t>
            </w:r>
          </w:p>
        </w:tc>
      </w:tr>
      <w:tr>
        <w:tc>
          <w:tcPr>
            <w:tcW w:type="dxa" w:w="223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知识增强</w:t>
            </w:r>
          </w:p>
        </w:tc>
        <w:tc>
          <w:tcPr>
            <w:tcW w:type="dxa" w:w="691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回答或诊断能引用当前课程允许的知识源</w:t>
            </w:r>
          </w:p>
        </w:tc>
      </w:tr>
      <w:tr>
        <w:tc>
          <w:tcPr>
            <w:tcW w:type="dxa" w:w="223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失败降级</w:t>
            </w:r>
          </w:p>
        </w:tc>
        <w:tc>
          <w:tcPr>
            <w:tcW w:type="dxa" w:w="6912"/>
            <w:vAlign w:val="center"/>
            <w:shd w:fill="FFFFFF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模型不可用或输出不合格时，使用规则兜底且不覆盖测试事实</w:t>
            </w:r>
          </w:p>
        </w:tc>
      </w:tr>
      <w:tr>
        <w:tc>
          <w:tcPr>
            <w:tcW w:type="dxa" w:w="223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应用闭环</w:t>
            </w:r>
          </w:p>
        </w:tc>
        <w:tc>
          <w:tcPr>
            <w:tcW w:type="dxa" w:w="6912"/>
            <w:vAlign w:val="center"/>
            <w:shd w:fill="F3F6F9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</w:tcPr>
          <w:p>
            <w:pPr>
              <w:spacing w:after="40" w:line="276" w:lineRule="auto"/>
            </w:pPr>
            <w:r/>
            <w:r>
              <w:rPr>
                <w:rFonts w:ascii="Microsoft YaHei" w:hAnsi="Microsoft YaHei" w:eastAsia="Microsoft YaHei"/>
                <w:b w:val="0"/>
                <w:color w:val="000000"/>
                <w:sz w:val="18"/>
              </w:rPr>
              <w:t>提交、诊断、提示、总结、画像、资料和推荐链路可继续运行</w:t>
            </w:r>
          </w:p>
        </w:tc>
      </w:tr>
    </w:tbl>
    <w:p>
      <w:pPr>
        <w:spacing w:after="40"/>
      </w:pPr>
    </w:p>
    <w:p>
      <w:pPr>
        <w:pStyle w:val="Heading1"/>
      </w:pPr>
      <w:r>
        <w:t>七 待补充材料</w:t>
      </w:r>
    </w:p>
    <w:p>
      <w:r>
        <w:rPr>
          <w:b/>
        </w:rPr>
        <w:t>为完成模型训练过程复现和完整模型验收，后续建议补充：</w:t>
      </w:r>
    </w:p>
    <w:p>
      <w:pPr>
        <w:pStyle w:val="ListBullet"/>
        <w:spacing w:after="60" w:line="276" w:lineRule="auto"/>
      </w:pPr>
      <w:r>
        <w:t>微调数据集或可核验的数据清单，包括来源、授权范围、脱敏方式和版本号。</w:t>
      </w:r>
    </w:p>
    <w:p>
      <w:pPr>
        <w:pStyle w:val="ListBullet"/>
        <w:spacing w:after="60" w:line="276" w:lineRule="auto"/>
      </w:pPr>
      <w:r>
        <w:t>数据清洗、格式转换、训练集与验证集划分脚本。</w:t>
      </w:r>
    </w:p>
    <w:p>
      <w:pPr>
        <w:pStyle w:val="ListBullet"/>
        <w:spacing w:after="60" w:line="276" w:lineRule="auto"/>
      </w:pPr>
      <w:r>
        <w:t>基础模型名称和版本、训练框架、量化方式、训练超参数、硬件环境和训练日志。</w:t>
      </w:r>
    </w:p>
    <w:p>
      <w:pPr>
        <w:pStyle w:val="ListBullet"/>
        <w:spacing w:after="60" w:line="276" w:lineRule="auto"/>
      </w:pPr>
      <w:r>
        <w:t>模型服务启动命令、镜像或依赖清单、健康检查地址和在线 ServiceID。</w:t>
      </w:r>
    </w:p>
    <w:p>
      <w:pPr>
        <w:pStyle w:val="ListBullet"/>
        <w:spacing w:after="60" w:line="276" w:lineRule="auto"/>
      </w:pPr>
      <w:r>
        <w:t>独立评测集、评价指标、基线模型和对比实验结果。</w:t>
      </w:r>
    </w:p>
    <w:p>
      <w:pPr>
        <w:pStyle w:val="ListBullet"/>
        <w:spacing w:after="60" w:line="276" w:lineRule="auto"/>
      </w:pPr>
      <w:r>
        <w:t>至少一组可脱敏的输入、模型原始输出、校验结果和最终页面展示结果。</w:t>
      </w:r>
    </w:p>
    <w:p>
      <w:pPr>
        <w:pStyle w:val="Heading1"/>
      </w:pPr>
      <w:r>
        <w:t>八 结论</w:t>
      </w:r>
    </w:p>
    <w:p>
      <w:r>
        <w:t>当前材料足以说明 CodeTrack 的应用层模型接入方案，并能够归档一个可供模型服务加载的 GGUF 文件。项目可以在没有在线模型服务时通过规则兜底完成基础演示；接入模型服务后，可进一步验收模型诊断和课程知识库引用。模型训练过程、微调数据和在线服务地址不在当前已提供材料中，待补齐后再更新本说明。</w:t>
      </w:r>
    </w:p>
    <w:sectPr w:rsidR="00FC693F" w:rsidRPr="0006063C" w:rsidSect="00034616">
      <w:footerReference w:type="default" r:id="rId9"/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08080"/>
        <w:sz w:val="16"/>
      </w:rPr>
      <w:t>CodeTrack 作品代码材料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