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color w:val="000000"/>
          <w:sz w:val="44"/>
        </w:rPr>
        <w:t>CodeTrack 学生端与教师端快速上手引导</w:t>
      </w:r>
    </w:p>
    <w:p>
      <w:pPr>
        <w:spacing w:after="240"/>
        <w:jc w:val="center"/>
      </w:pPr>
      <w:r>
        <w:rPr>
          <w:rFonts w:ascii="Microsoft YaHei" w:hAnsi="Microsoft YaHei" w:eastAsia="Microsoft YaHei"/>
          <w:b w:val="0"/>
          <w:color w:val="475569"/>
          <w:sz w:val="22"/>
        </w:rPr>
        <w:t>面向人工智能专业助学平台的用户入口说明与核心流程指南</w:t>
      </w:r>
    </w:p>
    <w:p>
      <w:pPr>
        <w:spacing w:after="140" w:line="283" w:lineRule="auto"/>
      </w:pPr>
      <w:r>
        <w:rPr>
          <w:rFonts w:ascii="Microsoft YaHei" w:hAnsi="Microsoft YaHei" w:eastAsia="Microsoft YaHei"/>
          <w:b w:val="0"/>
          <w:color w:val="0F172A"/>
          <w:sz w:val="21"/>
        </w:rPr>
        <w:t>本文档面向第一次接触 CodeTrack 的学生、教师、评审和项目申报材料阅读者。它的目标不是解释所有后台实现，而是把平台中最容易迷路的入口、页面关系和高频操作串成可直接照着走的路线。</w:t>
      </w:r>
    </w:p>
    <w:p>
      <w:pPr>
        <w:spacing w:after="140" w:line="283" w:lineRule="auto"/>
      </w:pPr>
      <w:r>
        <w:rPr>
          <w:rFonts w:ascii="Microsoft YaHei" w:hAnsi="Microsoft YaHei" w:eastAsia="Microsoft YaHei"/>
          <w:b w:val="0"/>
          <w:color w:val="0F172A"/>
          <w:sz w:val="21"/>
        </w:rPr>
        <w:t>CodeTrack 当前定位为面向人工智能专业建设的学科垂直大模型与创新助学应用。学生端围绕课程任务、自主学习、AI 助学、学习资料沉淀和学习画像更新形成闭环；教师端围绕课程建设、任务发布、智能批改、学情诊断和教学改进提供支撑。</w:t>
      </w:r>
    </w:p>
    <w:p>
      <w:pPr>
        <w:pStyle w:val="Heading1"/>
        <w:spacing w:before="320" w:after="120"/>
      </w:pPr>
      <w:r>
        <w:rPr>
          <w:rFonts w:ascii="Microsoft YaHei" w:hAnsi="Microsoft YaHei" w:eastAsia="Microsoft YaHei"/>
          <w:b/>
          <w:color w:val="000000"/>
          <w:sz w:val="32"/>
        </w:rPr>
        <w:t>一 先从共同入口开始</w:t>
      </w:r>
    </w:p>
    <w:p>
      <w:pPr>
        <w:spacing w:after="140" w:line="283" w:lineRule="auto"/>
      </w:pPr>
      <w:r>
        <w:rPr>
          <w:rFonts w:ascii="Microsoft YaHei" w:hAnsi="Microsoft YaHei" w:eastAsia="Microsoft YaHei"/>
          <w:b w:val="0"/>
          <w:color w:val="0F172A"/>
          <w:sz w:val="21"/>
        </w:rPr>
        <w:t>打开平台后先进入登录页。演示环境可直接使用登录页下方的演示账号，登录后系统会根据角色自动进入学生端或教师端。</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296"/>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角色</w:t>
            </w:r>
          </w:p>
        </w:tc>
        <w:tc>
          <w:tcPr>
            <w:tcW w:type="dxa" w:w="244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演示账号</w:t>
            </w:r>
          </w:p>
        </w:tc>
        <w:tc>
          <w:tcPr>
            <w:tcW w:type="dxa" w:w="180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默认密码</w:t>
            </w:r>
          </w:p>
        </w:tc>
        <w:tc>
          <w:tcPr>
            <w:tcW w:type="dxa" w:w="331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登录后去向</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学生</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wang / 王同学</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codetrack123</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学生端服务入口</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学生</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liu / 刘同学</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codetrack123</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学生端服务入口</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教师</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teacher_wang / 王老师</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codetrack123</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教师端入口或教师工作台</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教师</w:t>
            </w:r>
          </w:p>
        </w:tc>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teacher_li / 李老师</w:t>
            </w:r>
          </w:p>
        </w:tc>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codetrack123</w:t>
            </w:r>
          </w:p>
        </w:tc>
        <w:tc>
          <w:tcPr>
            <w:tcW w:type="dxa" w:w="331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教师端入口或教师工作台</w:t>
            </w:r>
          </w:p>
        </w:tc>
      </w:tr>
    </w:tbl>
    <w:p>
      <w:pPr>
        <w:spacing w:after="40"/>
      </w:pPr>
    </w:p>
    <w:p>
      <w:pPr>
        <w:keepNext/>
        <w:jc w:val="center"/>
      </w:pPr>
      <w:r>
        <w:drawing>
          <wp:inline xmlns:a="http://schemas.openxmlformats.org/drawingml/2006/main" xmlns:pic="http://schemas.openxmlformats.org/drawingml/2006/picture">
            <wp:extent cx="5989320" cy="3992880"/>
            <wp:docPr id="1" name="Picture 1"/>
            <wp:cNvGraphicFramePr>
              <a:graphicFrameLocks noChangeAspect="1"/>
            </wp:cNvGraphicFramePr>
            <a:graphic>
              <a:graphicData uri="http://schemas.openxmlformats.org/drawingml/2006/picture">
                <pic:pic>
                  <pic:nvPicPr>
                    <pic:cNvPr id="0" name="common-00-login.png"/>
                    <pic:cNvPicPr/>
                  </pic:nvPicPr>
                  <pic:blipFill>
                    <a:blip r:embed="rId9"/>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 统一登录入口和演示账号位置</w:t>
      </w:r>
    </w:p>
    <w:p>
      <w:pPr>
        <w:pStyle w:val="Heading1"/>
        <w:spacing w:before="320" w:after="120"/>
      </w:pPr>
      <w:r>
        <w:rPr>
          <w:rFonts w:ascii="Microsoft YaHei" w:hAnsi="Microsoft YaHei" w:eastAsia="Microsoft YaHei"/>
          <w:b/>
          <w:color w:val="000000"/>
          <w:sz w:val="32"/>
        </w:rPr>
        <w:t>二 学生端入口地图</w:t>
      </w:r>
    </w:p>
    <w:p>
      <w:pPr>
        <w:spacing w:after="140" w:line="283" w:lineRule="auto"/>
      </w:pPr>
      <w:r>
        <w:rPr>
          <w:rFonts w:ascii="Microsoft YaHei" w:hAnsi="Microsoft YaHei" w:eastAsia="Microsoft YaHei"/>
          <w:b w:val="0"/>
          <w:color w:val="0F172A"/>
          <w:sz w:val="21"/>
        </w:rPr>
        <w:t>学生端第一屏不是复杂后台，而是三个服务入口。首次使用时优先选择“我的课程”，进入已加入课程和教师下发任务；遇到知识点薄弱或想主动学习时进入“自主学习”；科研项目实践是拓展入口，项目申报演示中可作为能力延展说明。</w:t>
      </w:r>
    </w:p>
    <w:tbl>
      <w:tblPr>
        <w:tblStyle w:val="TableGrid"/>
        <w:tblW w:type="auto" w:w="0"/>
        <w:jc w:val="center"/>
        <w:tblLook w:firstColumn="1" w:firstRow="1" w:lastColumn="0" w:lastRow="0" w:noHBand="0" w:noVBand="1" w:val="04A0"/>
      </w:tblPr>
      <w:tblGrid>
        <w:gridCol w:w="3419"/>
        <w:gridCol w:w="3419"/>
        <w:gridCol w:w="3419"/>
      </w:tblGrid>
      <w:tr>
        <w:tc>
          <w:tcPr>
            <w:tcW w:type="dxa" w:w="180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入口</w:t>
            </w:r>
          </w:p>
        </w:tc>
        <w:tc>
          <w:tcPr>
            <w:tcW w:type="dxa" w:w="324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什么时候点</w:t>
            </w:r>
          </w:p>
        </w:tc>
        <w:tc>
          <w:tcPr>
            <w:tcW w:type="dxa" w:w="4536"/>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进入后主要做什么</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我的课程</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教师已发布课程或作业，需要完成课程任务时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进入课程工作台，查看课程任务、收藏夹、学习画像和知识图谱</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自主学习</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想按知识点补课，或从画像推荐继续学习时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生成讲解、练习、笔记、知识卡片、思维导图或 PPT 大纲</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科研项目实践</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需要展示平台扩展到项目实践和研究训练时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查看项目建议、资料、阶段任务和研究辅助能力</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新手引导</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第一次登录、忘记主线或需要给评审演示时</w:t>
            </w:r>
          </w:p>
        </w:tc>
        <w:tc>
          <w:tcPr>
            <w:tcW w:type="dxa" w:w="45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按 6 步提示理解学习闭环、AI 诊断、画像、引用和资料沉淀</w:t>
            </w:r>
          </w:p>
        </w:tc>
      </w:tr>
    </w:tbl>
    <w:p>
      <w:pPr>
        <w:spacing w:after="40"/>
      </w:pPr>
    </w:p>
    <w:p>
      <w:pPr>
        <w:keepNext/>
        <w:jc w:val="center"/>
      </w:pPr>
      <w:r>
        <w:drawing>
          <wp:inline xmlns:a="http://schemas.openxmlformats.org/drawingml/2006/main" xmlns:pic="http://schemas.openxmlformats.org/drawingml/2006/picture">
            <wp:extent cx="5989320" cy="3992880"/>
            <wp:docPr id="2" name="Picture 2"/>
            <wp:cNvGraphicFramePr>
              <a:graphicFrameLocks noChangeAspect="1"/>
            </wp:cNvGraphicFramePr>
            <a:graphic>
              <a:graphicData uri="http://schemas.openxmlformats.org/drawingml/2006/picture">
                <pic:pic>
                  <pic:nvPicPr>
                    <pic:cNvPr id="0" name="student-01-entry-clean.png"/>
                    <pic:cNvPicPr/>
                  </pic:nvPicPr>
                  <pic:blipFill>
                    <a:blip r:embed="rId10"/>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2 学生端服务入口</w:t>
      </w:r>
    </w:p>
    <w:p>
      <w:pPr>
        <w:keepNext/>
        <w:jc w:val="center"/>
      </w:pPr>
      <w:r>
        <w:drawing>
          <wp:inline xmlns:a="http://schemas.openxmlformats.org/drawingml/2006/main" xmlns:pic="http://schemas.openxmlformats.org/drawingml/2006/picture">
            <wp:extent cx="5989320" cy="3992880"/>
            <wp:docPr id="3" name="Picture 3"/>
            <wp:cNvGraphicFramePr>
              <a:graphicFrameLocks noChangeAspect="1"/>
            </wp:cNvGraphicFramePr>
            <a:graphic>
              <a:graphicData uri="http://schemas.openxmlformats.org/drawingml/2006/picture">
                <pic:pic>
                  <pic:nvPicPr>
                    <pic:cNvPr id="0" name="student-01-entry.png"/>
                    <pic:cNvPicPr/>
                  </pic:nvPicPr>
                  <pic:blipFill>
                    <a:blip r:embed="rId11"/>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3 学生端内置新手引导</w:t>
      </w:r>
    </w:p>
    <w:p>
      <w:pPr>
        <w:pStyle w:val="Heading1"/>
        <w:spacing w:before="320" w:after="120"/>
      </w:pPr>
      <w:r>
        <w:rPr>
          <w:rFonts w:ascii="Microsoft YaHei" w:hAnsi="Microsoft YaHei" w:eastAsia="Microsoft YaHei"/>
          <w:b/>
          <w:color w:val="000000"/>
          <w:sz w:val="32"/>
        </w:rPr>
        <w:t>三 学生完成一次课程任务</w:t>
      </w:r>
    </w:p>
    <w:p>
      <w:pPr>
        <w:spacing w:after="140" w:line="283" w:lineRule="auto"/>
      </w:pPr>
      <w:r>
        <w:rPr>
          <w:rFonts w:ascii="Microsoft YaHei" w:hAnsi="Microsoft YaHei" w:eastAsia="Microsoft YaHei"/>
          <w:b w:val="0"/>
          <w:color w:val="0F172A"/>
          <w:sz w:val="21"/>
        </w:rPr>
        <w:t>推荐给新用户的第一条路线是“我的课程 -&gt; 课程工作台 -&gt; 课程任务 -&gt; 任务工作台 -&gt; AI 诊断与提示 -&gt; 保存总结”。这条线最能体现平台不是普通判题系统，而是助学闭环。</w:t>
      </w:r>
    </w:p>
    <w:p>
      <w:pPr>
        <w:spacing w:after="60"/>
        <w:ind w:left="0"/>
      </w:pPr>
      <w:r>
        <w:rPr>
          <w:rFonts w:ascii="Microsoft YaHei" w:hAnsi="Microsoft YaHei" w:eastAsia="Microsoft YaHei"/>
          <w:b w:val="0"/>
          <w:color w:val="0F172A"/>
          <w:sz w:val="20"/>
        </w:rPr>
        <w:t>1.  在学生入口点击“进入课程”，进入课程工作台。</w:t>
      </w:r>
    </w:p>
    <w:p>
      <w:pPr>
        <w:spacing w:after="60"/>
        <w:ind w:left="0"/>
      </w:pPr>
      <w:r>
        <w:rPr>
          <w:rFonts w:ascii="Microsoft YaHei" w:hAnsi="Microsoft YaHei" w:eastAsia="Microsoft YaHei"/>
          <w:b w:val="0"/>
          <w:color w:val="0F172A"/>
          <w:sz w:val="20"/>
        </w:rPr>
        <w:t>2.  先看左侧课程菜单和页面中的最近任务，确认当前课程、授课教师和未完成任务。</w:t>
      </w:r>
    </w:p>
    <w:p>
      <w:pPr>
        <w:spacing w:after="60"/>
        <w:ind w:left="0"/>
      </w:pPr>
      <w:r>
        <w:rPr>
          <w:rFonts w:ascii="Microsoft YaHei" w:hAnsi="Microsoft YaHei" w:eastAsia="Microsoft YaHei"/>
          <w:b w:val="0"/>
          <w:color w:val="0F172A"/>
          <w:sz w:val="20"/>
        </w:rPr>
        <w:t>3.  进入“课程任务”，按状态筛选未完成、进行中或待修正任务。</w:t>
      </w:r>
    </w:p>
    <w:p>
      <w:pPr>
        <w:spacing w:after="60"/>
        <w:ind w:left="0"/>
      </w:pPr>
      <w:r>
        <w:rPr>
          <w:rFonts w:ascii="Microsoft YaHei" w:hAnsi="Microsoft YaHei" w:eastAsia="Microsoft YaHei"/>
          <w:b w:val="0"/>
          <w:color w:val="0F172A"/>
          <w:sz w:val="20"/>
        </w:rPr>
        <w:t>4.  打开任务工作台，在中间代码编辑器完成代码，使用“运行代码”做自检，再点击“提交判题”。</w:t>
      </w:r>
    </w:p>
    <w:p>
      <w:pPr>
        <w:spacing w:after="60"/>
        <w:ind w:left="0"/>
      </w:pPr>
      <w:r>
        <w:rPr>
          <w:rFonts w:ascii="Microsoft YaHei" w:hAnsi="Microsoft YaHei" w:eastAsia="Microsoft YaHei"/>
          <w:b w:val="0"/>
          <w:color w:val="0F172A"/>
          <w:sz w:val="20"/>
        </w:rPr>
        <w:t>5.  右侧先看系统验证结果，再看 AI 学习助手的诊断、引用来源、置信度和分层提示。</w:t>
      </w:r>
    </w:p>
    <w:p>
      <w:pPr>
        <w:spacing w:after="60"/>
        <w:ind w:left="0"/>
      </w:pPr>
      <w:r>
        <w:rPr>
          <w:rFonts w:ascii="Microsoft YaHei" w:hAnsi="Microsoft YaHei" w:eastAsia="Microsoft YaHei"/>
          <w:b w:val="0"/>
          <w:color w:val="0F172A"/>
          <w:sz w:val="20"/>
        </w:rPr>
        <w:t>6.  根据提示修改并重新提交。通过后查看学习总结，保存到我的资料，并让学习画像更新。</w:t>
      </w:r>
    </w:p>
    <w:p>
      <w:pPr>
        <w:keepNext/>
        <w:jc w:val="center"/>
      </w:pPr>
      <w:r>
        <w:drawing>
          <wp:inline xmlns:a="http://schemas.openxmlformats.org/drawingml/2006/main" xmlns:pic="http://schemas.openxmlformats.org/drawingml/2006/picture">
            <wp:extent cx="5989320" cy="3992880"/>
            <wp:docPr id="4" name="Picture 4"/>
            <wp:cNvGraphicFramePr>
              <a:graphicFrameLocks noChangeAspect="1"/>
            </wp:cNvGraphicFramePr>
            <a:graphic>
              <a:graphicData uri="http://schemas.openxmlformats.org/drawingml/2006/picture">
                <pic:pic>
                  <pic:nvPicPr>
                    <pic:cNvPr id="0" name="student-02-course-home.png"/>
                    <pic:cNvPicPr/>
                  </pic:nvPicPr>
                  <pic:blipFill>
                    <a:blip r:embed="rId12"/>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4 学生课程工作台</w:t>
      </w:r>
    </w:p>
    <w:p>
      <w:pPr>
        <w:keepNext/>
        <w:jc w:val="center"/>
      </w:pPr>
      <w:r>
        <w:drawing>
          <wp:inline xmlns:a="http://schemas.openxmlformats.org/drawingml/2006/main" xmlns:pic="http://schemas.openxmlformats.org/drawingml/2006/picture">
            <wp:extent cx="5989320" cy="3992880"/>
            <wp:docPr id="5" name="Picture 5"/>
            <wp:cNvGraphicFramePr>
              <a:graphicFrameLocks noChangeAspect="1"/>
            </wp:cNvGraphicFramePr>
            <a:graphic>
              <a:graphicData uri="http://schemas.openxmlformats.org/drawingml/2006/picture">
                <pic:pic>
                  <pic:nvPicPr>
                    <pic:cNvPr id="0" name="student-03-course-tasks.png"/>
                    <pic:cNvPicPr/>
                  </pic:nvPicPr>
                  <pic:blipFill>
                    <a:blip r:embed="rId13"/>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5 学生课程任务列表</w:t>
      </w:r>
    </w:p>
    <w:p>
      <w:pPr>
        <w:keepNext/>
        <w:jc w:val="center"/>
      </w:pPr>
      <w:r>
        <w:drawing>
          <wp:inline xmlns:a="http://schemas.openxmlformats.org/drawingml/2006/main" xmlns:pic="http://schemas.openxmlformats.org/drawingml/2006/picture">
            <wp:extent cx="5989320" cy="3992880"/>
            <wp:docPr id="6" name="Picture 6"/>
            <wp:cNvGraphicFramePr>
              <a:graphicFrameLocks noChangeAspect="1"/>
            </wp:cNvGraphicFramePr>
            <a:graphic>
              <a:graphicData uri="http://schemas.openxmlformats.org/drawingml/2006/picture">
                <pic:pic>
                  <pic:nvPicPr>
                    <pic:cNvPr id="0" name="student-04-task-workspace.png"/>
                    <pic:cNvPicPr/>
                  </pic:nvPicPr>
                  <pic:blipFill>
                    <a:blip r:embed="rId14"/>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6 学生任务工作台与 AI 学习助手</w:t>
      </w:r>
    </w:p>
    <w:p>
      <w:pPr>
        <w:pStyle w:val="Heading1"/>
        <w:spacing w:before="320" w:after="120"/>
      </w:pPr>
      <w:r>
        <w:rPr>
          <w:rFonts w:ascii="Microsoft YaHei" w:hAnsi="Microsoft YaHei" w:eastAsia="Microsoft YaHei"/>
          <w:b/>
          <w:color w:val="000000"/>
          <w:sz w:val="32"/>
        </w:rPr>
        <w:t>四 学生自主学习和资料沉淀</w:t>
      </w:r>
    </w:p>
    <w:p>
      <w:pPr>
        <w:spacing w:after="140" w:line="283" w:lineRule="auto"/>
      </w:pPr>
      <w:r>
        <w:rPr>
          <w:rFonts w:ascii="Microsoft YaHei" w:hAnsi="Microsoft YaHei" w:eastAsia="Microsoft YaHei"/>
          <w:b w:val="0"/>
          <w:color w:val="0F172A"/>
          <w:sz w:val="21"/>
        </w:rPr>
        <w:t>当学生不想从教师任务进入，或者任务卡住需要补知识点时，使用“自主学习”。这个入口把学习画像、知识库、AI 助学和资源中心放在一条线上，适合快速生成复习材料并继续练习。</w:t>
      </w:r>
    </w:p>
    <w:tbl>
      <w:tblPr>
        <w:tblStyle w:val="TableGrid"/>
        <w:tblW w:type="auto" w:w="0"/>
        <w:jc w:val="center"/>
        <w:tblLook w:firstColumn="1" w:firstRow="1" w:lastColumn="0" w:lastRow="0" w:noHBand="0" w:noVBand="1" w:val="04A0"/>
      </w:tblPr>
      <w:tblGrid>
        <w:gridCol w:w="3419"/>
        <w:gridCol w:w="3419"/>
        <w:gridCol w:w="3419"/>
      </w:tblGrid>
      <w:tr>
        <w:tc>
          <w:tcPr>
            <w:tcW w:type="dxa" w:w="223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场景</w:t>
            </w:r>
          </w:p>
        </w:tc>
        <w:tc>
          <w:tcPr>
            <w:tcW w:type="dxa" w:w="252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建议入口</w:t>
            </w:r>
          </w:p>
        </w:tc>
        <w:tc>
          <w:tcPr>
            <w:tcW w:type="dxa" w:w="424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产出</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不知道今天补什么</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自主学习首页的每日学习建议</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推荐主题、外部资源、练习或讲解</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概念没懂</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AI 助学</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分步解释、引用来源、下一步动作</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需要复习资料</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资源中心 / 我的资料</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笔记、知识卡片、错题总结、思维导图、PPT 大纲</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想看自己为什么被推荐</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个人画像</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薄弱知识点、高频错因、提示依赖和证据来源</w:t>
            </w:r>
          </w:p>
        </w:tc>
      </w:tr>
    </w:tbl>
    <w:p>
      <w:pPr>
        <w:spacing w:after="40"/>
      </w:pPr>
    </w:p>
    <w:p>
      <w:pPr>
        <w:keepNext/>
        <w:jc w:val="center"/>
      </w:pPr>
      <w:r>
        <w:drawing>
          <wp:inline xmlns:a="http://schemas.openxmlformats.org/drawingml/2006/main" xmlns:pic="http://schemas.openxmlformats.org/drawingml/2006/picture">
            <wp:extent cx="5989320" cy="3992880"/>
            <wp:docPr id="7" name="Picture 7"/>
            <wp:cNvGraphicFramePr>
              <a:graphicFrameLocks noChangeAspect="1"/>
            </wp:cNvGraphicFramePr>
            <a:graphic>
              <a:graphicData uri="http://schemas.openxmlformats.org/drawingml/2006/picture">
                <pic:pic>
                  <pic:nvPicPr>
                    <pic:cNvPr id="0" name="student-05-self-study.png"/>
                    <pic:cNvPicPr/>
                  </pic:nvPicPr>
                  <pic:blipFill>
                    <a:blip r:embed="rId15"/>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7 自主学习首页</w:t>
      </w:r>
    </w:p>
    <w:p>
      <w:pPr>
        <w:keepNext/>
        <w:jc w:val="center"/>
      </w:pPr>
      <w:r>
        <w:drawing>
          <wp:inline xmlns:a="http://schemas.openxmlformats.org/drawingml/2006/main" xmlns:pic="http://schemas.openxmlformats.org/drawingml/2006/picture">
            <wp:extent cx="5989320" cy="3992880"/>
            <wp:docPr id="8" name="Picture 8"/>
            <wp:cNvGraphicFramePr>
              <a:graphicFrameLocks noChangeAspect="1"/>
            </wp:cNvGraphicFramePr>
            <a:graphic>
              <a:graphicData uri="http://schemas.openxmlformats.org/drawingml/2006/picture">
                <pic:pic>
                  <pic:nvPicPr>
                    <pic:cNvPr id="0" name="student-06-ai-tutor.png"/>
                    <pic:cNvPicPr/>
                  </pic:nvPicPr>
                  <pic:blipFill>
                    <a:blip r:embed="rId16"/>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8 AI 助学页面</w:t>
      </w:r>
    </w:p>
    <w:p>
      <w:pPr>
        <w:keepNext/>
        <w:jc w:val="center"/>
      </w:pPr>
      <w:r>
        <w:drawing>
          <wp:inline xmlns:a="http://schemas.openxmlformats.org/drawingml/2006/main" xmlns:pic="http://schemas.openxmlformats.org/drawingml/2006/picture">
            <wp:extent cx="5989320" cy="3992880"/>
            <wp:docPr id="9" name="Picture 9"/>
            <wp:cNvGraphicFramePr>
              <a:graphicFrameLocks noChangeAspect="1"/>
            </wp:cNvGraphicFramePr>
            <a:graphic>
              <a:graphicData uri="http://schemas.openxmlformats.org/drawingml/2006/picture">
                <pic:pic>
                  <pic:nvPicPr>
                    <pic:cNvPr id="0" name="student-07-library.png"/>
                    <pic:cNvPicPr/>
                  </pic:nvPicPr>
                  <pic:blipFill>
                    <a:blip r:embed="rId17"/>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9 我的资料与资源中心</w:t>
      </w:r>
    </w:p>
    <w:p>
      <w:pPr>
        <w:pStyle w:val="Heading1"/>
        <w:spacing w:before="320" w:after="120"/>
      </w:pPr>
      <w:r>
        <w:rPr>
          <w:rFonts w:ascii="Microsoft YaHei" w:hAnsi="Microsoft YaHei" w:eastAsia="Microsoft YaHei"/>
          <w:b/>
          <w:color w:val="000000"/>
          <w:sz w:val="32"/>
        </w:rPr>
        <w:t>五 教师端入口地图</w:t>
      </w:r>
    </w:p>
    <w:p>
      <w:pPr>
        <w:spacing w:after="140" w:line="283" w:lineRule="auto"/>
      </w:pPr>
      <w:r>
        <w:rPr>
          <w:rFonts w:ascii="Microsoft YaHei" w:hAnsi="Microsoft YaHei" w:eastAsia="Microsoft YaHei"/>
          <w:b w:val="0"/>
          <w:color w:val="0F172A"/>
          <w:sz w:val="21"/>
        </w:rPr>
        <w:t>教师端的主线是“我的课程 -&gt; 进入课程 -&gt; 建班和邀请学生 -&gt; 管理资料与知识库 -&gt; 发布任务 -&gt; 查看提交和批改 -&gt; 学情分析”。第一次使用时不要从所有菜单同时展开，先围绕一门课程走完整闭环。</w:t>
      </w:r>
    </w:p>
    <w:tbl>
      <w:tblPr>
        <w:tblStyle w:val="TableGrid"/>
        <w:tblW w:type="auto" w:w="0"/>
        <w:jc w:val="center"/>
        <w:tblLook w:firstColumn="1" w:firstRow="1" w:lastColumn="0" w:lastRow="0" w:noHBand="0" w:noVBand="1" w:val="04A0"/>
      </w:tblPr>
      <w:tblGrid>
        <w:gridCol w:w="3419"/>
        <w:gridCol w:w="3419"/>
        <w:gridCol w:w="3419"/>
      </w:tblGrid>
      <w:tr>
        <w:tc>
          <w:tcPr>
            <w:tcW w:type="dxa" w:w="216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教师入口</w:t>
            </w:r>
          </w:p>
        </w:tc>
        <w:tc>
          <w:tcPr>
            <w:tcW w:type="dxa" w:w="4464"/>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主要用途</w:t>
            </w:r>
          </w:p>
        </w:tc>
        <w:tc>
          <w:tcPr>
            <w:tcW w:type="dxa" w:w="2016"/>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新用户优先级</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工作台首页</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查看课程、待处理任务和通知</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先看</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我的课程</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进入或管理某一门课程</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先看</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课程工作空间</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查看课程概览、班级、任务和知识库状态</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先看</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班级 / 邀请</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绑定授课班级并生成学生加入入口</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建课后用</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任务管理</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创建、编辑、发布作业或测验，预览学生视角</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高频使用</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成绩 / 批改</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查看规则分、AI 建议、教师反馈和发布状态</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有提交后用</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学情分析</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查看知识点掌握、错因统计和教学干预</w:t>
            </w:r>
          </w:p>
        </w:tc>
        <w:tc>
          <w:tcPr>
            <w:tcW w:type="dxa" w:w="20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批改后用</w:t>
            </w:r>
          </w:p>
        </w:tc>
      </w:tr>
    </w:tbl>
    <w:p>
      <w:pPr>
        <w:spacing w:after="40"/>
      </w:pPr>
    </w:p>
    <w:p>
      <w:pPr>
        <w:keepNext/>
        <w:jc w:val="center"/>
      </w:pPr>
      <w:r>
        <w:drawing>
          <wp:inline xmlns:a="http://schemas.openxmlformats.org/drawingml/2006/main" xmlns:pic="http://schemas.openxmlformats.org/drawingml/2006/picture">
            <wp:extent cx="5989320" cy="3992880"/>
            <wp:docPr id="10" name="Picture 10"/>
            <wp:cNvGraphicFramePr>
              <a:graphicFrameLocks noChangeAspect="1"/>
            </wp:cNvGraphicFramePr>
            <a:graphic>
              <a:graphicData uri="http://schemas.openxmlformats.org/drawingml/2006/picture">
                <pic:pic>
                  <pic:nvPicPr>
                    <pic:cNvPr id="0" name="teacher-02-courses.png"/>
                    <pic:cNvPicPr/>
                  </pic:nvPicPr>
                  <pic:blipFill>
                    <a:blip r:embed="rId18"/>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10 教师我的课程</w:t>
      </w:r>
    </w:p>
    <w:p>
      <w:pPr>
        <w:keepNext/>
        <w:jc w:val="center"/>
      </w:pPr>
      <w:r>
        <w:drawing>
          <wp:inline xmlns:a="http://schemas.openxmlformats.org/drawingml/2006/main" xmlns:pic="http://schemas.openxmlformats.org/drawingml/2006/picture">
            <wp:extent cx="5989320" cy="3992880"/>
            <wp:docPr id="11" name="Picture 11"/>
            <wp:cNvGraphicFramePr>
              <a:graphicFrameLocks noChangeAspect="1"/>
            </wp:cNvGraphicFramePr>
            <a:graphic>
              <a:graphicData uri="http://schemas.openxmlformats.org/drawingml/2006/picture">
                <pic:pic>
                  <pic:nvPicPr>
                    <pic:cNvPr id="0" name="teacher-03-course-workspace.png"/>
                    <pic:cNvPicPr/>
                  </pic:nvPicPr>
                  <pic:blipFill>
                    <a:blip r:embed="rId19"/>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11 教师课程工作空间</w:t>
      </w:r>
    </w:p>
    <w:p>
      <w:pPr>
        <w:pStyle w:val="Heading1"/>
        <w:spacing w:before="320" w:after="120"/>
      </w:pPr>
      <w:r>
        <w:rPr>
          <w:rFonts w:ascii="Microsoft YaHei" w:hAnsi="Microsoft YaHei" w:eastAsia="Microsoft YaHei"/>
          <w:b/>
          <w:color w:val="000000"/>
          <w:sz w:val="32"/>
        </w:rPr>
        <w:t>六 教师发布任务与查看学情</w:t>
      </w:r>
    </w:p>
    <w:p>
      <w:pPr>
        <w:spacing w:after="140" w:line="283" w:lineRule="auto"/>
      </w:pPr>
      <w:r>
        <w:rPr>
          <w:rFonts w:ascii="Microsoft YaHei" w:hAnsi="Microsoft YaHei" w:eastAsia="Microsoft YaHei"/>
          <w:b w:val="0"/>
          <w:color w:val="0F172A"/>
          <w:sz w:val="21"/>
        </w:rPr>
        <w:t>教师日常最常用的是任务管理和学情分析。任务管理负责把作业、测验和编程题下发到班级；学生提交后，平台把沙箱结果、AI 诊断、提示使用和成绩反馈回传到教师端，形成班级层面的学情判断。</w:t>
      </w:r>
    </w:p>
    <w:p>
      <w:pPr>
        <w:spacing w:after="60"/>
        <w:ind w:left="0"/>
      </w:pPr>
      <w:r>
        <w:rPr>
          <w:rFonts w:ascii="Microsoft YaHei" w:hAnsi="Microsoft YaHei" w:eastAsia="Microsoft YaHei"/>
          <w:b w:val="0"/>
          <w:color w:val="0F172A"/>
          <w:sz w:val="20"/>
        </w:rPr>
        <w:t>1.  进入“我的课程”，选择本学期正在进行的课程。</w:t>
      </w:r>
    </w:p>
    <w:p>
      <w:pPr>
        <w:spacing w:after="60"/>
        <w:ind w:left="0"/>
      </w:pPr>
      <w:r>
        <w:rPr>
          <w:rFonts w:ascii="Microsoft YaHei" w:hAnsi="Microsoft YaHei" w:eastAsia="Microsoft YaHei"/>
          <w:b w:val="0"/>
          <w:color w:val="0F172A"/>
          <w:sz w:val="20"/>
        </w:rPr>
        <w:t>2.  在课程工作空间中进入“任务管理”，新建或编辑作业，设置题型、知识点、开始时间、截止时间和下发班级。</w:t>
      </w:r>
    </w:p>
    <w:p>
      <w:pPr>
        <w:spacing w:after="60"/>
        <w:ind w:left="0"/>
      </w:pPr>
      <w:r>
        <w:rPr>
          <w:rFonts w:ascii="Microsoft YaHei" w:hAnsi="Microsoft YaHei" w:eastAsia="Microsoft YaHei"/>
          <w:b w:val="0"/>
          <w:color w:val="0F172A"/>
          <w:sz w:val="20"/>
        </w:rPr>
        <w:t>3.  发布前使用“预览学生视角”，确认学生看到的标题、说明、知识点和提示策略。</w:t>
      </w:r>
    </w:p>
    <w:p>
      <w:pPr>
        <w:spacing w:after="60"/>
        <w:ind w:left="0"/>
      </w:pPr>
      <w:r>
        <w:rPr>
          <w:rFonts w:ascii="Microsoft YaHei" w:hAnsi="Microsoft YaHei" w:eastAsia="Microsoft YaHei"/>
          <w:b w:val="0"/>
          <w:color w:val="0F172A"/>
          <w:sz w:val="20"/>
        </w:rPr>
        <w:t>4.  学生提交后进入“查看成绩”或“学生成绩”，处理 AI 预评、教师反馈和最终发布。</w:t>
      </w:r>
    </w:p>
    <w:p>
      <w:pPr>
        <w:spacing w:after="60"/>
        <w:ind w:left="0"/>
      </w:pPr>
      <w:r>
        <w:rPr>
          <w:rFonts w:ascii="Microsoft YaHei" w:hAnsi="Microsoft YaHei" w:eastAsia="Microsoft YaHei"/>
          <w:b w:val="0"/>
          <w:color w:val="0F172A"/>
          <w:sz w:val="20"/>
        </w:rPr>
        <w:t>5.  进入“学情分析”，按班级、任务或知识点查看完成率、平均分、逾期率、平均提示等级、风险学生和薄弱知识点。</w:t>
      </w:r>
    </w:p>
    <w:p>
      <w:pPr>
        <w:spacing w:after="60"/>
        <w:ind w:left="0"/>
      </w:pPr>
      <w:r>
        <w:rPr>
          <w:rFonts w:ascii="Microsoft YaHei" w:hAnsi="Microsoft YaHei" w:eastAsia="Microsoft YaHei"/>
          <w:b w:val="0"/>
          <w:color w:val="0F172A"/>
          <w:sz w:val="20"/>
        </w:rPr>
        <w:t>6.  根据学情分析下发专项练习、推送复习提醒或发起课堂讨论。</w:t>
      </w:r>
    </w:p>
    <w:p>
      <w:pPr>
        <w:keepNext/>
        <w:jc w:val="center"/>
      </w:pPr>
      <w:r>
        <w:drawing>
          <wp:inline xmlns:a="http://schemas.openxmlformats.org/drawingml/2006/main" xmlns:pic="http://schemas.openxmlformats.org/drawingml/2006/picture">
            <wp:extent cx="5989320" cy="3992880"/>
            <wp:docPr id="12" name="Picture 12"/>
            <wp:cNvGraphicFramePr>
              <a:graphicFrameLocks noChangeAspect="1"/>
            </wp:cNvGraphicFramePr>
            <a:graphic>
              <a:graphicData uri="http://schemas.openxmlformats.org/drawingml/2006/picture">
                <pic:pic>
                  <pic:nvPicPr>
                    <pic:cNvPr id="0" name="teacher-04-tasks.png"/>
                    <pic:cNvPicPr/>
                  </pic:nvPicPr>
                  <pic:blipFill>
                    <a:blip r:embed="rId20"/>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12 教师任务管理</w:t>
      </w:r>
    </w:p>
    <w:p>
      <w:pPr>
        <w:keepNext/>
        <w:jc w:val="center"/>
      </w:pPr>
      <w:r>
        <w:drawing>
          <wp:inline xmlns:a="http://schemas.openxmlformats.org/drawingml/2006/main" xmlns:pic="http://schemas.openxmlformats.org/drawingml/2006/picture">
            <wp:extent cx="5989320" cy="3992880"/>
            <wp:docPr id="13" name="Picture 13"/>
            <wp:cNvGraphicFramePr>
              <a:graphicFrameLocks noChangeAspect="1"/>
            </wp:cNvGraphicFramePr>
            <a:graphic>
              <a:graphicData uri="http://schemas.openxmlformats.org/drawingml/2006/picture">
                <pic:pic>
                  <pic:nvPicPr>
                    <pic:cNvPr id="0" name="teacher-06-analytics.png"/>
                    <pic:cNvPicPr/>
                  </pic:nvPicPr>
                  <pic:blipFill>
                    <a:blip r:embed="rId21"/>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13 教师学情分析</w:t>
      </w:r>
    </w:p>
    <w:p>
      <w:pPr>
        <w:pStyle w:val="Heading1"/>
        <w:spacing w:before="320" w:after="120"/>
      </w:pPr>
      <w:r>
        <w:rPr>
          <w:rFonts w:ascii="Microsoft YaHei" w:hAnsi="Microsoft YaHei" w:eastAsia="Microsoft YaHei"/>
          <w:b/>
          <w:color w:val="000000"/>
          <w:sz w:val="32"/>
        </w:rPr>
        <w:t>七 教师建设课程知识来源</w:t>
      </w:r>
    </w:p>
    <w:p>
      <w:pPr>
        <w:spacing w:after="140" w:line="283" w:lineRule="auto"/>
      </w:pPr>
      <w:r>
        <w:rPr>
          <w:rFonts w:ascii="Microsoft YaHei" w:hAnsi="Microsoft YaHei" w:eastAsia="Microsoft YaHei"/>
          <w:b w:val="0"/>
          <w:color w:val="0F172A"/>
          <w:sz w:val="21"/>
        </w:rPr>
        <w:t>教师端的资料管理和课程知识图谱决定 AI 回答是否有可追溯来源。项目演示时可以强调：学生端看到的 AI 诊断、AI 助学回答和自主学习资料，不应脱离教师确认过的课程资料和知识点结构。</w:t>
      </w:r>
    </w:p>
    <w:p>
      <w:pPr>
        <w:pStyle w:val="ListBullet"/>
        <w:spacing w:after="60"/>
        <w:ind w:left="312"/>
      </w:pPr>
      <w:r>
        <w:rPr>
          <w:rFonts w:ascii="Microsoft YaHei" w:hAnsi="Microsoft YaHei" w:eastAsia="Microsoft YaHei"/>
          <w:b w:val="0"/>
          <w:color w:val="0F172A"/>
          <w:sz w:val="20"/>
        </w:rPr>
        <w:t>资料管理用于上传讲义、课件、实验指导和链接，并控制是否对学生可见。</w:t>
      </w:r>
    </w:p>
    <w:p>
      <w:pPr>
        <w:pStyle w:val="ListBullet"/>
        <w:spacing w:after="60"/>
        <w:ind w:left="312"/>
      </w:pPr>
      <w:r>
        <w:rPr>
          <w:rFonts w:ascii="Microsoft YaHei" w:hAnsi="Microsoft YaHei" w:eastAsia="Microsoft YaHei"/>
          <w:b w:val="0"/>
          <w:color w:val="0F172A"/>
          <w:sz w:val="20"/>
        </w:rPr>
        <w:t>课程知识库用于把资料变成 AI 可检索的知识来源，便于回答时展示引用。</w:t>
      </w:r>
    </w:p>
    <w:p>
      <w:pPr>
        <w:pStyle w:val="ListBullet"/>
        <w:spacing w:after="60"/>
        <w:ind w:left="312"/>
      </w:pPr>
      <w:r>
        <w:rPr>
          <w:rFonts w:ascii="Microsoft YaHei" w:hAnsi="Microsoft YaHei" w:eastAsia="Microsoft YaHei"/>
          <w:b w:val="0"/>
          <w:color w:val="0F172A"/>
          <w:sz w:val="20"/>
        </w:rPr>
        <w:t>课程知识图谱用于维护知识点、前置关系和资料证据，支撑学习路径推荐和薄弱点定位。</w:t>
      </w:r>
    </w:p>
    <w:p>
      <w:pPr>
        <w:pStyle w:val="ListBullet"/>
        <w:spacing w:after="60"/>
        <w:ind w:left="312"/>
      </w:pPr>
      <w:r>
        <w:rPr>
          <w:rFonts w:ascii="Microsoft YaHei" w:hAnsi="Microsoft YaHei" w:eastAsia="Microsoft YaHei"/>
          <w:b w:val="0"/>
          <w:color w:val="0F172A"/>
          <w:sz w:val="20"/>
        </w:rPr>
        <w:t>AI 助教页面适合测试课程知识库是否能回答学生常见问题。</w:t>
      </w:r>
    </w:p>
    <w:p>
      <w:pPr>
        <w:keepNext/>
        <w:jc w:val="center"/>
      </w:pPr>
      <w:r>
        <w:drawing>
          <wp:inline xmlns:a="http://schemas.openxmlformats.org/drawingml/2006/main" xmlns:pic="http://schemas.openxmlformats.org/drawingml/2006/picture">
            <wp:extent cx="5989320" cy="3992880"/>
            <wp:docPr id="14" name="Picture 14"/>
            <wp:cNvGraphicFramePr>
              <a:graphicFrameLocks noChangeAspect="1"/>
            </wp:cNvGraphicFramePr>
            <a:graphic>
              <a:graphicData uri="http://schemas.openxmlformats.org/drawingml/2006/picture">
                <pic:pic>
                  <pic:nvPicPr>
                    <pic:cNvPr id="0" name="teacher-07-materials.png"/>
                    <pic:cNvPicPr/>
                  </pic:nvPicPr>
                  <pic:blipFill>
                    <a:blip r:embed="rId22"/>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14 教师资料管理</w:t>
      </w:r>
    </w:p>
    <w:p>
      <w:pPr>
        <w:keepNext/>
        <w:jc w:val="center"/>
      </w:pPr>
      <w:r>
        <w:drawing>
          <wp:inline xmlns:a="http://schemas.openxmlformats.org/drawingml/2006/main" xmlns:pic="http://schemas.openxmlformats.org/drawingml/2006/picture">
            <wp:extent cx="5989320" cy="3992880"/>
            <wp:docPr id="15" name="Picture 15"/>
            <wp:cNvGraphicFramePr>
              <a:graphicFrameLocks noChangeAspect="1"/>
            </wp:cNvGraphicFramePr>
            <a:graphic>
              <a:graphicData uri="http://schemas.openxmlformats.org/drawingml/2006/picture">
                <pic:pic>
                  <pic:nvPicPr>
                    <pic:cNvPr id="0" name="teacher-08-graph.png"/>
                    <pic:cNvPicPr/>
                  </pic:nvPicPr>
                  <pic:blipFill>
                    <a:blip r:embed="rId23"/>
                    <a:stretch>
                      <a:fillRect/>
                    </a:stretch>
                  </pic:blipFill>
                  <pic:spPr>
                    <a:xfrm>
                      <a:off x="0" y="0"/>
                      <a:ext cx="5989320" cy="3992880"/>
                    </a:xfrm>
                    <a:prstGeom prst="rect"/>
                  </pic:spPr>
                </pic:pic>
              </a:graphicData>
            </a:graphic>
          </wp:inline>
        </w:drawing>
      </w:r>
    </w:p>
    <w:p>
      <w:pPr>
        <w:spacing w:after="200"/>
        <w:jc w:val="center"/>
      </w:pPr>
      <w:r>
        <w:rPr>
          <w:rFonts w:ascii="Microsoft YaHei" w:hAnsi="Microsoft YaHei" w:eastAsia="Microsoft YaHei"/>
          <w:b w:val="0"/>
          <w:color w:val="475569"/>
          <w:sz w:val="17"/>
        </w:rPr>
        <w:t>图 15 课程知识图谱</w:t>
      </w:r>
    </w:p>
    <w:p>
      <w:pPr>
        <w:pStyle w:val="Heading1"/>
        <w:spacing w:before="320" w:after="120"/>
      </w:pPr>
      <w:r>
        <w:rPr>
          <w:rFonts w:ascii="Microsoft YaHei" w:hAnsi="Microsoft YaHei" w:eastAsia="Microsoft YaHei"/>
          <w:b/>
          <w:color w:val="000000"/>
          <w:sz w:val="32"/>
        </w:rPr>
        <w:t>八 推荐演示路线</w:t>
      </w:r>
    </w:p>
    <w:p>
      <w:pPr>
        <w:spacing w:after="140" w:line="283" w:lineRule="auto"/>
      </w:pPr>
      <w:r>
        <w:rPr>
          <w:rFonts w:ascii="Microsoft YaHei" w:hAnsi="Microsoft YaHei" w:eastAsia="Microsoft YaHei"/>
          <w:b w:val="0"/>
          <w:color w:val="0F172A"/>
          <w:sz w:val="21"/>
        </w:rPr>
        <w:t>如果需要给评审或新用户做 5 到 8 分钟演示，建议不要逐个菜单介绍，而是按下列路线讲一个完整闭环。</w:t>
      </w:r>
    </w:p>
    <w:tbl>
      <w:tblPr>
        <w:tblStyle w:val="TableGrid"/>
        <w:tblW w:type="auto" w:w="0"/>
        <w:jc w:val="center"/>
        <w:tblLook w:firstColumn="1" w:firstRow="1" w:lastColumn="0" w:lastRow="0" w:noHBand="0" w:noVBand="1" w:val="04A0"/>
      </w:tblPr>
      <w:tblGrid>
        <w:gridCol w:w="3419"/>
        <w:gridCol w:w="3419"/>
        <w:gridCol w:w="3419"/>
      </w:tblGrid>
      <w:tr>
        <w:tc>
          <w:tcPr>
            <w:tcW w:type="dxa" w:w="100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顺序</w:t>
            </w:r>
          </w:p>
        </w:tc>
        <w:tc>
          <w:tcPr>
            <w:tcW w:type="dxa" w:w="3528"/>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演示动作</w:t>
            </w:r>
          </w:p>
        </w:tc>
        <w:tc>
          <w:tcPr>
            <w:tcW w:type="dxa" w:w="439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要强调的能力</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1</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学生登录，查看服务入口和新手引导</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平台把入口收敛为课程、自主学习和项目实践</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2</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学生进入数据结构课程工作台并打开任务</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任务来自教师发布，关联人工智能专业支撑课程</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3</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学生在任务工作台运行或提交代码</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先呈现沙箱与测试事实，再给 AI 诊断</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4</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学生查看分层提示和引用来源</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AI 不直接替代答案，回答有来源和置信度</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5</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学生进入自主学习，生成讲解或资料</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自主学习与画像、知识库、资料中心联动</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6</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教师进入课程任务管理</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教师能发布任务并预览学生视角</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7</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教师查看学情分析</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学生行为回传为知识点掌握、错因和干预建议</w:t>
            </w:r>
          </w:p>
        </w:tc>
      </w:tr>
      <w:tr>
        <w:tc>
          <w:tcPr>
            <w:tcW w:type="dxa" w:w="10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8</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教师展示资料管理或知识图谱</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垂类 AI 由课程资料和知识结构支撑</w:t>
            </w:r>
          </w:p>
        </w:tc>
      </w:tr>
    </w:tbl>
    <w:p>
      <w:pPr>
        <w:spacing w:after="40"/>
      </w:pPr>
    </w:p>
    <w:p>
      <w:pPr>
        <w:pStyle w:val="Heading1"/>
        <w:spacing w:before="320" w:after="120"/>
      </w:pPr>
      <w:r>
        <w:rPr>
          <w:rFonts w:ascii="Microsoft YaHei" w:hAnsi="Microsoft YaHei" w:eastAsia="Microsoft YaHei"/>
          <w:b/>
          <w:color w:val="000000"/>
          <w:sz w:val="32"/>
        </w:rPr>
        <w:t>九 常见迷路点</w:t>
      </w:r>
    </w:p>
    <w:tbl>
      <w:tblPr>
        <w:tblStyle w:val="TableGrid"/>
        <w:tblW w:type="auto" w:w="0"/>
        <w:jc w:val="center"/>
        <w:tblLook w:firstColumn="1" w:firstRow="1" w:lastColumn="0" w:lastRow="0" w:noHBand="0" w:noVBand="1" w:val="04A0"/>
      </w:tblPr>
      <w:tblGrid>
        <w:gridCol w:w="3419"/>
        <w:gridCol w:w="3419"/>
        <w:gridCol w:w="3419"/>
      </w:tblGrid>
      <w:tr>
        <w:tc>
          <w:tcPr>
            <w:tcW w:type="dxa" w:w="2160"/>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问题</w:t>
            </w:r>
          </w:p>
        </w:tc>
        <w:tc>
          <w:tcPr>
            <w:tcW w:type="dxa" w:w="3024"/>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快速判断</w:t>
            </w:r>
          </w:p>
        </w:tc>
        <w:tc>
          <w:tcPr>
            <w:tcW w:type="dxa" w:w="3672"/>
            <w:shd w:fill="EAF3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jc w:val="center"/>
            </w:pPr>
            <w:r>
              <w:rPr>
                <w:rFonts w:ascii="Microsoft YaHei" w:hAnsi="Microsoft YaHei" w:eastAsia="Microsoft YaHei"/>
                <w:b/>
                <w:color w:val="0F172A"/>
                <w:sz w:val="18"/>
              </w:rPr>
              <w:t>处理方式</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登录后不知道去哪</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看右上角角色和首页标题</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学生优先点“我的课程”；教师优先点“我的课程”或“进入工作台”</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学生看不到课程任务</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是否进入了具体课程工作台</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从学生入口点“我的课程”，再进入某门课程的“课程任务”</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AI 助学和自主学习分不清</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AI 助学负责问答，自主学习负责按知识点组织学习流程</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概念问题点 AI 助学；想生成练习、笔记和学习计划点自主学习</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教师菜单很多</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先围绕一门课程处理</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按“课程 -&gt; 班级 -&gt; 资料 -&gt; 任务 -&gt; 批改 -&gt; 学情”的顺序走</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center"/>
            </w:pPr>
            <w:r>
              <w:rPr>
                <w:rFonts w:ascii="Microsoft YaHei" w:hAnsi="Microsoft YaHei" w:eastAsia="Microsoft YaHei"/>
                <w:b w:val="0"/>
                <w:color w:val="0F172A"/>
                <w:sz w:val="17"/>
              </w:rPr>
              <w:t>批改页为空</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当前任务可能暂无学生提交</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vAlign w:val="center"/>
          </w:tcPr>
          <w:p>
            <w:pPr>
              <w:spacing w:line="269" w:lineRule="auto"/>
              <w:jc w:val="left"/>
            </w:pPr>
            <w:r>
              <w:rPr>
                <w:rFonts w:ascii="Microsoft YaHei" w:hAnsi="Microsoft YaHei" w:eastAsia="Microsoft YaHei"/>
                <w:b w:val="0"/>
                <w:color w:val="0F172A"/>
                <w:sz w:val="17"/>
              </w:rPr>
              <w:t>先用任务管理查看是否有提交，再进入成绩或学情页面</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center"/>
            </w:pPr>
            <w:r>
              <w:rPr>
                <w:rFonts w:ascii="Microsoft YaHei" w:hAnsi="Microsoft YaHei" w:eastAsia="Microsoft YaHei"/>
                <w:b w:val="0"/>
                <w:color w:val="0F172A"/>
                <w:sz w:val="17"/>
              </w:rPr>
              <w:t>项目申报时怕讲散</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不要按菜单讲</w:t>
            </w:r>
          </w:p>
        </w:tc>
        <w:tc>
          <w:tcPr>
            <w:tcW w:type="dxa" w:w="36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30" w:type="dxa"/>
              <w:start w:w="120" w:type="dxa"/>
              <w:bottom w:w="130" w:type="dxa"/>
              <w:end w:w="120" w:type="dxa"/>
            </w:tcMar>
            <w:shd w:fill="F7FAFF"/>
            <w:vAlign w:val="center"/>
          </w:tcPr>
          <w:p>
            <w:pPr>
              <w:spacing w:line="269" w:lineRule="auto"/>
              <w:jc w:val="left"/>
            </w:pPr>
            <w:r>
              <w:rPr>
                <w:rFonts w:ascii="Microsoft YaHei" w:hAnsi="Microsoft YaHei" w:eastAsia="Microsoft YaHei"/>
                <w:b w:val="0"/>
                <w:color w:val="0F172A"/>
                <w:sz w:val="17"/>
              </w:rPr>
              <w:t>按第八节演示路线讲学生闭环和教师支撑闭环</w:t>
            </w:r>
          </w:p>
        </w:tc>
      </w:tr>
    </w:tbl>
    <w:p>
      <w:pPr>
        <w:spacing w:after="40"/>
      </w:pPr>
    </w:p>
    <w:p>
      <w:pPr>
        <w:spacing w:after="140" w:line="283" w:lineRule="auto"/>
      </w:pPr>
      <w:r>
        <w:rPr>
          <w:rFonts w:ascii="Microsoft YaHei" w:hAnsi="Microsoft YaHei" w:eastAsia="Microsoft YaHei"/>
          <w:b w:val="0"/>
          <w:color w:val="0F172A"/>
          <w:sz w:val="21"/>
        </w:rPr>
        <w:t>这份引导材料的核心使用方式是：先让学生和教师各自找到唯一主线，再把 AI 诊断、引用来源、资料沉淀和画像更新放回这条主线中理解。这样即使平台入口较多，新用户也能先完成一个可验证的学习闭环。</w:t>
      </w:r>
    </w:p>
    <w:sectPr w:rsidR="00FC693F" w:rsidRPr="0006063C" w:rsidSect="00034616">
      <w:pgSz w:w="12240" w:h="15840"/>
      <w:pgMar w:top="935"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