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E28" w:rsidRPr="00AE3E28" w:rsidRDefault="00AE3E28" w:rsidP="00AE3E28">
      <w:pPr>
        <w:pStyle w:val="2"/>
        <w:rPr>
          <w:rFonts w:asciiTheme="majorEastAsia" w:hAnsiTheme="majorEastAsia"/>
        </w:rPr>
      </w:pPr>
      <w:bookmarkStart w:id="0" w:name="_GoBack"/>
      <w:r w:rsidRPr="00AE3E28">
        <w:rPr>
          <w:rFonts w:asciiTheme="majorEastAsia" w:hAnsiTheme="majorEastAsia" w:hint="eastAsia"/>
        </w:rPr>
        <w:t>雄安新区招投标活动中全面推行BIM+CIM技术，实现全生命周期管理！</w:t>
      </w:r>
    </w:p>
    <w:p w:rsidR="00A3185E" w:rsidRPr="00AE3E28" w:rsidRDefault="00AE3E28" w:rsidP="00AE3E28">
      <w:pPr>
        <w:rPr>
          <w:rFonts w:ascii="楷体" w:eastAsia="楷体" w:hAnsi="楷体" w:hint="eastAsia"/>
          <w:color w:val="000000" w:themeColor="text1"/>
          <w:szCs w:val="21"/>
        </w:rPr>
      </w:pPr>
      <w:r w:rsidRPr="00AE3E28">
        <w:rPr>
          <w:rFonts w:ascii="楷体" w:eastAsia="楷体" w:hAnsi="楷体" w:hint="eastAsia"/>
          <w:color w:val="000000" w:themeColor="text1"/>
          <w:szCs w:val="21"/>
        </w:rPr>
        <w:t>出处</w:t>
      </w:r>
      <w:r w:rsidRPr="00AE3E28">
        <w:rPr>
          <w:rFonts w:ascii="楷体" w:eastAsia="楷体" w:hAnsi="楷体"/>
          <w:color w:val="000000" w:themeColor="text1"/>
          <w:szCs w:val="21"/>
        </w:rPr>
        <w:t>：上海市红瓦信息科技</w:t>
      </w:r>
      <w:r w:rsidRPr="00AE3E28">
        <w:rPr>
          <w:rFonts w:ascii="楷体" w:eastAsia="楷体" w:hAnsi="楷体" w:hint="eastAsia"/>
          <w:color w:val="000000" w:themeColor="text1"/>
          <w:szCs w:val="21"/>
        </w:rPr>
        <w:t xml:space="preserve">  2019.1.20</w:t>
      </w:r>
    </w:p>
    <w:p w:rsidR="00AE3E28" w:rsidRPr="00AE3E28" w:rsidRDefault="00AE3E28" w:rsidP="00AE3E28">
      <w:pPr>
        <w:rPr>
          <w:rFonts w:ascii="楷体" w:eastAsia="楷体" w:hAnsi="楷体"/>
          <w:color w:val="000000" w:themeColor="text1"/>
          <w:szCs w:val="21"/>
        </w:rPr>
      </w:pPr>
      <w:r w:rsidRPr="00AE3E28">
        <w:rPr>
          <w:rFonts w:ascii="楷体" w:eastAsia="楷体" w:hAnsi="楷体" w:hint="eastAsia"/>
          <w:color w:val="000000" w:themeColor="text1"/>
          <w:szCs w:val="21"/>
        </w:rPr>
        <w:t>链接</w:t>
      </w:r>
      <w:r w:rsidRPr="00AE3E28">
        <w:rPr>
          <w:rFonts w:ascii="楷体" w:eastAsia="楷体" w:hAnsi="楷体"/>
          <w:color w:val="000000" w:themeColor="text1"/>
          <w:szCs w:val="21"/>
        </w:rPr>
        <w:t>：</w:t>
      </w:r>
      <w:hyperlink r:id="rId6" w:history="1">
        <w:r w:rsidRPr="00AE3E28">
          <w:rPr>
            <w:rStyle w:val="a5"/>
            <w:rFonts w:ascii="楷体" w:eastAsia="楷体" w:hAnsi="楷体"/>
            <w:color w:val="000000" w:themeColor="text1"/>
            <w:szCs w:val="21"/>
          </w:rPr>
          <w:t>http://www.hwbim.com/news/getNewsById?newsInfomationId=399</w:t>
        </w:r>
      </w:hyperlink>
    </w:p>
    <w:p w:rsidR="00AE3E28" w:rsidRPr="00AE3E28" w:rsidRDefault="00AE3E28" w:rsidP="00AE3E28">
      <w:pPr>
        <w:ind w:firstLineChars="200" w:firstLine="480"/>
        <w:rPr>
          <w:rFonts w:ascii="楷体" w:eastAsia="楷体" w:hAnsi="楷体"/>
          <w:sz w:val="24"/>
          <w:szCs w:val="24"/>
        </w:rPr>
      </w:pPr>
      <w:r w:rsidRPr="00AE3E28">
        <w:rPr>
          <w:rFonts w:ascii="楷体" w:eastAsia="楷体" w:hAnsi="楷体" w:hint="eastAsia"/>
          <w:sz w:val="24"/>
          <w:szCs w:val="24"/>
        </w:rPr>
        <w:t>雄安新区工程建设项目招标投标管理办法（试行）</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第一章 总 则</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一条为规范雄安新区工程建设项目招标投标活动，保护国家利益、社会公共利益和招标投标活动当事人的合法权益，提高资源配置效率，创造“雄安质量”，建设“廉洁雄安”，根据《中华人民共和国招标投标法》（以下简称《招标投标法》）、《中华人民共和国招标投标法实施条例》（以下简称《实施条例》）、《电子招标投标办法》等有关法律、法规、规章，结合雄安新区实际，制定本办法。</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第二条雄安新区范围内工程建设项目的招标投标及其管理活动，适用本办法。</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第三条雄安新区范围内工程建设项目的招标投标活动，遵循公开、诚信、高效和择优的原则。</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第四条雄安新区公共服务局是雄安新区工程建设项目招标投标活动的主管部门，负责招标投标活动的指导协调和综合监督。雄安新区综合执法局依法对招标投标活动中的违法违规行为进行查处。</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审计机关对使用财政性资金的项目实行全过程跟踪审计。</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第五条加强招标投标信息化建设，推行全程电子化招标投标。</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第六条实行全流程透明化管理，除涉及国家秘密、商业秘密和个人隐私的内容外，招标投标信息全部公开。</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第七条 在招标投标活动中，全面推行建筑信息模型（BIM）、城市信息模型（CIM）技术，实现工程建设项目全生命周期管理。</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第八条创新招标投标体制机制，建立招标投标信用体系，提高工作效率，降低社会成本，保障工程质量，做到廉洁诚信。</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第二章 招标准备</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九条对于符合《雄安新区建设项目投资审批改革试点方案》规定且列入雄安新区立项计划的项目，满足招标相关技术条件的，招标人可以先行招标。招标完成后，未完成其他必要审批、核准手续的，不得开展后续活动。</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招标人先行招标的，应当报雄安新区公共服务局批准，并提交风险承诺，自行承担因项目立项、规划条件等发生变化而导致招标失败的风险。</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第十条下列依法必须招标的项目，应当公开招标：</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（一）国家重大项目或省重点项目；</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（二）国有资金占控股或主导地位的项目；</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（三）法律法规规定的其他应当公开招标的项目。</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第十一条依法应当公开招标的项目，有下列情形之一的，可以进行邀请招标：</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（一）涉及国家安全、国家秘密或者抢险救灾，应招标但不宜公开招标的；</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（二）采用公开招标方式的费用占项目合同金额的比例超过1.5%，且采用邀请招标方式的费用明显低于公开招标方式费用的；</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（三）法律、法规、规章规定的其他情形。</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有前款所列情形之一采用邀请招标的，报雄安新区公共服务局批准。</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lastRenderedPageBreak/>
        <w:t>第十二条依法必须招标的项目，有下列情形之一的，可以不进行招标：</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（一）按照国家保密法律法规有关规定确认的涉密工程项目，且不适宜招标的；</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（二）两次招标失败且招标文件没有不合理条款、招标程序符合规定的；</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（三）法律、行政法规规定的其他情形。</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有前款所列情形之一不招标的，报雄安新区公共服务局批准。</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第十三条项目可行性研究批复后，招标人可以开展工程总承包项目招标。</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装配式建筑、超低能耗建筑及技术复杂项目原则上应采用工程总承包方式发包。</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第十四条工程总承包招标接受联合体投标的，牵头人应为设计单位或施工单位。</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前期咨询资料、成果对潜在投标人全部公开的，工程建设项目的可行性研究报告编制单位和方案编制单位可以参与工程总承包项目的投标。</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工程总承包单位可以直接发包总承包合同中涵盖的专业工程，但暂估价达到招标数额标准的除外。</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第三章 招 标</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第十五条招标人可以按项目专业类别分别进行集中资格预审。招标人进行集中资格预审的，应当发布资格预审公告，明确集中资格预审的适用范围、有效期限和资格条件，但不得限制、排斥潜在投标人。</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第十六条加强对招标代理机构及从业人员的管理，实行代理机构法人责任制。</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招标代理机构项目负责人应当具备工程建设类执业（水平）资格，并具有工程类或工程经济类中级及以上职称。</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国有资金占控股或者主导地位的依法必须招标项目委托招标的，应通过公开竞争的方式选择具有相应专业和合同管理能力的招标代理机构。</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第十七条雄安新区根据国家发布的标准招标文件，编制标准招标文本并向社会公开。国有资金占控股或者主导地位的依法必须招标项目，应使用雄安新区标准招标文本。</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招标人应当根据招标项目的特点和实际需要编制招标文件，招标文件中不得含有倾向或者排斥潜在投标人的条款，不得对潜在投标人实行歧视待遇。</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招标文件应合理设置支持技术创新、节能环保等相关条款，并明确BIM、CIM等技术的应用要求。</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第十八条招标项目在依法指定的媒介发布资格预审公告、招标公告的同时，应将项目信息、资格预审文件、招标文件向社会公开，并不加限制地提供免费下载。</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潜在投标人或者其他利害关系人对资格预审文件、招标文件提出异议的，招标人应当依法答复。招标人对资格预审文件、招标文件进行修改的，修改内容、理由和依据应在发布媒介上公开。</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第十九条招标人可以根据项目类别、技术复杂程度、规模大小、发包方式等因素合理确定投标文件编制时间。</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第二十条鼓励投标保证金采用电子保函形式。</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对信用等级较高的投标人，招标人可在招标文件中规定适当减少投标保证金的数额。</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第二十一条加强对招标项目中暂估价的管理，暂估价不得超过合同估算金额的5%。</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lastRenderedPageBreak/>
        <w:t>暂估价金额达到招标数额标准的，应当由招标人和承包人共同组织招标，承包人及其不具备法人资格的附属机构不得参加投标。</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第二十二条推行全过程工程咨询服务，使用财政性资金的项目应当实行全过程工程咨询服务。</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全过程工程咨询是指对工程建设项目前期研究和决策以及工程项目实施和运行（运营）的全生命周期提供包含设计和规划在内的涉及组织、管理、经济和技术等各有关方面的工程咨询服务。</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第二十三条依法必须招标的项目，可在计划实施投资时或项目立项后通过招标方式委托全过程工程咨询服务。</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经过依法招标的全过程工程咨询服务的项目，可不再另行组织工程勘察、设计、工程监理等单项咨询业务招标。</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二十四条承担全过程工程咨询服务的单位应具备相应业务的甲级及以上工程咨询资信评价等级或甲级工程设计资质的基本能力，同时还应具备基本能力以外的工程咨询资信评价、工程勘察、设计、监理、造价咨询和招标采购中的一项或一项以上资质或相应能力。</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承担全过程工程咨询服务的单位不能与本项目的工程总承包单位、施工单位以及建筑材料、构配件和设备供应单位之间存在控股、参股、隶属或其他管理等利益关系，不能为同一法定代表人。</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第四章 投 标</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第二十五条大型建设项目或结构复杂的项目，允许两个以上法人或者其他组织组成联合体投标。</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投标文件应附联合体共同投标的协议，并明确约定联合体各方分工。</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同一专业组成的联合体，按照联合体各方资质等级最低的认定其资质及业绩；不同专业组成的联合体，按照联合体协议分工</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承担工作对应各自的专业资质及其业绩认定。</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联合体投标的，联合体各方不得再以自己名义单独或者参加其他联合体在同一标段中投标。</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第二十六条招标人应当拒绝有下列情形之一的企业或从业人员参与投标，并在资格预审公告、招标公告或招标文件中予以明确。</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（一）近3年内（从资格预审公告或招标公告发布之日起倒算）投标人或其法定代表人有行贿犯罪记录的；</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（二）近1年内（从截标之日起倒算）因串通投标、转包、以他人名义投标或者违法分包等违法行为受到行政处罚的；</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（三）因违反工程质量、安全生产管理规定等原因被给予行政处罚且在处罚期内的；</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（四）拖欠工人工资被有关部门责令改正而未改正或被列入拖欠工资“黑名单”且在公示期内的；</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（五）被列入失信被执行人名单或被列入“信用中国”的其他失信行为，且在公示期内的；</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（六）依法应当拒绝投标的其他情形。</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第二十七条招标人可以拒绝有下列情形之一的企业或从业人员参与投标，并在资格预审公告、招标公告或招标文件中予以明确。</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（一）被有关部门评为严重失信企业且正处在信用评价结果公示期内的；</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（二）近3年内（从截标之日起倒算）曾被本项目招标人评价为履约不合格</w:t>
      </w:r>
      <w:r w:rsidRPr="00AE3E28">
        <w:rPr>
          <w:rFonts w:ascii="楷体" w:eastAsia="楷体" w:hAnsi="楷体" w:hint="eastAsia"/>
          <w:sz w:val="24"/>
          <w:szCs w:val="24"/>
        </w:rPr>
        <w:lastRenderedPageBreak/>
        <w:t>的；</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（三）近2年内（从截标之日起倒算）在本项目招标人实施的项目中存在无正当理由放弃中标资格、拒不签订合同、拒不提供履约担保情形的；</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（四）近3年内（从截标之日起倒算）受到警告、罚款等行政处罚，达到招标文件约定的次数或金额的；</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（五）因违反工程质量、安全生产管理规定，或者因串通投标、转包、以他人名义投标或者违法分包等违法行为，正在接受有关部门立案调查的。</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第二十八条有下列情形之一的，视为投标人相互串通投标：</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（一）不同投标人编制的投标文件存在两处以上错误一致的；</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（二）不同投标人使用同一电脑或者同一个加密工具编制投标文件的；</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（三）不同投标人提交电子投标文件的IP地址相同的；</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（四）参加投标活动的人员为同一标段其他投标人在职人员的。</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第二十九条有下列情形之一的，视为招标人或招标代理机构与投标人串通投标：</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（一）发现不同投标人的法定代表人、委托代理人、项目负责人属于同一单位，仍同意其继续参加投标的；</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（二）投标截止后，更换、篡改特定投标人投标文件的；</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（三）投标截止后，向特定投标人泄露其他投标人投标文件内容或者其他应当保密内容的；</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（四）以胁迫、劝退、利诱等方式，使特定投标人以外的其他投标人放弃投标或者使中标人放弃中标的；</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（五）依法应当招标的项目，未确定中标人前，投标人已开展招标范围内工作的。</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第三十条有下列情形之一的，属于投标人弄虚作假：</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（一）使用虚假的业绩、荣誉、合同、财务状况、信用状况等；</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（二）提供虚假的项目机构组成人员简历、劳动关系证明、社保证明等招标文件要求的相关证书或资料；</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（三）其他弄虚作假的情形。</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br/>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第五章 开标、评标和中标</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第三十一条评标工作应在雄安新区公共资源交易中心或雄安新区公共服务局认定的评标场所进行。</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具备满足保密要求和视频传输条件场地的，可开展远程异地评标。</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第三十二条雄安新区管委会负责组建和管理雄安新区综合评标专家库。根据个人资历、获奖情况、考核评价情况，将评标专家分为资深专家、普通专家，实行分级管理。</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雄安新区建立专家动态管理和考核评价机制，考核不合格的或在评标活动中存在违法违规行为的，取消评标专家资格。</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第三十三条评标委员会由招标人负责组建。</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一般项目的评标委员会主任，应从资深专家中抽取，其他成员可从普通专家中抽取。重大项目的评标委员会所有成员，应从资深专家中抽取。重新评标项目的评标委员会成员，应从资深专家中抽取。</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第三十四条依法必须招标的项目，评标委员会的专家成员应从雄安新区综合</w:t>
      </w:r>
      <w:r w:rsidRPr="00AE3E28">
        <w:rPr>
          <w:rFonts w:ascii="楷体" w:eastAsia="楷体" w:hAnsi="楷体" w:hint="eastAsia"/>
          <w:sz w:val="24"/>
          <w:szCs w:val="24"/>
        </w:rPr>
        <w:lastRenderedPageBreak/>
        <w:t>评标专家库内相关专业专家中随机抽取并严格保密，抽取过程要确保数据留痕。</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技术复杂、专业性强或者国家有特殊要求，采取随机抽取方式确定的专家难以保证胜任评标工作的特殊项目，经雄安新区公共服务局批准，由招标人自主选定评标专家。</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第三十五条依法必须招标的项目，可以采用两阶段开标评标。第一阶段，开启商务技术文件并评审，第二阶段开启报价文件并评审。</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商务技术文件和报价文件应分别密封、同时递交、分阶段开封。未通过第一阶段评审的，不得参加第二阶段开标，并将报价文件原封退还投标人。</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第三十六条采用两阶段开标评标的，商务技术文件评审可采用有限数量制或合格制。</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有限数量制，招标人应在招标文件中明确通过资格预审的数量和方法。合格制，采用定性评审的方式确定，但不限定具体数量。报价文件评审按照招标文件规定的方法进行。</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第三十七条评标委员会成员在量化评审中，减分应有客观依据，并书面说明理由。</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评标委员会完成评标后，应当向招标人提出书面评标报告，并推荐合格的中标候选人。</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第三十八条招标人根据评标委员会提出的书面评标报告和推荐的中标候选人确定中标人。招标人也可以授权评标委员会直接确定中标人。</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中标候选人放弃中标、因不可抗力不能履行合同、不按照招标文件要求提交履约保证金，或者被查实存在影响中标结果的违法行为等情形，不符合中标条件的，不得确定为中标人。</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招标人对定标结果负责。</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三十九条招标人和中标人应当依照《招标投标法》《实施条例》的规定签订书面合同，合同的标的、价款、质量、履行期限等主要条款应当与招标文件和中标人的投标文件的内容一致。招标人和中标人不得再行订立背离合同实质性内容的其他协议。</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第四十条 依法必须招标的项目，除涉及国家秘密、商业秘密和个人隐私的内容外，开标、评标、中标结果以及合同订立情况应在“雄安新区招标投标公共服务平台”“河北省招标投标公共服务平台”“中国招标投标公共服务平台”全部公开，公示期不少于3日，发布平台按规定同步交互至全国公共资源交易平台（河北省）。</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第六章 合同履约管理及信用体系建设</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四十一条雄安新区工程建设项目在勘察、设计、施工等阶段均应按照约定应用BIM、CIM等技术，加强合同履约管理，积极推行合同履行信息在“雄安新区招标投标公共服务平台”“河北省招标投标公共服务平台”“中国招标投标公共服务平台”公开。</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发包人重点监控承包人的项目经理和关键岗位人员履约情况、是否存在转包和违法分包、设计变更、工程质量、文明施工、安全生产、设备使用、材料管理、工程进度、工程造价管理等。</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第四十二条承包人应当按照合同约定履行义务，完成中标项目。承包人不得向他人转让中标项目，也不得将中标项目肢解后分别向他人转让。</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承包人按照合同约定或者经发包人同意，可以将中标项目的部分非主体、非关键性工作分包给他人完成。接受分包的人应当具备相应的资格条件，并不得再</w:t>
      </w:r>
      <w:r w:rsidRPr="00AE3E28">
        <w:rPr>
          <w:rFonts w:ascii="楷体" w:eastAsia="楷体" w:hAnsi="楷体" w:hint="eastAsia"/>
          <w:sz w:val="24"/>
          <w:szCs w:val="24"/>
        </w:rPr>
        <w:lastRenderedPageBreak/>
        <w:t>次分包。</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承包人应当就分包项目向发包人负责，接受分包的人就分包项目承担连带责任。</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第四十三条合同中确定的建设规模、建设标准、建设内容、合同价格等，应控制在审批、核准的文件范围内；确需超出规定范围的，报项目原审批、核准部门同意。</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第四十四条结合BIM、CIM等技术应用，逐步推行工程质量保险制度代替工程监理制度。</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第四十五条建立招标投标后评估机制，雄安新区公共服务局从综合评标专家库中随机抽取5人以上单数的资深专家组成评估小组。</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被评估项目的招标代理机构人员、文件编制审核人员、评标委员会成员应当回避。</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第四十六条合同签订后，雄安新区公共服务局应组织评估小组对招标项目的招标组织、招标文件编制、专家评标质量等方面进行评估，评估结果记入信用评价体系。</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项目竣工验收后，发包人应组织评估小组对招标投标效果、项目实施效果等方面与项目前期可行性研究报告、勘察设计成果进行对比分析评估，评估结果记入信用评价体系。</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第四十七条建设以大数据和区块链为基础的企业和个人诚信评价体系，实时公布各方主体信用信息及信用评价指数。</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信用评价指数应作为投标人及其从业人员的评价指标。招标人应根据项目的特点和实际需要在招标文件中明确信用评价指数具体要求。</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雄安新区建立黑名单制度。列入黑名单的从业单位和从业人员不得参与雄安新区的工程项目建设。</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第七章 信息共享及新技术应用</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第四十八条实行公告发布、招标文件发出、投标文件递交、开标、评标、中标、合同签订全流程电子化招标。</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建立雄安新区招标投标公共服务平台、交易平台和行政监督平台。</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鼓励社会招标投标电子交易平台对接雄安新区招标投标公共服务平台，通过公平竞争参与雄安新区招投标活动。</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第四十九条 逐步对接市场监督、税务、公安、法院、海关、银保监等管理部门及行业协会相关数据，推进招标投标主体数据共享。</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第五十条建立基于区块链技术的网络可信身份认证体系和证照库，项目信息、企业信息、人员信息、文件流转、资金支付等信息通过区块链技术加密备份。</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五十一条加强对招标投标大数据智能分析，依托雄安新区招标投标公共服务平台、交易平台和行政监督平台，在招标投标和工程建设各环节，对招标人、投标人、招标代理机构、评标专家等主体进行全方位数据采集和研判分析，并纳入信用评价体系，降低决策风险和廉政风险。</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第八章 监督管理</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第五十二条建立以“双随机、一公开”监管为手段、以重点监督为补充、以信用监管为基础的监管机制。</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采用现场监督与在线监督相结合的方式，对招标投标活动进行监督。发现违反法律、法规和规章的，应当及时制止或者责令整改，必要时可暂停招标投标活动。</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lastRenderedPageBreak/>
        <w:t>第五十三条畅通投诉渠道，建立网上投诉平台。投诉内容及其处理结果依法公开，接受舆论和公众监督。</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第五十四条建立雄安新区综合执法局、公共服务局、改革发展局、审计、监察、公安等部门联席工作机制，开展联动执法，及时查处招标投标违法行为。</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第五十五条违反本办法规定，被认定为投标人相互串通投标或者与招标人串通投标的，按照《招标投标法》《实施条例》有关规定处罚。</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第五十六条违反本办法规定，被认定为弄虚作假骗取中标的，按照《招标投标法》《实施条例》有关规定处罚。</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第五十七条违反本办法规定，承包人转包、违法分包的，转包、分包无效，按照《招标投标法》《实施条例》有关规定处罚。</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第五十八条国家工作人员在工程建设项目招标投标活动中，有违法违规行为的，依法依纪处理，涉嫌犯罪的，依法移送司法机关处理。</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第九章 附 则</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第五十九条本办法未尽事宜，按照有关法律、法规、规章执行。</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第六十条 本办法不适用于国际竞争性招标项目。</w:t>
      </w:r>
    </w:p>
    <w:p w:rsidR="00AE3E28" w:rsidRPr="00AE3E28" w:rsidRDefault="00AE3E28" w:rsidP="00AE3E28">
      <w:pPr>
        <w:ind w:firstLineChars="200" w:firstLine="480"/>
        <w:rPr>
          <w:rFonts w:ascii="楷体" w:eastAsia="楷体" w:hAnsi="楷体" w:hint="eastAsia"/>
          <w:sz w:val="24"/>
          <w:szCs w:val="24"/>
        </w:rPr>
      </w:pPr>
      <w:r w:rsidRPr="00AE3E28">
        <w:rPr>
          <w:rFonts w:ascii="楷体" w:eastAsia="楷体" w:hAnsi="楷体" w:hint="eastAsia"/>
          <w:sz w:val="24"/>
          <w:szCs w:val="24"/>
        </w:rPr>
        <w:t>第六十一条本办法自2019年1月11日起施行。</w:t>
      </w:r>
    </w:p>
    <w:bookmarkEnd w:id="0"/>
    <w:p w:rsidR="00AE3E28" w:rsidRPr="00AE3E28" w:rsidRDefault="00AE3E28" w:rsidP="00AE3E28">
      <w:pPr>
        <w:ind w:firstLineChars="200" w:firstLine="480"/>
        <w:rPr>
          <w:rFonts w:ascii="楷体" w:eastAsia="楷体" w:hAnsi="楷体" w:hint="eastAsia"/>
          <w:sz w:val="24"/>
          <w:szCs w:val="24"/>
        </w:rPr>
      </w:pPr>
    </w:p>
    <w:sectPr w:rsidR="00AE3E28" w:rsidRPr="00AE3E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4357" w:rsidRDefault="00824357" w:rsidP="00AE3E28">
      <w:r>
        <w:separator/>
      </w:r>
    </w:p>
  </w:endnote>
  <w:endnote w:type="continuationSeparator" w:id="0">
    <w:p w:rsidR="00824357" w:rsidRDefault="00824357" w:rsidP="00AE3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4357" w:rsidRDefault="00824357" w:rsidP="00AE3E28">
      <w:r>
        <w:separator/>
      </w:r>
    </w:p>
  </w:footnote>
  <w:footnote w:type="continuationSeparator" w:id="0">
    <w:p w:rsidR="00824357" w:rsidRDefault="00824357" w:rsidP="00AE3E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8B7"/>
    <w:rsid w:val="00007436"/>
    <w:rsid w:val="000B2391"/>
    <w:rsid w:val="000B7207"/>
    <w:rsid w:val="000E29B5"/>
    <w:rsid w:val="000F73B0"/>
    <w:rsid w:val="0014466C"/>
    <w:rsid w:val="00183A63"/>
    <w:rsid w:val="001C060E"/>
    <w:rsid w:val="001F0CD4"/>
    <w:rsid w:val="001F7AC9"/>
    <w:rsid w:val="002529CE"/>
    <w:rsid w:val="0029372C"/>
    <w:rsid w:val="002E6EEB"/>
    <w:rsid w:val="003842B2"/>
    <w:rsid w:val="0038786D"/>
    <w:rsid w:val="00392CB9"/>
    <w:rsid w:val="003A3C3B"/>
    <w:rsid w:val="003B77CF"/>
    <w:rsid w:val="003E6029"/>
    <w:rsid w:val="004368E0"/>
    <w:rsid w:val="0048086E"/>
    <w:rsid w:val="004B007F"/>
    <w:rsid w:val="004B08C7"/>
    <w:rsid w:val="00521D91"/>
    <w:rsid w:val="00534B28"/>
    <w:rsid w:val="00537AB4"/>
    <w:rsid w:val="0058371F"/>
    <w:rsid w:val="00586547"/>
    <w:rsid w:val="00596433"/>
    <w:rsid w:val="005D734D"/>
    <w:rsid w:val="00766427"/>
    <w:rsid w:val="007933A7"/>
    <w:rsid w:val="007B60DE"/>
    <w:rsid w:val="007E09C4"/>
    <w:rsid w:val="00816EEB"/>
    <w:rsid w:val="00824357"/>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708B7"/>
    <w:rsid w:val="00A91B42"/>
    <w:rsid w:val="00AB5891"/>
    <w:rsid w:val="00AE3E28"/>
    <w:rsid w:val="00AE5022"/>
    <w:rsid w:val="00AE7D41"/>
    <w:rsid w:val="00AF0ED9"/>
    <w:rsid w:val="00B05DD1"/>
    <w:rsid w:val="00B13AE2"/>
    <w:rsid w:val="00B83E38"/>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F788A8-0F31-42ED-A71C-B09077870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AE3E2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E3E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E3E28"/>
    <w:rPr>
      <w:sz w:val="18"/>
      <w:szCs w:val="18"/>
    </w:rPr>
  </w:style>
  <w:style w:type="paragraph" w:styleId="a4">
    <w:name w:val="footer"/>
    <w:basedOn w:val="a"/>
    <w:link w:val="Char0"/>
    <w:uiPriority w:val="99"/>
    <w:unhideWhenUsed/>
    <w:rsid w:val="00AE3E28"/>
    <w:pPr>
      <w:tabs>
        <w:tab w:val="center" w:pos="4153"/>
        <w:tab w:val="right" w:pos="8306"/>
      </w:tabs>
      <w:snapToGrid w:val="0"/>
      <w:jc w:val="left"/>
    </w:pPr>
    <w:rPr>
      <w:sz w:val="18"/>
      <w:szCs w:val="18"/>
    </w:rPr>
  </w:style>
  <w:style w:type="character" w:customStyle="1" w:styleId="Char0">
    <w:name w:val="页脚 Char"/>
    <w:basedOn w:val="a0"/>
    <w:link w:val="a4"/>
    <w:uiPriority w:val="99"/>
    <w:rsid w:val="00AE3E28"/>
    <w:rPr>
      <w:sz w:val="18"/>
      <w:szCs w:val="18"/>
    </w:rPr>
  </w:style>
  <w:style w:type="character" w:styleId="a5">
    <w:name w:val="Hyperlink"/>
    <w:basedOn w:val="a0"/>
    <w:uiPriority w:val="99"/>
    <w:unhideWhenUsed/>
    <w:rsid w:val="00AE3E28"/>
    <w:rPr>
      <w:color w:val="0563C1" w:themeColor="hyperlink"/>
      <w:u w:val="single"/>
    </w:rPr>
  </w:style>
  <w:style w:type="paragraph" w:styleId="a6">
    <w:name w:val="Normal (Web)"/>
    <w:basedOn w:val="a"/>
    <w:uiPriority w:val="99"/>
    <w:semiHidden/>
    <w:unhideWhenUsed/>
    <w:rsid w:val="00AE3E28"/>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AE3E2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244152">
      <w:bodyDiv w:val="1"/>
      <w:marLeft w:val="0"/>
      <w:marRight w:val="0"/>
      <w:marTop w:val="0"/>
      <w:marBottom w:val="0"/>
      <w:divBdr>
        <w:top w:val="none" w:sz="0" w:space="0" w:color="auto"/>
        <w:left w:val="none" w:sz="0" w:space="0" w:color="auto"/>
        <w:bottom w:val="none" w:sz="0" w:space="0" w:color="auto"/>
        <w:right w:val="none" w:sz="0" w:space="0" w:color="auto"/>
      </w:divBdr>
    </w:div>
    <w:div w:id="165590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wbim.com/news/getNewsById?newsInfomationId=399"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1064</Words>
  <Characters>6065</Characters>
  <Application>Microsoft Office Word</Application>
  <DocSecurity>0</DocSecurity>
  <Lines>50</Lines>
  <Paragraphs>14</Paragraphs>
  <ScaleCrop>false</ScaleCrop>
  <Company>P R C</Company>
  <LinksUpToDate>false</LinksUpToDate>
  <CharactersWithSpaces>7115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2</cp:revision>
  <dcterms:created xsi:type="dcterms:W3CDTF">2019-02-21T06:37:00Z</dcterms:created>
  <dcterms:modified xsi:type="dcterms:W3CDTF">2019-02-21T06:42:00Z</dcterms:modified>
</cp:coreProperties>
</file>