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392" w:rsidRPr="007D3392" w:rsidRDefault="007D3392" w:rsidP="007D3392">
      <w:pPr>
        <w:pStyle w:val="2"/>
        <w:rPr>
          <w:rFonts w:asciiTheme="majorEastAsia" w:eastAsiaTheme="majorEastAsia" w:hAnsiTheme="majorEastAsia"/>
          <w:sz w:val="32"/>
          <w:szCs w:val="32"/>
        </w:rPr>
      </w:pPr>
      <w:r w:rsidRPr="007D3392">
        <w:rPr>
          <w:rFonts w:asciiTheme="majorEastAsia" w:eastAsiaTheme="majorEastAsia" w:hAnsiTheme="majorEastAsia" w:hint="eastAsia"/>
          <w:sz w:val="32"/>
          <w:szCs w:val="32"/>
        </w:rPr>
        <w:t>一周动态|装配式建筑行业最新资讯（2019年1月22日-2019年</w:t>
      </w:r>
      <w:bookmarkStart w:id="0" w:name="_GoBack"/>
      <w:bookmarkEnd w:id="0"/>
      <w:r w:rsidRPr="007D3392">
        <w:rPr>
          <w:rFonts w:asciiTheme="majorEastAsia" w:eastAsiaTheme="majorEastAsia" w:hAnsiTheme="majorEastAsia" w:hint="eastAsia"/>
          <w:sz w:val="32"/>
          <w:szCs w:val="32"/>
        </w:rPr>
        <w:t>1月28日）</w:t>
      </w:r>
    </w:p>
    <w:p w:rsidR="00A3185E" w:rsidRPr="007D3392" w:rsidRDefault="007D3392" w:rsidP="007D3392">
      <w:pPr>
        <w:rPr>
          <w:rFonts w:ascii="楷体" w:eastAsia="楷体" w:hAnsi="楷体" w:hint="eastAsia"/>
          <w:color w:val="000000" w:themeColor="text1"/>
          <w:szCs w:val="21"/>
        </w:rPr>
      </w:pPr>
      <w:r w:rsidRPr="007D3392">
        <w:rPr>
          <w:rFonts w:ascii="楷体" w:eastAsia="楷体" w:hAnsi="楷体" w:hint="eastAsia"/>
          <w:color w:val="000000" w:themeColor="text1"/>
          <w:szCs w:val="21"/>
        </w:rPr>
        <w:t>出处</w:t>
      </w:r>
      <w:r w:rsidRPr="007D3392">
        <w:rPr>
          <w:rFonts w:ascii="楷体" w:eastAsia="楷体" w:hAnsi="楷体"/>
          <w:color w:val="000000" w:themeColor="text1"/>
          <w:szCs w:val="21"/>
        </w:rPr>
        <w:t>：</w:t>
      </w:r>
      <w:r w:rsidRPr="007D3392">
        <w:rPr>
          <w:rFonts w:ascii="楷体" w:eastAsia="楷体" w:hAnsi="楷体" w:hint="eastAsia"/>
          <w:color w:val="000000" w:themeColor="text1"/>
          <w:szCs w:val="21"/>
        </w:rPr>
        <w:t>广联达  2019.1.28</w:t>
      </w:r>
    </w:p>
    <w:p w:rsidR="007D3392" w:rsidRPr="007D3392" w:rsidRDefault="007D3392" w:rsidP="007D3392">
      <w:pPr>
        <w:rPr>
          <w:rFonts w:ascii="楷体" w:eastAsia="楷体" w:hAnsi="楷体"/>
          <w:color w:val="000000" w:themeColor="text1"/>
          <w:szCs w:val="21"/>
        </w:rPr>
      </w:pPr>
      <w:r w:rsidRPr="007D3392">
        <w:rPr>
          <w:rFonts w:ascii="楷体" w:eastAsia="楷体" w:hAnsi="楷体" w:hint="eastAsia"/>
          <w:color w:val="000000" w:themeColor="text1"/>
          <w:szCs w:val="21"/>
        </w:rPr>
        <w:t>链接：</w:t>
      </w:r>
      <w:hyperlink r:id="rId6" w:history="1">
        <w:r w:rsidRPr="007D3392">
          <w:rPr>
            <w:rStyle w:val="a5"/>
            <w:rFonts w:ascii="楷体" w:eastAsia="楷体" w:hAnsi="楷体"/>
            <w:color w:val="000000" w:themeColor="text1"/>
            <w:szCs w:val="21"/>
          </w:rPr>
          <w:t>https://mp.weixin.qq.com/s/MWTluIoN4rJoV0iVKIQp5g</w:t>
        </w:r>
      </w:hyperlink>
    </w:p>
    <w:p w:rsidR="007D3392" w:rsidRPr="007D3392" w:rsidRDefault="007D3392" w:rsidP="007D3392">
      <w:pPr>
        <w:rPr>
          <w:rFonts w:ascii="楷体" w:eastAsia="楷体" w:hAnsi="楷体"/>
          <w:b/>
          <w:sz w:val="24"/>
          <w:szCs w:val="24"/>
        </w:rPr>
      </w:pPr>
      <w:r>
        <w:rPr>
          <w:rFonts w:ascii="楷体" w:eastAsia="楷体" w:hAnsi="楷体" w:hint="eastAsia"/>
          <w:b/>
          <w:sz w:val="24"/>
          <w:szCs w:val="24"/>
        </w:rPr>
        <w:t>一、</w:t>
      </w:r>
      <w:r w:rsidRPr="007D3392">
        <w:rPr>
          <w:rFonts w:ascii="楷体" w:eastAsia="楷体" w:hAnsi="楷体" w:hint="eastAsia"/>
          <w:b/>
          <w:sz w:val="24"/>
          <w:szCs w:val="24"/>
        </w:rPr>
        <w:t>政策</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住建部发文要求各地报送2018年度装配式建筑发展情况</w:t>
      </w:r>
      <w:r w:rsidRPr="007D3392">
        <w:rPr>
          <w:rFonts w:ascii="Calibri" w:eastAsia="楷体" w:hAnsi="Calibri" w:cs="Calibri"/>
          <w:b/>
          <w:sz w:val="24"/>
          <w:szCs w:val="24"/>
        </w:rPr>
        <w:t> </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为贯彻落实中央城市工作会议、《国务院办公厅关于大力发展装配式建筑的指导意见》和《“十三五”装配式建筑行动方案》精神，了解掌握各地装配式建筑推进情况，近日，住建部发布《关于开展2018年度装配式建筑发展情况统计工作的通知》，全面开展2018年度装配式建筑发展情况统计工作。重点统计2018年度各地发展装配式建筑情况，包括装配式建筑组织机构建设情况、政策措施及目标任务情况、标准规范编制情况、项目落实情况、技术体系情况、生产产能情况、示范城市和产业基地情况，以及存在的问题和工作建议。</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全国八大员正式恢复</w:t>
      </w:r>
      <w:r w:rsidRPr="007D3392">
        <w:rPr>
          <w:rFonts w:ascii="Calibri" w:eastAsia="楷体" w:hAnsi="Calibri" w:cs="Calibri"/>
          <w:sz w:val="24"/>
          <w:szCs w:val="24"/>
        </w:rPr>
        <w:t> </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2019年1月24日，住房和城乡建设部官网发布《住房和城乡建设部关于改进住房和城乡建设领域 施工现场专业人员职业培训工作的指导意见》，明确提出：</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坚持统一标准、分类指导和属地管理，构建企业、行业组织、职业院校和社会力量共同参与的施工现场专业人员职业教育培训体系。</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省级住房和城乡建设主管部门要结合实际，制定本地区施工现场专业人员职业培训工作管理办法，确定施工现场专业人员职业培训机构应当具备的基本条件，及时公布符合条件的培训机构名单，供参训人员自主选择。</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住建部将依据职业标准、培训考核评价大纲，结合工程建设项目施工现场实际需求，建立全国统一测试题库，供各地培训机构免费使用。培训机构按照要求完成培训内容后，应组织参训人员进行培训考核，对考核合格者颁发培训合格证书，作为施工现场专业人员培训后具备相应专业知识水平的证明。</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住建部批准2019年第一批建设工程企业资质延续</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根据《中华人民共和国建筑法》及有关建设工程类企业资质管理规定，近日，住房和城乡建设部发布《关于批准2019年第一批建设工程企业资质延续的通知》，批准北京超达幕墙装饰工程有限责任公司等110家单位工程设计资质延续，北京方圆工程监理有限公司等43家单位工程监理企业资质延续，云南岩土工程勘察设计研究院工程勘察资质延续，未予批准的单位可登录住建部网站（www.mohurd.gov.cn），点击“办事大厅”中“受理发证信息查询”栏目进行查询。</w:t>
      </w:r>
      <w:r w:rsidRPr="007D3392">
        <w:rPr>
          <w:rFonts w:ascii="Calibri" w:eastAsia="楷体" w:hAnsi="Calibri" w:cs="Calibri"/>
          <w:sz w:val="24"/>
          <w:szCs w:val="24"/>
        </w:rPr>
        <w:t> </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住建部主管部门将全面排查"挂证"</w:t>
      </w:r>
      <w:r w:rsidRPr="007D3392">
        <w:rPr>
          <w:rFonts w:ascii="Calibri" w:eastAsia="楷体" w:hAnsi="Calibri" w:cs="Calibri"/>
          <w:b/>
          <w:sz w:val="24"/>
          <w:szCs w:val="24"/>
        </w:rPr>
        <w:t> </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近日，住房和城乡建设部办公厅、人力资源和社会保障部办公厅、交通运输部办公厅等七部门联合下发了《关于开展工程建设领域专业技术人员职业资格“挂证”等违法违规行为专项整治的通知》，现已公布实施。</w:t>
      </w:r>
      <w:r w:rsidRPr="007D3392">
        <w:rPr>
          <w:rFonts w:ascii="Calibri" w:eastAsia="楷体" w:hAnsi="Calibri" w:cs="Calibri"/>
          <w:sz w:val="24"/>
          <w:szCs w:val="24"/>
        </w:rPr>
        <w:t> </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江苏省发布第二批装配式建筑部品构件生产基地名录</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为进一步推动江苏省装配式建筑发展，促进部品构件的标准化、规模化、专业化、信息化生产，保障装配式建筑工程的质量，根据2018年建筑产业现代化工作计划安排，近日，江苏省住建厅组织开展了第二批装配式建筑部品构件生产</w:t>
      </w:r>
      <w:r w:rsidRPr="007D3392">
        <w:rPr>
          <w:rFonts w:ascii="楷体" w:eastAsia="楷体" w:hAnsi="楷体" w:hint="eastAsia"/>
          <w:sz w:val="24"/>
          <w:szCs w:val="24"/>
        </w:rPr>
        <w:lastRenderedPageBreak/>
        <w:t>基地名录编制工作。经企业申报、主管部门推荐、省厅复核，筛选出生产装配式建筑部品构件企业76家，现已公布。</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山东东营市发布加快推进建筑业改革发展的实施意见</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为加快推进东营市建筑业改革发展，根据《山东省人民政府办公厅关于贯彻国办发〔2017〕19号文件促进建筑业改革发展的实施意见》（鲁政办发〔2017〕57号）精神，近日，经东营市政府同意，提出了关于加快推进建筑业改革发展的实施意见，现已发布实施。</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湖北发布《装配整体式混凝土叠合剪力墙结构技术规程》地方标准</w:t>
      </w:r>
      <w:r w:rsidRPr="007D3392">
        <w:rPr>
          <w:rFonts w:ascii="Calibri" w:eastAsia="楷体" w:hAnsi="Calibri" w:cs="Calibri"/>
          <w:sz w:val="24"/>
          <w:szCs w:val="24"/>
        </w:rPr>
        <w:t> </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近日，湖北省住房和城乡建设厅发布地方标准《装配整体式混凝土叠合剪力墙结构技术规程》，该标准自2019年3月1日实施。</w:t>
      </w:r>
      <w:r w:rsidRPr="007D3392">
        <w:rPr>
          <w:rFonts w:ascii="Calibri" w:eastAsia="楷体" w:hAnsi="Calibri" w:cs="Calibri"/>
          <w:sz w:val="24"/>
          <w:szCs w:val="24"/>
        </w:rPr>
        <w:t> </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安徽省界首市七个“强化”加快推进绿色建筑及装配式建筑发展</w:t>
      </w:r>
    </w:p>
    <w:p w:rsidR="007D3392" w:rsidRPr="007D3392" w:rsidRDefault="007D3392" w:rsidP="007D3392">
      <w:pPr>
        <w:ind w:firstLineChars="200" w:firstLine="480"/>
        <w:rPr>
          <w:rFonts w:ascii="楷体" w:eastAsia="楷体" w:hAnsi="楷体"/>
          <w:sz w:val="24"/>
          <w:szCs w:val="24"/>
        </w:rPr>
      </w:pPr>
      <w:r w:rsidRPr="007D3392">
        <w:rPr>
          <w:rFonts w:ascii="楷体" w:eastAsia="楷体" w:hAnsi="楷体" w:hint="eastAsia"/>
          <w:sz w:val="24"/>
          <w:szCs w:val="24"/>
        </w:rPr>
        <w:t>安徽界首市围绕“创新、协调、绿色、开放、共享”五大发展理念，立足“品质慢城、乐居界首”城市定位，出台了《加快推进绿色建筑及装配式建筑发展实施方案》，以发展绿色建筑为方向，加快推进建筑产业现代化，推动建筑业转型升级。</w:t>
      </w:r>
    </w:p>
    <w:p w:rsidR="007D3392" w:rsidRPr="007D3392" w:rsidRDefault="007D3392" w:rsidP="007D3392">
      <w:pPr>
        <w:rPr>
          <w:rFonts w:ascii="楷体" w:eastAsia="楷体" w:hAnsi="楷体"/>
          <w:b/>
          <w:sz w:val="24"/>
          <w:szCs w:val="24"/>
        </w:rPr>
      </w:pPr>
      <w:r w:rsidRPr="007D3392">
        <w:rPr>
          <w:rFonts w:ascii="楷体" w:eastAsia="楷体" w:hAnsi="楷体" w:hint="eastAsia"/>
          <w:b/>
          <w:sz w:val="24"/>
          <w:szCs w:val="24"/>
        </w:rPr>
        <w:t>二</w:t>
      </w:r>
      <w:r w:rsidRPr="007D3392">
        <w:rPr>
          <w:rFonts w:ascii="楷体" w:eastAsia="楷体" w:hAnsi="楷体"/>
          <w:b/>
          <w:sz w:val="24"/>
          <w:szCs w:val="24"/>
        </w:rPr>
        <w:t>、地方</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“三一杯”首届全国装配式建筑职业技能竞赛各地掀起预赛热潮</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近期，由中国建设教育协会、中国就业培训技术指导中心、住房和城乡建设部科技与产业化发展中心（住房和城乡建设部住宅产业化促进中心）联合主办，北京博奥网络教育科技股份有限公司、三一筑工科技有限公司承办，中国建筑工业出版社、山东新之筑信息科技有限公司共同协办的 2018 年中国技能大赛“三一杯”首届全国装配式建筑职业技能竞赛在全国各地掀起了预赛热潮。截至1月28日，全国已经有多个省市完成了预赛。预计在2019年1月底前，其余省市也将基本完成本地区的预赛。</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辽宁：近日，2018年中国技能大赛“三一杯”首届全国装配式建筑职业技能竞赛辽宁省预赛暨首届辽宁省装配式建筑职业技能竞赛圆满落幕，本届大赛是辽宁乃至东北地区的首次装配式建筑职业技能竞赛。本届竞赛共吸引了8家企业的14个代表队和3所高校参赛。</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湖南：近日，2018年中国技能大赛“三一杯”首届全国装配式建筑职业技能竞赛湖南省预赛圆满落幕，湖南地区选拔赛分别在长沙建筑工程学校和三能集成房屋股份有限公司进行理论知识竞赛和实际操作考核。本次竞赛分为职工组和学生组，职工组共吸引了6家企业15支队伍43名队员参赛，学生组共有12个学院的12支代表队24名队员参赛，共计67位选手。竞赛设置理论知识（30% ）和实际操作（70%）两环节。</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广西：近日，2018年中国技能大赛“三一杯”首届全国装配式建筑职业技能竞赛广西地区预赛在广西柳州装配式建筑现代化产业园举行。广西建工轨道装配公司、贺州通号公司、广西泰和远大公司三家企业均派出选手参加本次竞赛，竞赛分为理论知识和实际操作技能两部分，实际操作技能包括混凝土构件制作、混凝土构件装配、混凝土构件灌浆三个小组。</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四川：近日，由四川省装配式建筑产业协会主办的四川赛区在成都建工集团工业化建筑公司举行。本次大赛分职工组和学生组，共有来自四川省的10支代表队45人参赛。比赛主要考核参赛队伍装配式建筑相关政策法规、标准规范、设备常识等理论知识和现场实际操作能力。实操考核预制构件制作、预制构件安装和分仓灌浆工艺。学生组在电脑端仿真模拟，职工组的三个专业竞赛小组在实</w:t>
      </w:r>
      <w:r w:rsidRPr="007D3392">
        <w:rPr>
          <w:rFonts w:ascii="楷体" w:eastAsia="楷体" w:hAnsi="楷体" w:hint="eastAsia"/>
          <w:sz w:val="24"/>
          <w:szCs w:val="24"/>
        </w:rPr>
        <w:lastRenderedPageBreak/>
        <w:t>训基地现场操作，大赛由裁判员考核评分与计时，比赛气氛热烈而隆重。本次大赛获得各专业小组第一名的队伍将代表四川参加全国总决赛。</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广东：近日，广东赛区选拔赛在佛山建装、东莞润阳两个赛场举行，30多支参赛队伍、100多名选手，参加了理论笔试和分别展开了混凝土构件制作、混凝土构件装配、混凝土构件灌浆等三个实操项目的鏖战，角逐2019年2月底前举行的全国总决赛入场券。</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山东：近日，山东赛区职工组与学生组的比赛分别在山东城市建设学院和济南工程职业技术学院如期拉开帷幕。作为山东省首届装配式建筑技能大赛，共计吸引了来自全省45家院校和企业近100名优秀教师、技术骨干和专业学生参加。比赛分理论考试与实操仿真两大项。经过角逐，评选出本地区职工组与学生组获奖单位和个人，并推荐其参加全国总决赛。</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江苏</w:t>
      </w:r>
      <w:r w:rsidRPr="007D3392">
        <w:rPr>
          <w:rFonts w:ascii="Calibri" w:eastAsia="楷体" w:hAnsi="Calibri" w:cs="Calibri"/>
          <w:b/>
          <w:sz w:val="24"/>
          <w:szCs w:val="24"/>
        </w:rPr>
        <w:t> </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绿色建筑产业，万亿蛋糕待共享</w:t>
      </w:r>
      <w:r w:rsidRPr="007D3392">
        <w:rPr>
          <w:rFonts w:ascii="Calibri" w:eastAsia="楷体" w:hAnsi="Calibri" w:cs="Calibri"/>
          <w:b/>
          <w:sz w:val="24"/>
          <w:szCs w:val="24"/>
        </w:rPr>
        <w:t> </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近日，在江苏淮安举行的2019中国（淮安）绿色建筑产业发展论坛上，相关行业的专家学者、政府部门、企业家代表指出，作为建筑行业“生力军”,绿色建筑从概念化一跃成为了供给侧结构性改革中大力推行的“新宠儿”。绿色建筑不仅在 “增量建设”中空间无限，而且对“存量改造”也拥有庞大市场，住建部原副部长仇保兴曾预测，2020年前我国用于节能建筑项目投资将至少达到1.5万亿元。</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山西</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“租”有硬指标 “绿”是主色调 太原地产业要有大动作</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从2019年起，太原市新出具商品住房地块规划条件时，要求至少配建住宅面积20%的租赁住房；从2019年起，山西省绿色建筑占新建建筑面积比例要提高到45%。配建租赁住房、加大绿色建筑比例都出台规定具体到精确的百分比，2019年太原市的地产业将会更加规范、健康。</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广西</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广西已建成投产23个装配式建筑生产基地</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近日，笔者从2019年广西装配式建筑现场观摩会上获悉，截至2018年12月，全区装配式建筑生产基地已成功竣工投产23个，建设中9个，预计全部建成后，广西装配式混凝土构件产能将达到约340万立方米，装配式钢结构产能将达到约180万吨。此外，全区还有30个装配式建筑项目开工建设，总建筑面积超过200万平方米。</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河南</w:t>
      </w:r>
      <w:r w:rsidRPr="007D3392">
        <w:rPr>
          <w:rFonts w:ascii="Calibri" w:eastAsia="楷体" w:hAnsi="Calibri" w:cs="Calibri"/>
          <w:b/>
          <w:sz w:val="24"/>
          <w:szCs w:val="24"/>
        </w:rPr>
        <w:t> </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新乡市下发实施方案 加快发展装配式建筑</w:t>
      </w:r>
      <w:r w:rsidRPr="007D3392">
        <w:rPr>
          <w:rFonts w:ascii="Calibri" w:eastAsia="楷体" w:hAnsi="Calibri" w:cs="Calibri"/>
          <w:b/>
          <w:sz w:val="24"/>
          <w:szCs w:val="24"/>
        </w:rPr>
        <w:t> </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为形成产业集聚效应，加快建设国家级装配式建筑示范高地。近日，新乡市依托中国建筑科学研究院在装配式建筑方面的研发和设计优势，发挥河南天丰绿色装配集团、河南二建等国家级装配式建筑产业基地在配套产品方面的优势，组建新乡市钢结构装配式建筑产业发展集团，实现强强联合和优势互补，形成装配式建筑发展的创新链、产业链、资金链，打造经济社会发展新的增长极。</w:t>
      </w:r>
    </w:p>
    <w:p w:rsidR="007D3392" w:rsidRPr="007D3392" w:rsidRDefault="007D3392" w:rsidP="007D3392">
      <w:pPr>
        <w:ind w:firstLineChars="200" w:firstLine="480"/>
        <w:rPr>
          <w:rFonts w:ascii="楷体" w:eastAsia="楷体" w:hAnsi="楷体"/>
          <w:sz w:val="24"/>
          <w:szCs w:val="24"/>
        </w:rPr>
      </w:pPr>
      <w:r w:rsidRPr="007D3392">
        <w:rPr>
          <w:rFonts w:ascii="楷体" w:eastAsia="楷体" w:hAnsi="楷体" w:hint="eastAsia"/>
          <w:sz w:val="24"/>
          <w:szCs w:val="24"/>
        </w:rPr>
        <w:t>新乡市计划到2020年，装配式建筑占新建建筑面积的比例达到30%以上，占政府投资的项目和棚户区安置房项目60%以上，新建装配式建筑面积300万平方米，培育2个省级以上装配式建筑产业基地。</w:t>
      </w:r>
    </w:p>
    <w:p w:rsidR="007D3392" w:rsidRPr="007D3392" w:rsidRDefault="007D3392" w:rsidP="007D3392">
      <w:pPr>
        <w:ind w:left="482" w:hangingChars="200" w:hanging="482"/>
        <w:rPr>
          <w:rFonts w:ascii="楷体" w:eastAsia="楷体" w:hAnsi="楷体" w:hint="eastAsia"/>
          <w:b/>
          <w:sz w:val="24"/>
          <w:szCs w:val="24"/>
        </w:rPr>
      </w:pPr>
      <w:r w:rsidRPr="007D3392">
        <w:rPr>
          <w:rFonts w:ascii="楷体" w:eastAsia="楷体" w:hAnsi="楷体" w:hint="eastAsia"/>
          <w:b/>
          <w:sz w:val="24"/>
          <w:szCs w:val="24"/>
        </w:rPr>
        <w:t>三</w:t>
      </w:r>
      <w:r w:rsidRPr="007D3392">
        <w:rPr>
          <w:rFonts w:ascii="楷体" w:eastAsia="楷体" w:hAnsi="楷体"/>
          <w:b/>
          <w:sz w:val="24"/>
          <w:szCs w:val="24"/>
        </w:rPr>
        <w:t>、企业</w:t>
      </w:r>
      <w:r w:rsidRPr="007D3392">
        <w:rPr>
          <w:rFonts w:ascii="楷体" w:eastAsia="楷体" w:hAnsi="楷体" w:hint="eastAsia"/>
          <w:b/>
          <w:sz w:val="24"/>
          <w:szCs w:val="24"/>
        </w:rPr>
        <w:br/>
        <w:t>2019广东省绿色建筑发展交流会召开</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lastRenderedPageBreak/>
        <w:t>近日，打造有质量的绿色建筑——2019广东省绿色建筑发展交流会在广州召开。会议以“绿色建筑行业发展回顾与展望”和“绿色建筑行业分享高级研讨”为宗旨，为推动绿色建筑的可持续发展进行有益的探索，以更深入地开展全行业交流，助力推进全省绿色建筑质量提升。</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中建新科技“一体化”建造优势备受瞩目</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近日，记者从中建科技2019年工作会上获悉，中建科技作为开展装配式建筑业务、模块化建筑业务的投资平台、产业平台和技术平台，开展绿色建筑、智慧建筑、未来建筑等相关建筑科技业务的产业平台和技术平台，始终以“技术研发和产品研发”为先导，以“科技创新”作为核心竞争力，精心打造“一站式”产品供应链平台，向客户提供高品质的建筑产品和服务，备受各界瞩目。</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目前，该公司“三个一体化”的建造技术，“四个标准化”的设计技术，还有RMEPC“五位一体”的建造管理模式，已经成为抢得市场先机、谋求高质量发展的特色优势。正在逐步形成的“十大产品”体系：装配式剪力墙高层住宅体系；全装配式多低层住宅体系；PC框架体系；混凝土结构体系；预应力结构体系；钢结构体系；模块化结构体系；主次框架结构体系；交错桁架结构体系；內浇外挂结构体系，使该公司的行业领先优势更加明显。</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卓达全装配式9°抗震巨无霸“创盛一号” 研发成功</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近日，由卓达与哈工大联合研发，卓达拥有核心技术、全新自主知识产权的全装配式轻体板房屋“创盛一号”在重庆大学振动台实验室顺利完成了9°抗震实验，在9°罕遇地震下，“创盛一号”所有部件包括楼板、墙板及连接节点等均未出现任何损伤和破坏，这一成果标志历时两年卓达全装配式9°抗震巨无霸“创盛一号”研发成功。四川省已经正式通过卓达抗九级烈度FR体系验收。四川等地已决定一切建筑必须抗地震九级烈度，卓达体系是唯一入选者。目前，已在云贵川渝大西南地区强制推广，此地区年建筑额约2万亿。</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上海建工材料工程有限公司实现新的跨越发展</w:t>
      </w:r>
      <w:r w:rsidRPr="007D3392">
        <w:rPr>
          <w:rFonts w:ascii="Calibri" w:eastAsia="楷体" w:hAnsi="Calibri" w:cs="Calibri"/>
          <w:b/>
          <w:sz w:val="24"/>
          <w:szCs w:val="24"/>
        </w:rPr>
        <w:t> </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上海建工材料工程有限公司第一构件厂是一家引领上海装配式PC建筑绿色发展的专业化厂家，2017年入选国家首批装配式建筑产业基地，2018年被科技部列为“十三五”国家重点研发计划系列化标准化预制构件生产制造示范基地，参建的上海周康航拓展基地动迁安置房项目获2018年中国土木工程詹天佑奖优秀小区金奖（保障房项目），先后多次荣获上海市文明场站、上海市第二届装配式建筑先进集体等荣誉称号。近日，该公司第一构件厂被上海市人民政府授予上海市重点工程实事立功竞赛金杯团队，实现新的跨越发展。</w:t>
      </w:r>
    </w:p>
    <w:p w:rsidR="007D3392" w:rsidRPr="007D3392" w:rsidRDefault="007D3392" w:rsidP="007D3392">
      <w:pPr>
        <w:ind w:firstLineChars="200" w:firstLine="482"/>
        <w:rPr>
          <w:rFonts w:ascii="楷体" w:eastAsia="楷体" w:hAnsi="楷体" w:hint="eastAsia"/>
          <w:b/>
          <w:sz w:val="24"/>
          <w:szCs w:val="24"/>
        </w:rPr>
      </w:pPr>
      <w:r w:rsidRPr="007D3392">
        <w:rPr>
          <w:rFonts w:ascii="楷体" w:eastAsia="楷体" w:hAnsi="楷体" w:hint="eastAsia"/>
          <w:b/>
          <w:sz w:val="24"/>
          <w:szCs w:val="24"/>
        </w:rPr>
        <w:t>远大住宅工业集团与内蒙古住建厅签订装配式建筑发展战略合作协议</w:t>
      </w:r>
    </w:p>
    <w:p w:rsidR="007D3392" w:rsidRPr="007D3392" w:rsidRDefault="007D3392" w:rsidP="007D3392">
      <w:pPr>
        <w:ind w:firstLineChars="200" w:firstLine="480"/>
        <w:rPr>
          <w:rFonts w:ascii="楷体" w:eastAsia="楷体" w:hAnsi="楷体" w:hint="eastAsia"/>
          <w:sz w:val="24"/>
          <w:szCs w:val="24"/>
        </w:rPr>
      </w:pPr>
      <w:r w:rsidRPr="007D3392">
        <w:rPr>
          <w:rFonts w:ascii="楷体" w:eastAsia="楷体" w:hAnsi="楷体" w:hint="eastAsia"/>
          <w:sz w:val="24"/>
          <w:szCs w:val="24"/>
        </w:rPr>
        <w:t>近日，长沙远大住宅工业集团股份有限公司与内蒙古自治区住房和城乡建设厅签订《装配式建筑发展战略合作协议》。双方将充分发挥各自优势，在装配式建筑多个领域开展合作，发展新型建造方式，打造装配式建筑体系，推动自治区装配式建筑的发展，提升建筑业工业化水平，促进自治区建筑业转型升级。</w:t>
      </w:r>
    </w:p>
    <w:p w:rsidR="007D3392" w:rsidRPr="007D3392" w:rsidRDefault="007D3392" w:rsidP="007D3392">
      <w:pPr>
        <w:ind w:firstLineChars="200" w:firstLine="480"/>
        <w:rPr>
          <w:rFonts w:ascii="楷体" w:eastAsia="楷体" w:hAnsi="楷体" w:hint="eastAsia"/>
          <w:sz w:val="24"/>
          <w:szCs w:val="24"/>
        </w:rPr>
      </w:pPr>
    </w:p>
    <w:sectPr w:rsidR="007D3392" w:rsidRPr="007D33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3C2" w:rsidRDefault="002F73C2" w:rsidP="007D3392">
      <w:r>
        <w:separator/>
      </w:r>
    </w:p>
  </w:endnote>
  <w:endnote w:type="continuationSeparator" w:id="0">
    <w:p w:rsidR="002F73C2" w:rsidRDefault="002F73C2" w:rsidP="007D3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3C2" w:rsidRDefault="002F73C2" w:rsidP="007D3392">
      <w:r>
        <w:separator/>
      </w:r>
    </w:p>
  </w:footnote>
  <w:footnote w:type="continuationSeparator" w:id="0">
    <w:p w:rsidR="002F73C2" w:rsidRDefault="002F73C2" w:rsidP="007D33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3DD"/>
    <w:rsid w:val="00007436"/>
    <w:rsid w:val="000B2391"/>
    <w:rsid w:val="000B7207"/>
    <w:rsid w:val="000E29B5"/>
    <w:rsid w:val="000F73B0"/>
    <w:rsid w:val="0014466C"/>
    <w:rsid w:val="00183A63"/>
    <w:rsid w:val="001B33DD"/>
    <w:rsid w:val="001C060E"/>
    <w:rsid w:val="001F0CD4"/>
    <w:rsid w:val="001F7AC9"/>
    <w:rsid w:val="002529CE"/>
    <w:rsid w:val="0029372C"/>
    <w:rsid w:val="002E6EEB"/>
    <w:rsid w:val="002F73C2"/>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D3392"/>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7BCE6E-40FB-47D4-94A2-3109091F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D33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33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3392"/>
    <w:rPr>
      <w:sz w:val="18"/>
      <w:szCs w:val="18"/>
    </w:rPr>
  </w:style>
  <w:style w:type="paragraph" w:styleId="a4">
    <w:name w:val="footer"/>
    <w:basedOn w:val="a"/>
    <w:link w:val="Char0"/>
    <w:uiPriority w:val="99"/>
    <w:unhideWhenUsed/>
    <w:rsid w:val="007D3392"/>
    <w:pPr>
      <w:tabs>
        <w:tab w:val="center" w:pos="4153"/>
        <w:tab w:val="right" w:pos="8306"/>
      </w:tabs>
      <w:snapToGrid w:val="0"/>
      <w:jc w:val="left"/>
    </w:pPr>
    <w:rPr>
      <w:sz w:val="18"/>
      <w:szCs w:val="18"/>
    </w:rPr>
  </w:style>
  <w:style w:type="character" w:customStyle="1" w:styleId="Char0">
    <w:name w:val="页脚 Char"/>
    <w:basedOn w:val="a0"/>
    <w:link w:val="a4"/>
    <w:uiPriority w:val="99"/>
    <w:rsid w:val="007D3392"/>
    <w:rPr>
      <w:sz w:val="18"/>
      <w:szCs w:val="18"/>
    </w:rPr>
  </w:style>
  <w:style w:type="character" w:customStyle="1" w:styleId="2Char">
    <w:name w:val="标题 2 Char"/>
    <w:basedOn w:val="a0"/>
    <w:link w:val="2"/>
    <w:uiPriority w:val="9"/>
    <w:rsid w:val="007D3392"/>
    <w:rPr>
      <w:rFonts w:ascii="宋体" w:eastAsia="宋体" w:hAnsi="宋体" w:cs="宋体"/>
      <w:b/>
      <w:bCs/>
      <w:kern w:val="0"/>
      <w:sz w:val="36"/>
      <w:szCs w:val="36"/>
    </w:rPr>
  </w:style>
  <w:style w:type="character" w:styleId="a5">
    <w:name w:val="Hyperlink"/>
    <w:basedOn w:val="a0"/>
    <w:uiPriority w:val="99"/>
    <w:unhideWhenUsed/>
    <w:rsid w:val="007D3392"/>
    <w:rPr>
      <w:color w:val="0563C1" w:themeColor="hyperlink"/>
      <w:u w:val="single"/>
    </w:rPr>
  </w:style>
  <w:style w:type="character" w:styleId="a6">
    <w:name w:val="Strong"/>
    <w:basedOn w:val="a0"/>
    <w:uiPriority w:val="22"/>
    <w:qFormat/>
    <w:rsid w:val="007D3392"/>
    <w:rPr>
      <w:b/>
      <w:bCs/>
    </w:rPr>
  </w:style>
  <w:style w:type="paragraph" w:styleId="a7">
    <w:name w:val="Normal (Web)"/>
    <w:basedOn w:val="a"/>
    <w:uiPriority w:val="99"/>
    <w:semiHidden/>
    <w:unhideWhenUsed/>
    <w:rsid w:val="007D339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031017">
      <w:bodyDiv w:val="1"/>
      <w:marLeft w:val="0"/>
      <w:marRight w:val="0"/>
      <w:marTop w:val="0"/>
      <w:marBottom w:val="0"/>
      <w:divBdr>
        <w:top w:val="none" w:sz="0" w:space="0" w:color="auto"/>
        <w:left w:val="none" w:sz="0" w:space="0" w:color="auto"/>
        <w:bottom w:val="none" w:sz="0" w:space="0" w:color="auto"/>
        <w:right w:val="none" w:sz="0" w:space="0" w:color="auto"/>
      </w:divBdr>
    </w:div>
    <w:div w:id="590090972">
      <w:bodyDiv w:val="1"/>
      <w:marLeft w:val="0"/>
      <w:marRight w:val="0"/>
      <w:marTop w:val="0"/>
      <w:marBottom w:val="0"/>
      <w:divBdr>
        <w:top w:val="none" w:sz="0" w:space="0" w:color="auto"/>
        <w:left w:val="none" w:sz="0" w:space="0" w:color="auto"/>
        <w:bottom w:val="none" w:sz="0" w:space="0" w:color="auto"/>
        <w:right w:val="none" w:sz="0" w:space="0" w:color="auto"/>
      </w:divBdr>
    </w:div>
    <w:div w:id="987824331">
      <w:bodyDiv w:val="1"/>
      <w:marLeft w:val="0"/>
      <w:marRight w:val="0"/>
      <w:marTop w:val="0"/>
      <w:marBottom w:val="0"/>
      <w:divBdr>
        <w:top w:val="none" w:sz="0" w:space="0" w:color="auto"/>
        <w:left w:val="none" w:sz="0" w:space="0" w:color="auto"/>
        <w:bottom w:val="none" w:sz="0" w:space="0" w:color="auto"/>
        <w:right w:val="none" w:sz="0" w:space="0" w:color="auto"/>
      </w:divBdr>
    </w:div>
    <w:div w:id="1183787839">
      <w:bodyDiv w:val="1"/>
      <w:marLeft w:val="0"/>
      <w:marRight w:val="0"/>
      <w:marTop w:val="0"/>
      <w:marBottom w:val="0"/>
      <w:divBdr>
        <w:top w:val="none" w:sz="0" w:space="0" w:color="auto"/>
        <w:left w:val="none" w:sz="0" w:space="0" w:color="auto"/>
        <w:bottom w:val="none" w:sz="0" w:space="0" w:color="auto"/>
        <w:right w:val="none" w:sz="0" w:space="0" w:color="auto"/>
      </w:divBdr>
    </w:div>
    <w:div w:id="1905528827">
      <w:bodyDiv w:val="1"/>
      <w:marLeft w:val="0"/>
      <w:marRight w:val="0"/>
      <w:marTop w:val="0"/>
      <w:marBottom w:val="0"/>
      <w:divBdr>
        <w:top w:val="none" w:sz="0" w:space="0" w:color="auto"/>
        <w:left w:val="none" w:sz="0" w:space="0" w:color="auto"/>
        <w:bottom w:val="none" w:sz="0" w:space="0" w:color="auto"/>
        <w:right w:val="none" w:sz="0" w:space="0" w:color="auto"/>
      </w:divBdr>
    </w:div>
    <w:div w:id="213131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MWTluIoN4rJoV0iVKIQp5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752</Words>
  <Characters>4291</Characters>
  <Application>Microsoft Office Word</Application>
  <DocSecurity>0</DocSecurity>
  <Lines>35</Lines>
  <Paragraphs>10</Paragraphs>
  <ScaleCrop>false</ScaleCrop>
  <Company>P R C</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2019-02-22T00:55:00Z</dcterms:created>
  <dcterms:modified xsi:type="dcterms:W3CDTF">2019-02-22T01:05:00Z</dcterms:modified>
</cp:coreProperties>
</file>