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2D12" w:rsidRPr="00662D12" w:rsidRDefault="00662D12" w:rsidP="00662D12">
      <w:pPr>
        <w:pStyle w:val="2"/>
      </w:pPr>
      <w:r w:rsidRPr="00662D12">
        <w:rPr>
          <w:rFonts w:hint="eastAsia"/>
        </w:rPr>
        <w:t>政策 | 上海发文进一步明确装配式建筑实施范围和相关工作要求！</w:t>
      </w:r>
    </w:p>
    <w:p w:rsidR="00662D12" w:rsidRPr="00662D12" w:rsidRDefault="00662D12" w:rsidP="00662D12">
      <w:pPr>
        <w:widowControl/>
        <w:shd w:val="clear" w:color="auto" w:fill="FFFFFF"/>
        <w:wordWrap w:val="0"/>
        <w:spacing w:line="300" w:lineRule="atLeast"/>
        <w:jc w:val="left"/>
        <w:rPr>
          <w:rFonts w:ascii="楷体" w:eastAsia="楷体" w:hAnsi="楷体" w:cs="宋体" w:hint="eastAsia"/>
          <w:color w:val="000000" w:themeColor="text1"/>
          <w:spacing w:val="8"/>
          <w:kern w:val="0"/>
          <w:szCs w:val="21"/>
        </w:rPr>
      </w:pPr>
      <w:r w:rsidRPr="00662D12">
        <w:rPr>
          <w:rFonts w:ascii="楷体" w:eastAsia="楷体" w:hAnsi="楷体" w:cs="宋体" w:hint="eastAsia"/>
          <w:color w:val="000000" w:themeColor="text1"/>
          <w:spacing w:val="8"/>
          <w:kern w:val="0"/>
          <w:szCs w:val="21"/>
        </w:rPr>
        <w:t>出处:</w:t>
      </w:r>
      <w:hyperlink r:id="rId4" w:history="1">
        <w:r w:rsidRPr="00662D12">
          <w:rPr>
            <w:rFonts w:ascii="楷体" w:eastAsia="楷体" w:hAnsi="楷体" w:cs="宋体" w:hint="eastAsia"/>
            <w:color w:val="000000" w:themeColor="text1"/>
            <w:spacing w:val="8"/>
            <w:kern w:val="0"/>
            <w:szCs w:val="21"/>
          </w:rPr>
          <w:t>上海市装配式建筑发展推进平台</w:t>
        </w:r>
      </w:hyperlink>
      <w:r w:rsidRPr="00662D12">
        <w:rPr>
          <w:rFonts w:ascii="楷体" w:eastAsia="楷体" w:hAnsi="楷体" w:cs="宋体" w:hint="eastAsia"/>
          <w:color w:val="000000" w:themeColor="text1"/>
          <w:spacing w:val="8"/>
          <w:kern w:val="0"/>
          <w:szCs w:val="21"/>
        </w:rPr>
        <w:t xml:space="preserve"> 2019.2.21</w:t>
      </w:r>
    </w:p>
    <w:p w:rsidR="00A3185E" w:rsidRPr="00662D12" w:rsidRDefault="00662D12">
      <w:pPr>
        <w:rPr>
          <w:rFonts w:ascii="楷体" w:eastAsia="楷体" w:hAnsi="楷体"/>
          <w:color w:val="000000" w:themeColor="text1"/>
          <w:szCs w:val="21"/>
        </w:rPr>
      </w:pPr>
      <w:r w:rsidRPr="00662D12">
        <w:rPr>
          <w:rFonts w:ascii="楷体" w:eastAsia="楷体" w:hAnsi="楷体" w:hint="eastAsia"/>
          <w:color w:val="000000" w:themeColor="text1"/>
          <w:szCs w:val="21"/>
        </w:rPr>
        <w:t>链接:</w:t>
      </w:r>
      <w:r w:rsidRPr="00662D12">
        <w:rPr>
          <w:rFonts w:ascii="楷体" w:eastAsia="楷体" w:hAnsi="楷体"/>
          <w:color w:val="000000" w:themeColor="text1"/>
          <w:szCs w:val="21"/>
        </w:rPr>
        <w:t xml:space="preserve"> </w:t>
      </w:r>
      <w:hyperlink r:id="rId5" w:history="1">
        <w:r w:rsidRPr="00662D12">
          <w:rPr>
            <w:rStyle w:val="a3"/>
            <w:rFonts w:ascii="楷体" w:eastAsia="楷体" w:hAnsi="楷体"/>
            <w:color w:val="000000" w:themeColor="text1"/>
            <w:szCs w:val="21"/>
          </w:rPr>
          <w:t>https://mp.weixin.qq.com/s/f67lmMFUD74CNX5daeYFeg</w:t>
        </w:r>
      </w:hyperlink>
    </w:p>
    <w:p w:rsidR="00662D12" w:rsidRPr="00662D12" w:rsidRDefault="00662D12" w:rsidP="00662D12">
      <w:pPr>
        <w:rPr>
          <w:rFonts w:ascii="楷体" w:eastAsia="楷体" w:hAnsi="楷体"/>
          <w:b/>
          <w:sz w:val="28"/>
          <w:szCs w:val="28"/>
        </w:rPr>
      </w:pPr>
      <w:r w:rsidRPr="00662D12">
        <w:rPr>
          <w:rFonts w:ascii="楷体" w:eastAsia="楷体" w:hAnsi="楷体"/>
          <w:b/>
          <w:sz w:val="28"/>
          <w:szCs w:val="28"/>
        </w:rPr>
        <w:t>关于进一步明确装配式建筑实施范围和相关工作要求的通知</w:t>
      </w:r>
    </w:p>
    <w:p w:rsidR="00662D12" w:rsidRPr="00662D12" w:rsidRDefault="00662D12" w:rsidP="00662D12">
      <w:pPr>
        <w:pStyle w:val="a5"/>
        <w:spacing w:before="0" w:beforeAutospacing="0" w:after="0" w:afterAutospacing="0"/>
        <w:jc w:val="center"/>
        <w:rPr>
          <w:rFonts w:ascii="楷体" w:eastAsia="楷体" w:hAnsi="楷体"/>
          <w:color w:val="000000" w:themeColor="text1"/>
          <w:sz w:val="28"/>
          <w:szCs w:val="28"/>
        </w:rPr>
      </w:pPr>
      <w:r w:rsidRPr="00662D12">
        <w:rPr>
          <w:rFonts w:ascii="楷体" w:eastAsia="楷体" w:hAnsi="楷体"/>
          <w:color w:val="000000" w:themeColor="text1"/>
          <w:sz w:val="28"/>
          <w:szCs w:val="28"/>
        </w:rPr>
        <w:t>沪</w:t>
      </w:r>
      <w:proofErr w:type="gramStart"/>
      <w:r w:rsidRPr="00662D12">
        <w:rPr>
          <w:rFonts w:ascii="楷体" w:eastAsia="楷体" w:hAnsi="楷体"/>
          <w:color w:val="000000" w:themeColor="text1"/>
          <w:sz w:val="28"/>
          <w:szCs w:val="28"/>
        </w:rPr>
        <w:t>建</w:t>
      </w:r>
      <w:proofErr w:type="gramEnd"/>
      <w:r w:rsidRPr="00662D12">
        <w:rPr>
          <w:rFonts w:ascii="楷体" w:eastAsia="楷体" w:hAnsi="楷体"/>
          <w:color w:val="000000" w:themeColor="text1"/>
          <w:sz w:val="28"/>
          <w:szCs w:val="28"/>
        </w:rPr>
        <w:t>建材〔2019〕97号</w:t>
      </w:r>
    </w:p>
    <w:p w:rsidR="00662D12" w:rsidRPr="00662D12" w:rsidRDefault="00662D12" w:rsidP="00662D12">
      <w:pPr>
        <w:pStyle w:val="a5"/>
        <w:spacing w:before="0" w:beforeAutospacing="0" w:after="0" w:afterAutospacing="0"/>
        <w:rPr>
          <w:rFonts w:ascii="楷体" w:eastAsia="楷体" w:hAnsi="楷体"/>
          <w:color w:val="000000" w:themeColor="text1"/>
          <w:sz w:val="28"/>
          <w:szCs w:val="28"/>
        </w:rPr>
      </w:pPr>
      <w:r w:rsidRPr="00662D12">
        <w:rPr>
          <w:rFonts w:ascii="楷体" w:eastAsia="楷体" w:hAnsi="楷体"/>
          <w:color w:val="000000" w:themeColor="text1"/>
          <w:sz w:val="28"/>
          <w:szCs w:val="28"/>
        </w:rPr>
        <w:t>各有关单位：</w:t>
      </w:r>
      <w:bookmarkStart w:id="0" w:name="_GoBack"/>
      <w:bookmarkEnd w:id="0"/>
    </w:p>
    <w:p w:rsidR="00662D12" w:rsidRPr="00662D12" w:rsidRDefault="00662D12" w:rsidP="00662D12">
      <w:pPr>
        <w:pStyle w:val="a5"/>
        <w:spacing w:before="0" w:beforeAutospacing="0" w:after="0" w:afterAutospacing="0"/>
        <w:rPr>
          <w:rFonts w:ascii="楷体" w:eastAsia="楷体" w:hAnsi="楷体"/>
          <w:color w:val="000000" w:themeColor="text1"/>
          <w:sz w:val="28"/>
          <w:szCs w:val="28"/>
        </w:rPr>
      </w:pPr>
      <w:r w:rsidRPr="00662D12">
        <w:rPr>
          <w:rFonts w:ascii="楷体" w:eastAsia="楷体" w:hAnsi="楷体"/>
          <w:color w:val="000000" w:themeColor="text1"/>
          <w:sz w:val="28"/>
          <w:szCs w:val="28"/>
        </w:rPr>
        <w:t>为更好地发挥装配式建筑集约化、规模化效应，进一步促进本市装配式建筑健康发展，现将有关事项通知如下：</w:t>
      </w:r>
    </w:p>
    <w:p w:rsidR="00662D12" w:rsidRPr="00662D12" w:rsidRDefault="00662D12" w:rsidP="00662D12">
      <w:pPr>
        <w:pStyle w:val="a5"/>
        <w:spacing w:before="0" w:beforeAutospacing="0" w:after="0" w:afterAutospacing="0"/>
        <w:rPr>
          <w:rFonts w:ascii="楷体" w:eastAsia="楷体" w:hAnsi="楷体"/>
          <w:color w:val="000000" w:themeColor="text1"/>
          <w:sz w:val="28"/>
          <w:szCs w:val="28"/>
        </w:rPr>
      </w:pPr>
      <w:r w:rsidRPr="00662D12">
        <w:rPr>
          <w:rStyle w:val="a6"/>
          <w:rFonts w:ascii="楷体" w:eastAsia="楷体" w:hAnsi="楷体"/>
          <w:color w:val="000000" w:themeColor="text1"/>
          <w:sz w:val="28"/>
          <w:szCs w:val="28"/>
        </w:rPr>
        <w:t>一、装配式建筑实施范围</w:t>
      </w:r>
    </w:p>
    <w:p w:rsidR="00662D12" w:rsidRPr="00662D12" w:rsidRDefault="00662D12" w:rsidP="00662D12">
      <w:pPr>
        <w:pStyle w:val="a5"/>
        <w:spacing w:before="0" w:beforeAutospacing="0" w:after="0" w:afterAutospacing="0"/>
        <w:rPr>
          <w:rFonts w:ascii="楷体" w:eastAsia="楷体" w:hAnsi="楷体"/>
          <w:color w:val="000000" w:themeColor="text1"/>
          <w:sz w:val="28"/>
          <w:szCs w:val="28"/>
        </w:rPr>
      </w:pPr>
      <w:r w:rsidRPr="00662D12">
        <w:rPr>
          <w:rFonts w:ascii="楷体" w:eastAsia="楷体" w:hAnsi="楷体"/>
          <w:color w:val="000000" w:themeColor="text1"/>
          <w:sz w:val="28"/>
          <w:szCs w:val="28"/>
        </w:rPr>
        <w:t>除下述范围以外，新建民用建筑、工业建筑应全部</w:t>
      </w:r>
      <w:proofErr w:type="gramStart"/>
      <w:r w:rsidRPr="00662D12">
        <w:rPr>
          <w:rFonts w:ascii="楷体" w:eastAsia="楷体" w:hAnsi="楷体"/>
          <w:color w:val="000000" w:themeColor="text1"/>
          <w:sz w:val="28"/>
          <w:szCs w:val="28"/>
        </w:rPr>
        <w:t>按装</w:t>
      </w:r>
      <w:proofErr w:type="gramEnd"/>
      <w:r w:rsidRPr="00662D12">
        <w:rPr>
          <w:rFonts w:ascii="楷体" w:eastAsia="楷体" w:hAnsi="楷体"/>
          <w:color w:val="000000" w:themeColor="text1"/>
          <w:sz w:val="28"/>
          <w:szCs w:val="28"/>
        </w:rPr>
        <w:t>配式建筑要求实施。其中，</w:t>
      </w:r>
      <w:r w:rsidRPr="00662D12">
        <w:rPr>
          <w:rStyle w:val="a6"/>
          <w:rFonts w:ascii="楷体" w:eastAsia="楷体" w:hAnsi="楷体"/>
          <w:color w:val="000000" w:themeColor="text1"/>
          <w:sz w:val="28"/>
          <w:szCs w:val="28"/>
        </w:rPr>
        <w:t>新建建筑</w:t>
      </w:r>
      <w:r w:rsidRPr="00662D12">
        <w:rPr>
          <w:rFonts w:ascii="楷体" w:eastAsia="楷体" w:hAnsi="楷体"/>
          <w:color w:val="000000" w:themeColor="text1"/>
          <w:sz w:val="28"/>
          <w:szCs w:val="28"/>
        </w:rPr>
        <w:t>指在相关信息平台上，建设性质选为“新建”的项目；以及建设性质选为“改建”或“扩建”，且包含“新建独立单体”或“拆除重建单体”的项目（“特定旧住房拆除重建项目”除外）。</w:t>
      </w:r>
      <w:r w:rsidRPr="00662D12">
        <w:rPr>
          <w:rStyle w:val="a6"/>
          <w:rFonts w:ascii="楷体" w:eastAsia="楷体" w:hAnsi="楷体"/>
          <w:color w:val="000000" w:themeColor="text1"/>
          <w:sz w:val="28"/>
          <w:szCs w:val="28"/>
        </w:rPr>
        <w:t>项目</w:t>
      </w:r>
      <w:r w:rsidRPr="00662D12">
        <w:rPr>
          <w:rFonts w:ascii="楷体" w:eastAsia="楷体" w:hAnsi="楷体"/>
          <w:color w:val="000000" w:themeColor="text1"/>
          <w:sz w:val="28"/>
          <w:szCs w:val="28"/>
        </w:rPr>
        <w:t>包含建设工程设计方案批复中的所有新建建筑物。</w:t>
      </w:r>
      <w:r w:rsidRPr="00662D12">
        <w:rPr>
          <w:rStyle w:val="a6"/>
          <w:rFonts w:ascii="楷体" w:eastAsia="楷体" w:hAnsi="楷体"/>
          <w:color w:val="000000" w:themeColor="text1"/>
          <w:sz w:val="28"/>
          <w:szCs w:val="28"/>
        </w:rPr>
        <w:t>独立建筑</w:t>
      </w:r>
      <w:r w:rsidRPr="00662D12">
        <w:rPr>
          <w:rFonts w:ascii="楷体" w:eastAsia="楷体" w:hAnsi="楷体"/>
          <w:color w:val="000000" w:themeColor="text1"/>
          <w:sz w:val="28"/>
          <w:szCs w:val="28"/>
        </w:rPr>
        <w:t>指建筑专业意义上的独立子项，不包含因“结构缝”分隔出的单体。</w:t>
      </w:r>
    </w:p>
    <w:p w:rsidR="00662D12" w:rsidRPr="00662D12" w:rsidRDefault="00662D12" w:rsidP="00662D12">
      <w:pPr>
        <w:pStyle w:val="a5"/>
        <w:spacing w:before="0" w:beforeAutospacing="0" w:after="0" w:afterAutospacing="0"/>
        <w:rPr>
          <w:rFonts w:ascii="楷体" w:eastAsia="楷体" w:hAnsi="楷体"/>
          <w:color w:val="000000" w:themeColor="text1"/>
          <w:sz w:val="28"/>
          <w:szCs w:val="28"/>
        </w:rPr>
      </w:pPr>
      <w:r w:rsidRPr="00662D12">
        <w:rPr>
          <w:rFonts w:ascii="楷体" w:eastAsia="楷体" w:hAnsi="楷体"/>
          <w:color w:val="000000" w:themeColor="text1"/>
          <w:sz w:val="28"/>
          <w:szCs w:val="28"/>
        </w:rPr>
        <w:t>1、建设工程设计方案批复中地上总建筑面积不超过10000平方米的公共建筑类、居住建筑类、工业建筑类项目，所有单体可不实施装配式建筑。</w:t>
      </w:r>
    </w:p>
    <w:p w:rsidR="00662D12" w:rsidRPr="00662D12" w:rsidRDefault="00662D12" w:rsidP="00662D12">
      <w:pPr>
        <w:pStyle w:val="a5"/>
        <w:spacing w:before="0" w:beforeAutospacing="0" w:after="0" w:afterAutospacing="0"/>
        <w:rPr>
          <w:rFonts w:ascii="楷体" w:eastAsia="楷体" w:hAnsi="楷体"/>
          <w:color w:val="000000" w:themeColor="text1"/>
          <w:sz w:val="28"/>
          <w:szCs w:val="28"/>
        </w:rPr>
      </w:pPr>
      <w:r w:rsidRPr="00662D12">
        <w:rPr>
          <w:rFonts w:ascii="楷体" w:eastAsia="楷体" w:hAnsi="楷体"/>
          <w:color w:val="000000" w:themeColor="text1"/>
          <w:sz w:val="28"/>
          <w:szCs w:val="28"/>
        </w:rPr>
        <w:t>2、高度100米以上（不含100米）的居住建筑，建筑单体预制率不低于15％或单体装配率不低于35％．对平屋面或坡度不大于45°的坡屋面房屋，</w:t>
      </w:r>
      <w:r w:rsidRPr="00662D12">
        <w:rPr>
          <w:rStyle w:val="a6"/>
          <w:rFonts w:ascii="楷体" w:eastAsia="楷体" w:hAnsi="楷体"/>
          <w:color w:val="000000" w:themeColor="text1"/>
          <w:sz w:val="28"/>
          <w:szCs w:val="28"/>
        </w:rPr>
        <w:t>房屋高度</w:t>
      </w:r>
      <w:r w:rsidRPr="00662D12">
        <w:rPr>
          <w:rFonts w:ascii="楷体" w:eastAsia="楷体" w:hAnsi="楷体"/>
          <w:color w:val="000000" w:themeColor="text1"/>
          <w:sz w:val="28"/>
          <w:szCs w:val="28"/>
        </w:rPr>
        <w:t>指室外地面到主要</w:t>
      </w:r>
      <w:proofErr w:type="gramStart"/>
      <w:r w:rsidRPr="00662D12">
        <w:rPr>
          <w:rFonts w:ascii="楷体" w:eastAsia="楷体" w:hAnsi="楷体"/>
          <w:color w:val="000000" w:themeColor="text1"/>
          <w:sz w:val="28"/>
          <w:szCs w:val="28"/>
        </w:rPr>
        <w:t>屋面板板顶的</w:t>
      </w:r>
      <w:proofErr w:type="gramEnd"/>
      <w:r w:rsidRPr="00662D12">
        <w:rPr>
          <w:rFonts w:ascii="楷体" w:eastAsia="楷体" w:hAnsi="楷体"/>
          <w:color w:val="000000" w:themeColor="text1"/>
          <w:sz w:val="28"/>
          <w:szCs w:val="28"/>
        </w:rPr>
        <w:t>高度（不</w:t>
      </w:r>
      <w:r w:rsidRPr="00662D12">
        <w:rPr>
          <w:rFonts w:ascii="楷体" w:eastAsia="楷体" w:hAnsi="楷体"/>
          <w:color w:val="000000" w:themeColor="text1"/>
          <w:sz w:val="28"/>
          <w:szCs w:val="28"/>
        </w:rPr>
        <w:lastRenderedPageBreak/>
        <w:t>包括局部突出屋顶部分）；对坡度大于45°的坡屋面房屋，</w:t>
      </w:r>
      <w:r w:rsidRPr="00662D12">
        <w:rPr>
          <w:rStyle w:val="a6"/>
          <w:rFonts w:ascii="楷体" w:eastAsia="楷体" w:hAnsi="楷体"/>
          <w:color w:val="000000" w:themeColor="text1"/>
          <w:sz w:val="28"/>
          <w:szCs w:val="28"/>
        </w:rPr>
        <w:t>房屋高度</w:t>
      </w:r>
      <w:r w:rsidRPr="00662D12">
        <w:rPr>
          <w:rFonts w:ascii="楷体" w:eastAsia="楷体" w:hAnsi="楷体"/>
          <w:color w:val="000000" w:themeColor="text1"/>
          <w:sz w:val="28"/>
          <w:szCs w:val="28"/>
        </w:rPr>
        <w:t>指室外地面到坡屋面的1/2高度处。</w:t>
      </w:r>
    </w:p>
    <w:p w:rsidR="00662D12" w:rsidRPr="00662D12" w:rsidRDefault="00662D12" w:rsidP="00662D12">
      <w:pPr>
        <w:pStyle w:val="a5"/>
        <w:spacing w:before="0" w:beforeAutospacing="0" w:after="0" w:afterAutospacing="0"/>
        <w:rPr>
          <w:rFonts w:ascii="楷体" w:eastAsia="楷体" w:hAnsi="楷体"/>
          <w:color w:val="000000" w:themeColor="text1"/>
          <w:sz w:val="28"/>
          <w:szCs w:val="28"/>
        </w:rPr>
      </w:pPr>
      <w:r w:rsidRPr="00662D12">
        <w:rPr>
          <w:rFonts w:ascii="楷体" w:eastAsia="楷体" w:hAnsi="楷体"/>
          <w:color w:val="000000" w:themeColor="text1"/>
          <w:sz w:val="28"/>
          <w:szCs w:val="28"/>
        </w:rPr>
        <w:t>3、建设项目中独立设置的构筑物、垃圾房、配套设备用房、门卫房等，可不实施装配式建筑。</w:t>
      </w:r>
    </w:p>
    <w:p w:rsidR="00662D12" w:rsidRPr="00662D12" w:rsidRDefault="00662D12" w:rsidP="00662D12">
      <w:pPr>
        <w:pStyle w:val="a5"/>
        <w:spacing w:before="0" w:beforeAutospacing="0" w:after="0" w:afterAutospacing="0"/>
        <w:rPr>
          <w:rFonts w:ascii="楷体" w:eastAsia="楷体" w:hAnsi="楷体"/>
          <w:color w:val="000000" w:themeColor="text1"/>
          <w:sz w:val="28"/>
          <w:szCs w:val="28"/>
        </w:rPr>
      </w:pPr>
      <w:r w:rsidRPr="00662D12">
        <w:rPr>
          <w:rFonts w:ascii="楷体" w:eastAsia="楷体" w:hAnsi="楷体"/>
          <w:color w:val="000000" w:themeColor="text1"/>
          <w:sz w:val="28"/>
          <w:szCs w:val="28"/>
        </w:rPr>
        <w:t>4、当居住建筑类项目中非居住功能的建筑，其地上建筑面积总和不超过10000平方米，且其与本项目地上总建筑面积之比不超过10％时，地上建筑面积不超过3000平方米的售楼处、会所（活动中心）、商铺等独立配套建筑，可不实施装配式建筑。</w:t>
      </w:r>
    </w:p>
    <w:p w:rsidR="00662D12" w:rsidRPr="00662D12" w:rsidRDefault="00662D12" w:rsidP="00662D12">
      <w:pPr>
        <w:pStyle w:val="a5"/>
        <w:spacing w:before="0" w:beforeAutospacing="0" w:after="0" w:afterAutospacing="0"/>
        <w:rPr>
          <w:rFonts w:ascii="楷体" w:eastAsia="楷体" w:hAnsi="楷体"/>
          <w:color w:val="000000" w:themeColor="text1"/>
          <w:sz w:val="28"/>
          <w:szCs w:val="28"/>
        </w:rPr>
      </w:pPr>
      <w:r w:rsidRPr="00662D12">
        <w:rPr>
          <w:rFonts w:ascii="楷体" w:eastAsia="楷体" w:hAnsi="楷体"/>
          <w:color w:val="000000" w:themeColor="text1"/>
          <w:sz w:val="28"/>
          <w:szCs w:val="28"/>
        </w:rPr>
        <w:t>5、当工业建筑类项目中配套生活用房及配套</w:t>
      </w:r>
      <w:proofErr w:type="gramStart"/>
      <w:r w:rsidRPr="00662D12">
        <w:rPr>
          <w:rFonts w:ascii="楷体" w:eastAsia="楷体" w:hAnsi="楷体"/>
          <w:color w:val="000000" w:themeColor="text1"/>
          <w:sz w:val="28"/>
          <w:szCs w:val="28"/>
        </w:rPr>
        <w:t>研发楼</w:t>
      </w:r>
      <w:proofErr w:type="gramEnd"/>
      <w:r w:rsidRPr="00662D12">
        <w:rPr>
          <w:rFonts w:ascii="楷体" w:eastAsia="楷体" w:hAnsi="楷体"/>
          <w:color w:val="000000" w:themeColor="text1"/>
          <w:sz w:val="28"/>
          <w:szCs w:val="28"/>
        </w:rPr>
        <w:t>等地上建筑面积总和不超过10000平方米，且其与本项目地上总建筑面积之比不超过7％时，地上建筑面积不超过3000平方米的配套生活用房、配套</w:t>
      </w:r>
      <w:proofErr w:type="gramStart"/>
      <w:r w:rsidRPr="00662D12">
        <w:rPr>
          <w:rFonts w:ascii="楷体" w:eastAsia="楷体" w:hAnsi="楷体"/>
          <w:color w:val="000000" w:themeColor="text1"/>
          <w:sz w:val="28"/>
          <w:szCs w:val="28"/>
        </w:rPr>
        <w:t>研发楼</w:t>
      </w:r>
      <w:proofErr w:type="gramEnd"/>
      <w:r w:rsidRPr="00662D12">
        <w:rPr>
          <w:rFonts w:ascii="楷体" w:eastAsia="楷体" w:hAnsi="楷体"/>
          <w:color w:val="000000" w:themeColor="text1"/>
          <w:sz w:val="28"/>
          <w:szCs w:val="28"/>
        </w:rPr>
        <w:t>等独立非生产用房，可不实施装配式建筑。</w:t>
      </w:r>
    </w:p>
    <w:p w:rsidR="00662D12" w:rsidRPr="00662D12" w:rsidRDefault="00662D12" w:rsidP="00662D12">
      <w:pPr>
        <w:pStyle w:val="a5"/>
        <w:spacing w:before="0" w:beforeAutospacing="0" w:after="0" w:afterAutospacing="0"/>
        <w:rPr>
          <w:rFonts w:ascii="楷体" w:eastAsia="楷体" w:hAnsi="楷体"/>
          <w:color w:val="000000" w:themeColor="text1"/>
          <w:sz w:val="28"/>
          <w:szCs w:val="28"/>
        </w:rPr>
      </w:pPr>
      <w:r w:rsidRPr="00662D12">
        <w:rPr>
          <w:rFonts w:ascii="楷体" w:eastAsia="楷体" w:hAnsi="楷体"/>
          <w:color w:val="000000" w:themeColor="text1"/>
          <w:sz w:val="28"/>
          <w:szCs w:val="28"/>
        </w:rPr>
        <w:t>6、技术条件特殊的建设项目，可申请调整预制率或装配率指标。</w:t>
      </w:r>
    </w:p>
    <w:p w:rsidR="00662D12" w:rsidRPr="00662D12" w:rsidRDefault="00662D12" w:rsidP="00662D12">
      <w:pPr>
        <w:pStyle w:val="a5"/>
        <w:spacing w:before="0" w:beforeAutospacing="0" w:after="0" w:afterAutospacing="0"/>
        <w:rPr>
          <w:rFonts w:ascii="楷体" w:eastAsia="楷体" w:hAnsi="楷体"/>
          <w:color w:val="000000" w:themeColor="text1"/>
          <w:sz w:val="28"/>
          <w:szCs w:val="28"/>
        </w:rPr>
      </w:pPr>
      <w:r w:rsidRPr="00662D12">
        <w:rPr>
          <w:rStyle w:val="a6"/>
          <w:rFonts w:ascii="楷体" w:eastAsia="楷体" w:hAnsi="楷体"/>
          <w:color w:val="000000" w:themeColor="text1"/>
          <w:sz w:val="28"/>
          <w:szCs w:val="28"/>
        </w:rPr>
        <w:t>二、装配式建筑指标要求</w:t>
      </w:r>
    </w:p>
    <w:p w:rsidR="00662D12" w:rsidRPr="00662D12" w:rsidRDefault="00662D12" w:rsidP="00662D12">
      <w:pPr>
        <w:pStyle w:val="a5"/>
        <w:spacing w:before="0" w:beforeAutospacing="0" w:after="0" w:afterAutospacing="0"/>
        <w:rPr>
          <w:rFonts w:ascii="楷体" w:eastAsia="楷体" w:hAnsi="楷体"/>
          <w:color w:val="000000" w:themeColor="text1"/>
          <w:sz w:val="28"/>
          <w:szCs w:val="28"/>
        </w:rPr>
      </w:pPr>
      <w:r w:rsidRPr="00662D12">
        <w:rPr>
          <w:rFonts w:ascii="楷体" w:eastAsia="楷体" w:hAnsi="楷体"/>
          <w:color w:val="000000" w:themeColor="text1"/>
          <w:sz w:val="28"/>
          <w:szCs w:val="28"/>
        </w:rPr>
        <w:t>在本通知第一部分装配式建筑实施范围内的建筑，装配式建筑指标要求如下：</w:t>
      </w:r>
    </w:p>
    <w:p w:rsidR="00662D12" w:rsidRPr="00662D12" w:rsidRDefault="00662D12" w:rsidP="00662D12">
      <w:pPr>
        <w:pStyle w:val="a5"/>
        <w:spacing w:before="0" w:beforeAutospacing="0" w:after="0" w:afterAutospacing="0"/>
        <w:rPr>
          <w:rFonts w:ascii="楷体" w:eastAsia="楷体" w:hAnsi="楷体"/>
          <w:color w:val="000000" w:themeColor="text1"/>
          <w:sz w:val="28"/>
          <w:szCs w:val="28"/>
        </w:rPr>
      </w:pPr>
      <w:r w:rsidRPr="00662D12">
        <w:rPr>
          <w:rFonts w:ascii="楷体" w:eastAsia="楷体" w:hAnsi="楷体"/>
          <w:color w:val="000000" w:themeColor="text1"/>
          <w:sz w:val="28"/>
          <w:szCs w:val="28"/>
        </w:rPr>
        <w:t>1、2016年4月1日以后完成报建或项目信息报送的项目，建筑单体预制率不低于40％或单体装配率不低于60％。</w:t>
      </w:r>
    </w:p>
    <w:p w:rsidR="00662D12" w:rsidRPr="00662D12" w:rsidRDefault="00662D12" w:rsidP="00662D12">
      <w:pPr>
        <w:pStyle w:val="a5"/>
        <w:spacing w:before="0" w:beforeAutospacing="0" w:after="0" w:afterAutospacing="0"/>
        <w:rPr>
          <w:rFonts w:ascii="楷体" w:eastAsia="楷体" w:hAnsi="楷体"/>
          <w:color w:val="000000" w:themeColor="text1"/>
          <w:sz w:val="28"/>
          <w:szCs w:val="28"/>
        </w:rPr>
      </w:pPr>
      <w:r w:rsidRPr="00662D12">
        <w:rPr>
          <w:rFonts w:ascii="楷体" w:eastAsia="楷体" w:hAnsi="楷体"/>
          <w:color w:val="000000" w:themeColor="text1"/>
          <w:sz w:val="28"/>
          <w:szCs w:val="28"/>
        </w:rPr>
        <w:t>2、2015年1月1日至2016年3月31日完成报建的项目，建筑单体预制率不低于30％或单体装配率不低于50％。</w:t>
      </w:r>
    </w:p>
    <w:p w:rsidR="00662D12" w:rsidRPr="00662D12" w:rsidRDefault="00662D12" w:rsidP="00662D12">
      <w:pPr>
        <w:pStyle w:val="a5"/>
        <w:spacing w:before="0" w:beforeAutospacing="0" w:after="0" w:afterAutospacing="0"/>
        <w:rPr>
          <w:rFonts w:ascii="楷体" w:eastAsia="楷体" w:hAnsi="楷体"/>
          <w:color w:val="000000" w:themeColor="text1"/>
          <w:sz w:val="28"/>
          <w:szCs w:val="28"/>
        </w:rPr>
      </w:pPr>
      <w:r w:rsidRPr="00662D12">
        <w:rPr>
          <w:rFonts w:ascii="楷体" w:eastAsia="楷体" w:hAnsi="楷体"/>
          <w:color w:val="000000" w:themeColor="text1"/>
          <w:sz w:val="28"/>
          <w:szCs w:val="28"/>
        </w:rPr>
        <w:t>3、2015年1月1日之前完成报建的项目，建筑单体预制率不低于25％或单体装配率不低于45％。</w:t>
      </w:r>
    </w:p>
    <w:p w:rsidR="00662D12" w:rsidRPr="00662D12" w:rsidRDefault="00662D12" w:rsidP="00662D12">
      <w:pPr>
        <w:pStyle w:val="a5"/>
        <w:spacing w:before="0" w:beforeAutospacing="0" w:after="0" w:afterAutospacing="0"/>
        <w:rPr>
          <w:rFonts w:ascii="楷体" w:eastAsia="楷体" w:hAnsi="楷体"/>
          <w:color w:val="000000" w:themeColor="text1"/>
          <w:sz w:val="28"/>
          <w:szCs w:val="28"/>
        </w:rPr>
      </w:pPr>
      <w:r w:rsidRPr="00662D12">
        <w:rPr>
          <w:rFonts w:ascii="楷体" w:eastAsia="楷体" w:hAnsi="楷体"/>
          <w:color w:val="000000" w:themeColor="text1"/>
          <w:sz w:val="28"/>
          <w:szCs w:val="28"/>
        </w:rPr>
        <w:lastRenderedPageBreak/>
        <w:t>4、情况特殊项目经上海市住房和城乡建设管理委员会判定后执行。</w:t>
      </w:r>
    </w:p>
    <w:p w:rsidR="00662D12" w:rsidRPr="00662D12" w:rsidRDefault="00662D12" w:rsidP="00662D12">
      <w:pPr>
        <w:pStyle w:val="a5"/>
        <w:spacing w:before="0" w:beforeAutospacing="0" w:after="0" w:afterAutospacing="0"/>
        <w:rPr>
          <w:rFonts w:ascii="楷体" w:eastAsia="楷体" w:hAnsi="楷体"/>
          <w:color w:val="000000" w:themeColor="text1"/>
          <w:sz w:val="28"/>
          <w:szCs w:val="28"/>
        </w:rPr>
      </w:pPr>
      <w:r w:rsidRPr="00662D12">
        <w:rPr>
          <w:rStyle w:val="a6"/>
          <w:rFonts w:ascii="楷体" w:eastAsia="楷体" w:hAnsi="楷体"/>
          <w:color w:val="000000" w:themeColor="text1"/>
          <w:sz w:val="28"/>
          <w:szCs w:val="28"/>
        </w:rPr>
        <w:t>三、建设、设计及施工单位应严格落实上海市装配式建筑相关政策要求。</w:t>
      </w:r>
      <w:r w:rsidRPr="00662D12">
        <w:rPr>
          <w:rFonts w:ascii="楷体" w:eastAsia="楷体" w:hAnsi="楷体"/>
          <w:color w:val="000000" w:themeColor="text1"/>
          <w:sz w:val="28"/>
          <w:szCs w:val="28"/>
        </w:rPr>
        <w:t>积极探索并推广符合装配式建筑特点的一体化设计理念和EPC建造模式。项目在方案设计和施工图设计阶段应注重模数化、标准化研究及结构体系的选择，保证预制构件的制作、运输、安装及后续装配式装修的可实施性。</w:t>
      </w:r>
    </w:p>
    <w:p w:rsidR="00662D12" w:rsidRPr="00662D12" w:rsidRDefault="00662D12" w:rsidP="00662D12">
      <w:pPr>
        <w:pStyle w:val="a5"/>
        <w:spacing w:before="0" w:beforeAutospacing="0" w:after="0" w:afterAutospacing="0"/>
        <w:rPr>
          <w:rFonts w:ascii="楷体" w:eastAsia="楷体" w:hAnsi="楷体"/>
          <w:color w:val="000000" w:themeColor="text1"/>
          <w:sz w:val="28"/>
          <w:szCs w:val="28"/>
        </w:rPr>
      </w:pPr>
      <w:r w:rsidRPr="00662D12">
        <w:rPr>
          <w:rStyle w:val="a6"/>
          <w:rFonts w:ascii="楷体" w:eastAsia="楷体" w:hAnsi="楷体"/>
          <w:color w:val="000000" w:themeColor="text1"/>
          <w:sz w:val="28"/>
          <w:szCs w:val="28"/>
        </w:rPr>
        <w:t>四、施工图审查机构应按照上海市装配式建筑单体预制率和装配率计算细则核对装配式建筑指标，并将指标填写在施工图设计文件审查合格书上。</w:t>
      </w:r>
      <w:r w:rsidRPr="00662D12">
        <w:rPr>
          <w:rFonts w:ascii="楷体" w:eastAsia="楷体" w:hAnsi="楷体"/>
          <w:color w:val="000000" w:themeColor="text1"/>
          <w:sz w:val="28"/>
          <w:szCs w:val="28"/>
        </w:rPr>
        <w:t>对于达不到规定装配式建筑指标要求的项目，施工图审查机构不得出具施工图设计文件审查合格书。</w:t>
      </w:r>
    </w:p>
    <w:p w:rsidR="00662D12" w:rsidRPr="00662D12" w:rsidRDefault="00662D12" w:rsidP="00662D12">
      <w:pPr>
        <w:pStyle w:val="a5"/>
        <w:spacing w:before="0" w:beforeAutospacing="0" w:after="0" w:afterAutospacing="0"/>
        <w:rPr>
          <w:rFonts w:ascii="楷体" w:eastAsia="楷体" w:hAnsi="楷体"/>
          <w:color w:val="000000" w:themeColor="text1"/>
          <w:sz w:val="28"/>
          <w:szCs w:val="28"/>
        </w:rPr>
      </w:pPr>
      <w:r w:rsidRPr="00662D12">
        <w:rPr>
          <w:rStyle w:val="a6"/>
          <w:rFonts w:ascii="楷体" w:eastAsia="楷体" w:hAnsi="楷体"/>
          <w:color w:val="000000" w:themeColor="text1"/>
          <w:sz w:val="28"/>
          <w:szCs w:val="28"/>
        </w:rPr>
        <w:t>五、相关监管机构应加强对装配式建筑设计阶段指标落实情况及施工现场实施情况的监督检查，从严查处有关违规行为。</w:t>
      </w:r>
    </w:p>
    <w:p w:rsidR="00662D12" w:rsidRPr="00662D12" w:rsidRDefault="00662D12" w:rsidP="00662D12">
      <w:pPr>
        <w:pStyle w:val="a5"/>
        <w:spacing w:before="0" w:beforeAutospacing="0" w:after="0" w:afterAutospacing="0"/>
        <w:rPr>
          <w:rFonts w:ascii="楷体" w:eastAsia="楷体" w:hAnsi="楷体"/>
          <w:color w:val="000000" w:themeColor="text1"/>
          <w:sz w:val="28"/>
          <w:szCs w:val="28"/>
        </w:rPr>
      </w:pPr>
      <w:r w:rsidRPr="00662D12">
        <w:rPr>
          <w:rStyle w:val="a6"/>
          <w:rFonts w:ascii="楷体" w:eastAsia="楷体" w:hAnsi="楷体"/>
          <w:color w:val="000000" w:themeColor="text1"/>
          <w:sz w:val="28"/>
          <w:szCs w:val="28"/>
        </w:rPr>
        <w:t>六、2019年4月1日起，施工图未正式送审的项目应依据本通知相关要求实施。</w:t>
      </w:r>
      <w:r w:rsidRPr="00662D12">
        <w:rPr>
          <w:rFonts w:ascii="楷体" w:eastAsia="楷体" w:hAnsi="楷体"/>
          <w:color w:val="000000" w:themeColor="text1"/>
          <w:sz w:val="28"/>
          <w:szCs w:val="28"/>
        </w:rPr>
        <w:t>相关内容如与其他文件有冲突，以本通知为准。</w:t>
      </w:r>
    </w:p>
    <w:p w:rsidR="00662D12" w:rsidRPr="00662D12" w:rsidRDefault="00662D12" w:rsidP="00662D12">
      <w:pPr>
        <w:pStyle w:val="a5"/>
        <w:spacing w:before="0" w:beforeAutospacing="0" w:after="0" w:afterAutospacing="0"/>
        <w:jc w:val="right"/>
        <w:rPr>
          <w:rFonts w:ascii="楷体" w:eastAsia="楷体" w:hAnsi="楷体"/>
          <w:color w:val="000000" w:themeColor="text1"/>
          <w:sz w:val="28"/>
          <w:szCs w:val="28"/>
        </w:rPr>
      </w:pPr>
      <w:r w:rsidRPr="00662D12">
        <w:rPr>
          <w:rFonts w:ascii="楷体" w:eastAsia="楷体" w:hAnsi="楷体"/>
          <w:color w:val="000000" w:themeColor="text1"/>
          <w:sz w:val="28"/>
          <w:szCs w:val="28"/>
        </w:rPr>
        <w:t>上海市住房和城乡建设管理委员会</w:t>
      </w:r>
    </w:p>
    <w:p w:rsidR="00662D12" w:rsidRPr="00662D12" w:rsidRDefault="00662D12" w:rsidP="00662D12">
      <w:pPr>
        <w:pStyle w:val="a5"/>
        <w:spacing w:before="0" w:beforeAutospacing="0" w:after="0" w:afterAutospacing="0"/>
        <w:jc w:val="right"/>
        <w:rPr>
          <w:rFonts w:ascii="楷体" w:eastAsia="楷体" w:hAnsi="楷体"/>
          <w:color w:val="000000" w:themeColor="text1"/>
          <w:sz w:val="28"/>
          <w:szCs w:val="28"/>
        </w:rPr>
      </w:pPr>
      <w:r w:rsidRPr="00662D12">
        <w:rPr>
          <w:rFonts w:ascii="楷体" w:eastAsia="楷体" w:hAnsi="楷体"/>
          <w:color w:val="000000" w:themeColor="text1"/>
          <w:sz w:val="28"/>
          <w:szCs w:val="28"/>
        </w:rPr>
        <w:t>二〇一九年二月三日</w:t>
      </w:r>
    </w:p>
    <w:p w:rsidR="00662D12" w:rsidRPr="00662D12" w:rsidRDefault="00662D12">
      <w:pPr>
        <w:rPr>
          <w:rFonts w:ascii="楷体" w:eastAsia="楷体" w:hAnsi="楷体"/>
          <w:color w:val="000000" w:themeColor="text1"/>
          <w:sz w:val="28"/>
          <w:szCs w:val="28"/>
        </w:rPr>
      </w:pPr>
      <w:r w:rsidRPr="00662D12">
        <w:rPr>
          <w:rFonts w:ascii="楷体" w:eastAsia="楷体" w:hAnsi="楷体"/>
          <w:noProof/>
          <w:color w:val="000000" w:themeColor="text1"/>
          <w:sz w:val="28"/>
          <w:szCs w:val="28"/>
        </w:rPr>
        <w:lastRenderedPageBreak/>
        <w:drawing>
          <wp:inline distT="0" distB="0" distL="0" distR="0" wp14:anchorId="04C0F797" wp14:editId="0F53BAD8">
            <wp:extent cx="5274310" cy="74593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7459345"/>
                    </a:xfrm>
                    <a:prstGeom prst="rect">
                      <a:avLst/>
                    </a:prstGeom>
                  </pic:spPr>
                </pic:pic>
              </a:graphicData>
            </a:graphic>
          </wp:inline>
        </w:drawing>
      </w:r>
    </w:p>
    <w:p w:rsidR="00662D12" w:rsidRPr="00662D12" w:rsidRDefault="00662D12">
      <w:pPr>
        <w:rPr>
          <w:rFonts w:ascii="楷体" w:eastAsia="楷体" w:hAnsi="楷体"/>
          <w:color w:val="000000" w:themeColor="text1"/>
          <w:sz w:val="28"/>
          <w:szCs w:val="28"/>
        </w:rPr>
      </w:pPr>
      <w:r w:rsidRPr="00662D12">
        <w:rPr>
          <w:rFonts w:ascii="楷体" w:eastAsia="楷体" w:hAnsi="楷体"/>
          <w:noProof/>
          <w:color w:val="000000" w:themeColor="text1"/>
          <w:sz w:val="28"/>
          <w:szCs w:val="28"/>
        </w:rPr>
        <w:lastRenderedPageBreak/>
        <w:drawing>
          <wp:inline distT="0" distB="0" distL="0" distR="0" wp14:anchorId="01FB843C" wp14:editId="11F456F8">
            <wp:extent cx="5274310" cy="78403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7840345"/>
                    </a:xfrm>
                    <a:prstGeom prst="rect">
                      <a:avLst/>
                    </a:prstGeom>
                  </pic:spPr>
                </pic:pic>
              </a:graphicData>
            </a:graphic>
          </wp:inline>
        </w:drawing>
      </w:r>
    </w:p>
    <w:p w:rsidR="00662D12" w:rsidRPr="00662D12" w:rsidRDefault="00662D12">
      <w:pPr>
        <w:rPr>
          <w:rFonts w:ascii="楷体" w:eastAsia="楷体" w:hAnsi="楷体"/>
          <w:color w:val="000000" w:themeColor="text1"/>
          <w:sz w:val="28"/>
          <w:szCs w:val="28"/>
        </w:rPr>
      </w:pPr>
      <w:r w:rsidRPr="00662D12">
        <w:rPr>
          <w:rFonts w:ascii="楷体" w:eastAsia="楷体" w:hAnsi="楷体"/>
          <w:noProof/>
          <w:color w:val="000000" w:themeColor="text1"/>
          <w:sz w:val="28"/>
          <w:szCs w:val="28"/>
        </w:rPr>
        <w:lastRenderedPageBreak/>
        <w:drawing>
          <wp:inline distT="0" distB="0" distL="0" distR="0" wp14:anchorId="3C684132" wp14:editId="54584EFF">
            <wp:extent cx="5274310" cy="77216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7721600"/>
                    </a:xfrm>
                    <a:prstGeom prst="rect">
                      <a:avLst/>
                    </a:prstGeom>
                  </pic:spPr>
                </pic:pic>
              </a:graphicData>
            </a:graphic>
          </wp:inline>
        </w:drawing>
      </w:r>
    </w:p>
    <w:p w:rsidR="00662D12" w:rsidRPr="00662D12" w:rsidRDefault="00662D12">
      <w:pPr>
        <w:rPr>
          <w:rFonts w:ascii="楷体" w:eastAsia="楷体" w:hAnsi="楷体" w:hint="eastAsia"/>
          <w:color w:val="000000" w:themeColor="text1"/>
          <w:sz w:val="28"/>
          <w:szCs w:val="28"/>
        </w:rPr>
      </w:pPr>
      <w:r w:rsidRPr="00662D12">
        <w:rPr>
          <w:rFonts w:ascii="楷体" w:eastAsia="楷体" w:hAnsi="楷体"/>
          <w:noProof/>
          <w:color w:val="000000" w:themeColor="text1"/>
          <w:sz w:val="28"/>
          <w:szCs w:val="28"/>
        </w:rPr>
        <w:lastRenderedPageBreak/>
        <w:drawing>
          <wp:inline distT="0" distB="0" distL="0" distR="0" wp14:anchorId="17E599CB" wp14:editId="638F871C">
            <wp:extent cx="5274310" cy="44456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445635"/>
                    </a:xfrm>
                    <a:prstGeom prst="rect">
                      <a:avLst/>
                    </a:prstGeom>
                  </pic:spPr>
                </pic:pic>
              </a:graphicData>
            </a:graphic>
          </wp:inline>
        </w:drawing>
      </w:r>
    </w:p>
    <w:sectPr w:rsidR="00662D12" w:rsidRPr="00662D1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79F"/>
    <w:rsid w:val="00007436"/>
    <w:rsid w:val="000B2391"/>
    <w:rsid w:val="000B7207"/>
    <w:rsid w:val="000E29B5"/>
    <w:rsid w:val="000F73B0"/>
    <w:rsid w:val="0014466C"/>
    <w:rsid w:val="00183A63"/>
    <w:rsid w:val="001C060E"/>
    <w:rsid w:val="001F0CD4"/>
    <w:rsid w:val="001F7AC9"/>
    <w:rsid w:val="002529CE"/>
    <w:rsid w:val="0029372C"/>
    <w:rsid w:val="002E6EEB"/>
    <w:rsid w:val="003842B2"/>
    <w:rsid w:val="0038786D"/>
    <w:rsid w:val="00392CB9"/>
    <w:rsid w:val="003A3C3B"/>
    <w:rsid w:val="003B77CF"/>
    <w:rsid w:val="003E6029"/>
    <w:rsid w:val="004368E0"/>
    <w:rsid w:val="0048086E"/>
    <w:rsid w:val="004B007F"/>
    <w:rsid w:val="004B08C7"/>
    <w:rsid w:val="00521D91"/>
    <w:rsid w:val="00534B28"/>
    <w:rsid w:val="00537AB4"/>
    <w:rsid w:val="0058371F"/>
    <w:rsid w:val="00586547"/>
    <w:rsid w:val="00596433"/>
    <w:rsid w:val="005D734D"/>
    <w:rsid w:val="00662D12"/>
    <w:rsid w:val="00766427"/>
    <w:rsid w:val="007933A7"/>
    <w:rsid w:val="007B60DE"/>
    <w:rsid w:val="007E09C4"/>
    <w:rsid w:val="00816EEB"/>
    <w:rsid w:val="0089270F"/>
    <w:rsid w:val="008B2D4C"/>
    <w:rsid w:val="008D6299"/>
    <w:rsid w:val="008D7451"/>
    <w:rsid w:val="008F27DB"/>
    <w:rsid w:val="009146D1"/>
    <w:rsid w:val="00952448"/>
    <w:rsid w:val="009656D6"/>
    <w:rsid w:val="009C24C4"/>
    <w:rsid w:val="009F6F2D"/>
    <w:rsid w:val="00A132E4"/>
    <w:rsid w:val="00A15A3D"/>
    <w:rsid w:val="00A17273"/>
    <w:rsid w:val="00A3185E"/>
    <w:rsid w:val="00A4079F"/>
    <w:rsid w:val="00A91B42"/>
    <w:rsid w:val="00AB5891"/>
    <w:rsid w:val="00AE5022"/>
    <w:rsid w:val="00AE7D41"/>
    <w:rsid w:val="00AF0ED9"/>
    <w:rsid w:val="00B05DD1"/>
    <w:rsid w:val="00B13AE2"/>
    <w:rsid w:val="00B83E38"/>
    <w:rsid w:val="00CF5DDB"/>
    <w:rsid w:val="00D02683"/>
    <w:rsid w:val="00D15988"/>
    <w:rsid w:val="00D46F33"/>
    <w:rsid w:val="00D7573A"/>
    <w:rsid w:val="00D95D6B"/>
    <w:rsid w:val="00DB01A9"/>
    <w:rsid w:val="00E21DEB"/>
    <w:rsid w:val="00E36C96"/>
    <w:rsid w:val="00EA66CA"/>
    <w:rsid w:val="00EC38BE"/>
    <w:rsid w:val="00EC70E8"/>
    <w:rsid w:val="00F11516"/>
    <w:rsid w:val="00F51B38"/>
    <w:rsid w:val="00F5562B"/>
    <w:rsid w:val="00F77BE7"/>
    <w:rsid w:val="00FA1629"/>
    <w:rsid w:val="00FB68F9"/>
    <w:rsid w:val="00FC7469"/>
    <w:rsid w:val="00FD05A0"/>
    <w:rsid w:val="00FD10F8"/>
    <w:rsid w:val="00FD2BDA"/>
    <w:rsid w:val="00FF6E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551D39-0657-4F1D-8BFC-4219566C4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qFormat/>
    <w:rsid w:val="00662D12"/>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662D12"/>
    <w:rPr>
      <w:rFonts w:ascii="宋体" w:eastAsia="宋体" w:hAnsi="宋体" w:cs="宋体"/>
      <w:b/>
      <w:bCs/>
      <w:kern w:val="0"/>
      <w:sz w:val="36"/>
      <w:szCs w:val="36"/>
    </w:rPr>
  </w:style>
  <w:style w:type="character" w:customStyle="1" w:styleId="richmediameta">
    <w:name w:val="rich_media_meta"/>
    <w:basedOn w:val="a0"/>
    <w:rsid w:val="00662D12"/>
  </w:style>
  <w:style w:type="character" w:styleId="a3">
    <w:name w:val="Hyperlink"/>
    <w:basedOn w:val="a0"/>
    <w:uiPriority w:val="99"/>
    <w:unhideWhenUsed/>
    <w:rsid w:val="00662D12"/>
    <w:rPr>
      <w:color w:val="0000FF"/>
      <w:u w:val="single"/>
    </w:rPr>
  </w:style>
  <w:style w:type="character" w:styleId="a4">
    <w:name w:val="Emphasis"/>
    <w:basedOn w:val="a0"/>
    <w:uiPriority w:val="20"/>
    <w:qFormat/>
    <w:rsid w:val="00662D12"/>
    <w:rPr>
      <w:i/>
      <w:iCs/>
    </w:rPr>
  </w:style>
  <w:style w:type="paragraph" w:styleId="a5">
    <w:name w:val="Normal (Web)"/>
    <w:basedOn w:val="a"/>
    <w:uiPriority w:val="99"/>
    <w:semiHidden/>
    <w:unhideWhenUsed/>
    <w:rsid w:val="00662D12"/>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662D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041511">
      <w:bodyDiv w:val="1"/>
      <w:marLeft w:val="0"/>
      <w:marRight w:val="0"/>
      <w:marTop w:val="0"/>
      <w:marBottom w:val="0"/>
      <w:divBdr>
        <w:top w:val="none" w:sz="0" w:space="0" w:color="auto"/>
        <w:left w:val="none" w:sz="0" w:space="0" w:color="auto"/>
        <w:bottom w:val="none" w:sz="0" w:space="0" w:color="auto"/>
        <w:right w:val="none" w:sz="0" w:space="0" w:color="auto"/>
      </w:divBdr>
      <w:divsChild>
        <w:div w:id="594634573">
          <w:marLeft w:val="0"/>
          <w:marRight w:val="0"/>
          <w:marTop w:val="0"/>
          <w:marBottom w:val="330"/>
          <w:divBdr>
            <w:top w:val="none" w:sz="0" w:space="0" w:color="auto"/>
            <w:left w:val="none" w:sz="0" w:space="0" w:color="auto"/>
            <w:bottom w:val="none" w:sz="0" w:space="0" w:color="auto"/>
            <w:right w:val="none" w:sz="0" w:space="0" w:color="auto"/>
          </w:divBdr>
        </w:div>
      </w:divsChild>
    </w:div>
    <w:div w:id="1623464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mp.weixin.qq.com/s/f67lmMFUD74CNX5daeYFeg" TargetMode="External"/><Relationship Id="rId10" Type="http://schemas.openxmlformats.org/officeDocument/2006/relationships/fontTable" Target="fontTable.xml"/><Relationship Id="rId4" Type="http://schemas.openxmlformats.org/officeDocument/2006/relationships/hyperlink" Target="javascript:void(0);" TargetMode="Externa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245</Words>
  <Characters>1399</Characters>
  <Application>Microsoft Office Word</Application>
  <DocSecurity>0</DocSecurity>
  <Lines>11</Lines>
  <Paragraphs>3</Paragraphs>
  <ScaleCrop>false</ScaleCrop>
  <Company>P R C</Company>
  <LinksUpToDate>false</LinksUpToDate>
  <CharactersWithSpaces>1641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张丽杰</dc:creator>
  <cp:keywords/>
  <dc:description/>
  <cp:lastModifiedBy>张丽杰</cp:lastModifiedBy>
  <cp:revision>3</cp:revision>
  <dcterms:created xsi:type="dcterms:W3CDTF">2019-03-22T06:04:00Z</dcterms:created>
  <dcterms:modified xsi:type="dcterms:W3CDTF">2019-03-22T06:10:00Z</dcterms:modified>
</cp:coreProperties>
</file>